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유니셈 주식가치 산정 결과 보고서 (자동 생성 초안)</w:t>
      </w:r>
    </w:p>
    <w:p>
      <w:r>
        <w:rPr>
          <w:i/>
          <w:sz w:val="18"/>
        </w:rPr>
        <w:t>평가기준일 2026-09-30 · 자동 생성 036200_model_2026-09-30.xlsx 기준 · 금액 단위 백만원(주당 값은 원)</w:t>
      </w:r>
    </w:p>
    <w:p>
      <w:r>
        <w:rPr>
          <w:i/>
          <w:sz w:val="18"/>
        </w:rPr>
        <w:t>이 문서는 기계적 가치산정 결과다. 전문가 판단을 거친 가치평가(평가보고서)가 아니며, 판단 칸은 사람이 채운다.</w:t>
      </w:r>
    </w:p>
    <w:p>
      <w:r>
        <w:rPr>
          <w:i w:val="0"/>
        </w:rPr>
        <w:t>예시 입력 시세(실제 종가 아님) — 결과는 가정 하의 추정 내재가치 예시</w:t>
      </w:r>
    </w:p>
    <w:p>
      <w:pPr>
        <w:pStyle w:val="Heading1"/>
      </w:pPr>
      <w:r>
        <w:t>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 구조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연결 DCF − 순차입금 + 비영업 − 비지배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기본 DCF 주당(SRP 0~2%)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6,036~7,003원 (SRP 0%: 7,003원)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상대가치 주당(피어 사분위 q25~q75)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EV/EBITDA 5,261~7,287원 / PER 4,487~9,944원 / EV/Sales 10,756~17,067원 / PBR 9,455~14,374원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지배 블록 1주당(참고, q25~q75)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19,923~29,965원 (중앙 23,854원)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수렴 시험(사전 고정)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C3 — 공통 규칙 수정 후: 수렴 · 살아 있는 모델: 수렴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기준일 종가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20,000원</w:t>
            </w:r>
          </w:p>
        </w:tc>
      </w:tr>
    </w:tbl>
    <w:p/>
    <w:p>
      <w:r>
        <w:rPr>
          <w:i w:val="0"/>
        </w:rPr>
        <w:t>주요 ⚠️</w:t>
      </w:r>
    </w:p>
    <w:p>
      <w:pPr>
        <w:pStyle w:val="ListBullet"/>
      </w:pPr>
      <w:r>
        <w:t>자동 초안: 피어·Kd·시나리오 폭은 사람 검토 전</w:t>
      </w:r>
    </w:p>
    <w:p>
      <w:pPr>
        <w:pStyle w:val="ListBullet"/>
      </w:pPr>
      <w:r>
        <w:t>SRP 구간 표 미확보 → SRP 0·1·2% 세 열 병기</w:t>
      </w:r>
    </w:p>
    <w:p>
      <w:pPr>
        <w:pStyle w:val="ListBullet"/>
      </w:pPr>
      <w:r>
        <w:t>정상화 조정(비경상 손익) 안 함</w:t>
      </w:r>
    </w:p>
    <w:p>
      <w:pPr>
        <w:pStyle w:val="Heading1"/>
      </w:pPr>
      <w:r>
        <w:t>사람 판단 반영 내역 (평가 세션 확정)</w:t>
      </w:r>
    </w:p>
    <w:p>
      <w:r>
        <w:rPr>
          <w:i w:val="0"/>
        </w:rPr>
        <w:t>자동 초안의 가정 중 사람이 바꾼 것. 확정값이 모델(엑셀 Inputs '사람 확정값'과 각 입력 칸)에 들어가 이 보고서의 숫자가 됐다.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가정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자동값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확정값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이유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버전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정상화 조정 필요 여부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정상 영업이익률(출발)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7.49%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5.35%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예시: 후보 있는 최상위 판단의 첫 후보 채택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v1</w:t>
            </w:r>
          </w:p>
        </w:tc>
      </w:tr>
    </w:tbl>
    <w:p/>
    <w:p>
      <w:pPr>
        <w:pStyle w:val="Heading1"/>
      </w:pPr>
      <w:r>
        <w:t>결과 해석 주의 (자동 진단, 값은 바꾸지 않음)</w:t>
      </w:r>
    </w:p>
    <w:p>
      <w:r>
        <w:rPr>
          <w:i w:val="0"/>
        </w:rPr>
        <w:t>신호등(사전 고정 기준, 엑셀 Diagnostics A): 종합 빨강 — 피어 초록(DCF 7,003원 vs 피어 EV/EBITDA 사분위 5,261~7,287원), 시장 빨강(DCF ÷ 종가 0.35)</w:t>
      </w:r>
    </w:p>
    <w:p>
      <w:r>
        <w:rPr>
          <w:i w:val="0"/>
        </w:rPr>
        <w:t>대표값 판정(유효성 가드): 표시</w:t>
      </w:r>
    </w:p>
    <w:p>
      <w:r>
        <w:rPr>
          <w:i w:val="0"/>
        </w:rPr>
        <w:t>기본 경로 v2 주당 7,003원, 대안 v1(3년 평균 이익률·5년 CAGR) 주당 4,133원. v2 출발 이익률 5.35%, 2032년까지 피어 쪽 이동 4.80%, 출발 성장률 6.79%</w:t>
      </w:r>
    </w:p>
    <w:p>
      <w:r>
        <w:rPr>
          <w:i w:val="0"/>
        </w:rPr>
        <w:t>역산 — 피어 중앙값 주당을 맞추려면 필요한 값(하나만 움직임):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 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필요 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차이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목표 주당(원) — EV/EBITDA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6,561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정상 영업이익률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5.35%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4.80%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-0.55%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출발 성장률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6.79%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-0.81%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-7.59%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WACC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11.97%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12.79%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0.82%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역산 정확도: 다시 계산한 주당 − 목표(원, 최대 절댓값)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</w:tbl>
    <w:p/>
    <w:p>
      <w:r>
        <w:rPr>
          <w:i w:val="0"/>
        </w:rPr>
        <w:t>주식가치 구성(백만원, 평가기준일):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금액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주식가치 대비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135,011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65.5%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  영구가치 현재가치(Gordon)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57,861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28.1%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 xml:space="preserve">  명시·체감 기간 현재가치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77,150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37.5%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+ 현금성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62,198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30.2%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+ 비영업자산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12,011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5.8%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− 총차입금(리스 포함)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-3,051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-1.5%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− 비지배지분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-177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-0.1%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= 주식가치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205,991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100.0%</w:t>
            </w:r>
          </w:p>
        </w:tc>
      </w:tr>
    </w:tbl>
    <w:p/>
    <w:p>
      <w:r>
        <w:rPr>
          <w:i w:val="0"/>
        </w:rPr>
        <w:t>데이터 이상 신호 3개(엑셀 Diagnostics D):</w:t>
      </w:r>
    </w:p>
    <w:p>
      <w:pPr>
        <w:pStyle w:val="ListBullet"/>
      </w:pPr>
      <w:r>
        <w:t>FY2021~2025 영업이익률 표준편차 &gt; 2 × 시나리오 이익률 폭(2%p) = 4%p — 4.6%</w:t>
      </w:r>
    </w:p>
    <w:p>
      <w:pPr>
        <w:pStyle w:val="ListBullet"/>
      </w:pPr>
      <w:r>
        <w:t>FY2021~2025 매출 성장률 표준편차 &gt; 2 × 시나리오 성장률 폭(2%p) = 4%p — 23.1%</w:t>
      </w:r>
    </w:p>
    <w:p>
      <w:pPr>
        <w:pStyle w:val="ListBullet"/>
      </w:pPr>
      <w:r>
        <w:t>과거 3년 ROIC(RONIC 상한) &lt; 기본 WACC — -2.1%</w:t>
      </w:r>
    </w:p>
    <w:p>
      <w:r>
        <w:rPr>
          <w:i w:val="0"/>
        </w:rPr>
        <w:t>정상 이익률 후보(표시만, 기본값은 과거 3년 평균 그대로):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후보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이익률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주당(원)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 대비(원)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손실 연도 제외 3년 평균(FY2023~2025 중 영업이익 &gt; 0인 해)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5.35%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5년 중앙값(FY2021~2025)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7.49%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8,714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1,712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피어 LTM 영업이익률 중앙값(포함 피어)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14.95%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14,671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7,669</w:t>
            </w:r>
          </w:p>
        </w:tc>
      </w:tr>
    </w:tbl>
    <w:p/>
    <w:p>
      <w:r>
        <w:rPr>
          <w:i w:val="0"/>
        </w:rPr>
        <w:t>민감도(고객 자금 성격 현금, 비지배지분 차감 방법):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주당(원)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 대비(원)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고객 자금 성격 부채(백만원): 선수금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영업용 현금 = min(현금성, 고객 자금 부채) → 브리지에서 뺌(백만원)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비지배 장부(백만원) — 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(a) 비례법: 비지배 장부 ÷ 자본총계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0.1%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(b) 비지배 장부 × 피어 P/B 중앙값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1.46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-3</w:t>
            </w:r>
          </w:p>
        </w:tc>
      </w:tr>
    </w:tbl>
    <w:p/>
    <w:p>
      <w:r>
        <w:rPr>
          <w:i w:val="0"/>
        </w:rPr>
        <w:t>사람이 먼저 볼 곳 — 다른 선택의 주당 영향이 큰 순 상위 5(엑셀 Diagnostics G와 같은 순서):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순위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범주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다른 선택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주당 차이(원)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기본 대비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비경상 손익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정상화 조정 필요 여부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정상 이익률 피어 LTM 영업이익률 중앙값(포함 피어) 14.95%(기본 5.35%)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7,669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109.5%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이익률 수렴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피어 쪽 수렴 비율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수렴 비율 0%(기본 50%, 피어 이익률 중앙값 14.9% 쪽)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-2,877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-41.1%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기본 경로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기본 경로 v1(대안)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기본 경로 v1(3년 평균 이익률 5.35%, 매출 CAGR 4.91%)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-2,870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-41.0%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시나리오 폭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±2%p(성장·이익률) 기본값, g 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낙관(+2%p)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1,799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25.7%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5 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SRP 열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SRP 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-967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-13.8%</w:t>
            </w:r>
          </w:p>
        </w:tc>
      </w:tr>
    </w:tbl>
    <w:p/>
    <w:p>
      <w:r>
        <w:rPr>
          <w:i w:val="0"/>
          <w:sz w:val="18"/>
        </w:rPr>
        <w:t>나머지 계산 항목 12개와 계산할 수 없는 항목 18개는 엑셀 Diagnostics G표에 있다.</w:t>
      </w:r>
    </w:p>
    <w:p>
      <w:pPr>
        <w:pStyle w:val="Heading1"/>
      </w:pPr>
      <w:r>
        <w:t>1. 평가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평가대상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유니셈 (KOSDAQ 036200)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평가기준일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2026-09-30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재무 기준일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2026-06-30 (반기보고서)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기준가치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주당 내재가치 추정(가치산정, 가정 하의 예시). K-IFRS 1113·자본시장법의 '공정가치(공정가액)'가 아님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 전제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계속기업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포트폴리오 예시(방법론 시연). 실제 거래·공시·과세 목적이 아님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시세 입력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예시 입력 시세(실제 종가 아님) — 결과는 가정 하의 추정 내재가치 예시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평가 구조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연결 DCF − 순차입금 + 비영업자산 − 비지배지분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작성 방식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엑셀 모델(수식이 살아 있는 모델)의 계산값을 자동으로 옮긴 초안. 판단 문단은 사람 작성 칸</w:t>
            </w:r>
          </w:p>
        </w:tc>
      </w:tr>
    </w:tbl>
    <w:p/>
    <w:p>
      <w:pPr>
        <w:pStyle w:val="Heading1"/>
      </w:pPr>
      <w:r>
        <w:t>2. 대상 회사 개요 (공시 기반 사실)</w:t>
      </w:r>
    </w:p>
    <w:p>
      <w:pPr>
        <w:pStyle w:val="ListBullet"/>
      </w:pPr>
      <w:r>
        <w:t>KOSDAQ 상장, KSIC 29271, 재무 기준 연결. 보고부문은 자동으로 나누지 않음(단일 부문)</w:t>
      </w:r>
    </w:p>
    <w:p>
      <w:pPr>
        <w:pStyle w:val="ListBullet"/>
      </w:pPr>
      <w:r>
        <w:t>상장 종속회사 없음(연결 범위·이름 일치)</w:t>
      </w:r>
    </w:p>
    <w:p>
      <w:pPr>
        <w:pStyle w:val="ListBullet"/>
      </w:pPr>
      <w:r>
        <w:t>우선주 없음 — 반기보고서 주식의 총수 20260814000905</w:t>
      </w:r>
    </w:p>
    <w:p>
      <w:pPr>
        <w:pStyle w:val="ListBullet"/>
      </w:pPr>
      <w:r>
        <w:t>신용등급: 자동 탐색 안 함(Kd = 이자비용 ÷ 평균 차입금, 하한 Rf ⚠️)</w:t>
      </w:r>
    </w:p>
    <w:p>
      <w:pPr>
        <w:pStyle w:val="ListBullet"/>
      </w:pPr>
      <w:r>
        <w:t>재무상태표일 뒤 공시: 3건(제목만 수집, 반영 안 함 — 사람 판단 목록)</w:t>
      </w:r>
    </w:p>
    <w:p>
      <w:pPr>
        <w:pStyle w:val="ListBullet"/>
      </w:pPr>
      <w:r>
        <w:t>기준일 종가 20,000원은 한국거래소 통계정보(보통주) 값이다</w:t>
      </w:r>
    </w:p>
    <w:p>
      <w:pPr>
        <w:pStyle w:val="Heading1"/>
      </w:pPr>
      <w:r>
        <w:t>3. 평가방법과 선택 근거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모델에서의 역할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결과(주당)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엑셀 시트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수익가치(DCF, FCFF)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3단계(명시 2H26~2032, 체감 2033~2040, 영구), 가치동인 영구가치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7,003원(기본·SRP 0%)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Forecast·DCF·Bridge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상대가치(피어 배수)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EV/Sales·EV/EBITDA·PER·PBR 사분위(교차 확인)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5장 표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Peers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시장가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기준일 종가·20거래일 VWAP(비교 기준으로만)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20,000원 / VWAP 19,800원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Inputs·Premium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자산가치(순자산, 장부)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지배주주지분 장부 ÷ 주식수(재평가 없음, 참고)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8,591원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Bridge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배당할인(DDM)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적용하지 않음(채택 여부는 사람 판단)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블록 프리미엄(참고)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지배 블록 1주당 가격 범위. 지분 전체 가치에 곱하지 않음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5.2절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Premium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평가방법 선택 근거·채택·가중치</w:t>
              <w:br/>
              <w:t>작성 안내: 시가·자산가치·수익가치·상대가치 중 무엇을 채택하고 어떤 가중치를 두는지, DDM·순자산가치를 주 방법으로 쓰지 않는 이유를 평가자가 쓴다(자본시장법 개정 공정가액 산정 항목 대응). 자동 문장 금지</w:t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채택 여부(사람)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가중치(사람)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근거(사람)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시가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자산가치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수익가치(DCF)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상대가치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4. 주요 가정과 출처</w:t>
      </w:r>
    </w:p>
    <w:p>
      <w:r>
        <w:rPr>
          <w:i w:val="0"/>
        </w:rPr>
        <w:t>값은 엑셀 Inputs·계산 시트의 값이고, 출처·상태(✅ 1차 출처 / 🔸 단일 출처·직접 계산 / ⚠️ 미확인·프로젝트 가정)는 Inputs 열을 그대로 옮겼다. 규칙상 결과에 쓰이지 않는 값은 '미사용'으로 표시했다.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출처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기준일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상태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 여부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Rf 만기 선택(5 = 국고채 5년, 10 = 국고채 10년)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risk_free.tenor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무위험이자율 국고채 5년(기본)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4.203%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ECOS 817Y002 010200001 (KTB5Y)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2026-09-30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무위험이자율 국고채 10년(선택)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4.407%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ECOS 817Y002 010210000 (KTB10Y)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2026-09-30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Rf(모델 적용 = Inputs 'Rf 만기 선택')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4.203%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시장위험프리미엄 MRP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8.00%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한공회 MRP 가이던스 7~9%(2022 발표·2023 유지), 2026-05 설문 8.167%(CPA뉴스 2026-05-29, 한국세정신문 2026-05-29)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2026-05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열 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열 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열 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⚠️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SRP 인용 참고값(한공회 Micro, 민감도 전용)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DB p5b_srp_cites: 가장 최근 신고서의 같은 구간 인용값(reports/p5b_final.md 8절)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20260821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βu 중앙값(피어, Blume → Hamada)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0.967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피어 회귀 R² 중앙값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0.280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Hamada 세율(언레버·리레버)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공개 배포 작업 공간/sessions/036200_20260930_001/v1_public/valuation_036200_036200_20260930_001v1p.yaml beta.tax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목표 D/E (WACC)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0.012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공개 배포 작업 공간/sessions/036200_20260930_001/v1_public/valuation_036200_036200_20260930_001v1p.yaml (공개 모드 집계 입력)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실제 가중 약정이자율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11.650%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사용(등급 미확인 → 이자비용 ÷ 평균 차입금)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세전 Kd(공통 규칙, 하한 Rf)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11.650%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사용(D/V 1.2%)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세후 Kd 한계세율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사용(D/V 1.2%)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WACC(기본, SRP 열 1)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11.974%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계산(WACC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RONIC(적용)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계산(DCF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영구성장률 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계산(Forecast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Exit 배수(EV/EBITDA)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7.46배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계산(DCF 시트)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🔸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</w:p>
        </w:tc>
      </w:tr>
    </w:tbl>
    <w:p/>
    <w:p>
      <w:r>
        <w:rPr>
          <w:i w:val="0"/>
          <w:sz w:val="18"/>
        </w:rPr>
        <w:t>WACC·RONIC·영구성장률은 기본 시나리오·SRP 열 1 기준. 베타 R² 점검: 경고 없음</w:t>
      </w:r>
    </w:p>
    <w:p>
      <w:r>
        <w:rPr>
          <w:i w:val="0"/>
          <w:sz w:val="18"/>
        </w:rPr>
        <w:t>Rf 만기: 기본은 국고채 5년(P3 공통 장부, 사전 고정)이다. 실무 외부평가 의견서는 10년이 대부분이다(P5-B, Rf 만기 표시 57건 중 10년 56건). 10년을 쓰면 기본 시나리오·SRP 0% 주당 7,003원 → 6,888원이다(엑셀 Scenarios G 표, Inputs 'Rf 만기 선택'). SRP 인용 참고값은 민감도에만 쓴다(6장 G 표).</w:t>
      </w:r>
    </w:p>
    <w:p>
      <w:pPr>
        <w:pStyle w:val="Heading2"/>
      </w:pPr>
      <w:r>
        <w:t>4.1 예측 경로</w:t>
      </w:r>
    </w:p>
    <w:p>
      <w:r>
        <w:rPr>
          <w:i w:val="0"/>
        </w:rPr>
        <w:t>기본 경로 v2(P7-B2b 사전 고정, config/p7b2b.yaml): 출발 성장률 = 매출 CAGR(FY2020→FY2025)과 피어 성장률의 혼합, 출발 이익률 = 5년 중앙값 → 피어 쪽 수렴(엑셀 Forecast v2 블록). 아래 CAGR·3년 평균은 v1 값: 4.91% + 시나리오 이동, 2030년까지 g로 체감. 정상 영업이익률 = 과거 3년 평균 5.35% + 이동. D&amp;A·CAPEX·회전일수는 과거 3년 평균. RONIC 상한 = 과거 3년 ROIC 9.9%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비관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낙관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출발 성장률 이동(g_2026 = 5년 CAGR + 이동)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-2.00%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정상 이익률 이동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-2.00%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2.00%</w:t>
            </w:r>
          </w:p>
        </w:tc>
      </w:tr>
    </w:tbl>
    <w:p/>
    <w:p>
      <w:r>
        <w:rPr>
          <w:i w:val="0"/>
        </w:rPr>
        <w:t>참고: P5-B 스팩 합병 외부평가 추정의 실제 달성률(실적 ÷ 예측). 중앙값 [Q1, Q3] (n). 엑셀 Forecast 사업계획 검증 옆 표, 표시만 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계정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1차연도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2차연도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3차연도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매출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84.2% [70.7%, 95.4%] (86)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76.1% [59.8%, 88.6%] (72)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72.5% [48.1%, 91.5%] (62)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영업이익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39.8% [9.9%, 66.6%] (89)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31.4% [-2.1%, 57.9%] (75)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17.7% [-4.9%, 42.9%] (65)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예측 매출 CAGR 구간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CAGR 범위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거래 수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매출 달성률 중앙값 1차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2차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3차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1구간(하위 25%)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1.1%~9.5%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89.9%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85.7%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82.4%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2구간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9.5%~14.1%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83.5%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81.1%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65.0%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3구간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14.1%~24.2%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87.3%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77.4%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74.9%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4구간(상위 25%)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24.2%~133.2%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73.9%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54.7%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59.9%</w:t>
            </w:r>
          </w:p>
        </w:tc>
      </w:tr>
    </w:tbl>
    <w:p/>
    <w:p>
      <w:r>
        <w:rPr>
          <w:i w:val="0"/>
        </w:rPr>
        <w:t>이 모델(기본 시나리오)의 예측 매출 CAGR(첫 추정 회계연도부터 5개 연도) 3.8% → 1구간(하위 25%)(표본 범위 안). 그 구간 매출 달성률 중앙값 1차 89.9%, 2차 85.7%, 3차 82.4%다.</w:t>
      </w:r>
    </w:p>
    <w:p>
      <w:r>
        <w:rPr>
          <w:i w:val="0"/>
          <w:sz w:val="18"/>
        </w:rPr>
        <w:t>스팩 합병 외부평가 추정 기준 참고값이다. 대상 회사와 상황이 다르다. 달성률은 예측이 분모라 높은 예측일수록 낮게 나오는 기계적 성분이 있다. 예측을 자동으로 깎거나 경고 판정하지 않는다. 출처: reports/p5b_final.md(커밋 0a8d7c6), DB p5b_error·p5b_forecast</w:t>
      </w:r>
    </w:p>
    <w:p>
      <w:pPr>
        <w:pStyle w:val="Heading2"/>
      </w:pPr>
      <w:r>
        <w:t>4.2 사업계획 검증(예측 vs 과거, 기본 시나리오)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과거 매출 CAGR(연결 FY2020 → FY2025)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4.9%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예측 FY2026 매출 성장률(직전 회계연도 대비)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6.8%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예측 매출 CAGR(FY2026 → 명시 마지막 연도)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3.2%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 xml:space="preserve">  차이(예측 CAGR − 과거 CAGR)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-1.7%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과거 영업이익률 평균(연결 FY2023~FY2025)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5.4%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예측 정상 영업이익률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5.4%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 xml:space="preserve">  차이(예측 − 과거)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0.0%</w:t>
            </w:r>
          </w:p>
        </w:tc>
      </w:tr>
    </w:tbl>
    <w:p/>
    <w:p>
      <w:r>
        <w:rPr>
          <w:i w:val="0"/>
          <w:sz w:val="18"/>
        </w:rPr>
        <w:t>괴리 경고 기준은 정하지 않았다(사람 판단). 차이는 사실로만 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정상화 조정(비경상 손익)</w:t>
              <w:br/>
              <w:t>작성 안내: 과거 이익에 일회성 손익·영업 외 항목이 있는지, 예측 출발점이나 피어 배수(특히 PER)에 정상화가 필요한지 평가자가 판단해 쓴다. 이 모델은 정상화 조정을 하지 않았다</w:t>
              <w:br/>
              <w:br/>
            </w:r>
          </w:p>
        </w:tc>
      </w:tr>
    </w:tbl>
    <w:p/>
    <w:p>
      <w:pPr>
        <w:pStyle w:val="Heading2"/>
      </w:pPr>
      <w:r>
        <w:t>4.3 브리지(EV → 주식가치)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엑셀 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EV(평가기준일)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135,011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DCF!C40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순차입금(차입금 + 리스부채 − 현금성)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-59,146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주식가치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205,991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Bridge!C12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유통주식수(주)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29,416,053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Bridge!C15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참고: 순자산가치(장부, 주당 원)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8,591원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Bridge!C20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우발채무·비영업자산 명세 확인</w:t>
              <w:br/>
              <w:t>작성 안내: 소송·지급보증·약정 등 우발채무와 비영업자산 분류(특히 '기타 금융자산')를 주석으로 확인해 브리지 조정 필요 여부를 쓴다</w:t>
              <w:br/>
              <w:br/>
            </w:r>
          </w:p>
        </w:tc>
      </w:tr>
    </w:tbl>
    <w:p/>
    <w:p>
      <w:pPr>
        <w:pStyle w:val="Heading1"/>
      </w:pPr>
      <w:r>
        <w:t>5. 결과 (가정 하의 추정 내재가치, 예시)</w:t>
      </w:r>
    </w:p>
    <w:p>
      <w:r>
        <w:rPr>
          <w:i w:val="0"/>
        </w:rPr>
        <w:t>시나리오 × SRP 주당 가치(원, Gordon 영구가치). 엑셀 Scenarios 시트 A-1 표와 같은 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1.0%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2.0%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비관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5,345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4,955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4,628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6,478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6,036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낙관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8,801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8,130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7,562</w:t>
            </w:r>
          </w:p>
        </w:tc>
      </w:tr>
    </w:tbl>
    <w:p/>
    <w:p>
      <w:r>
        <w:rPr>
          <w:i w:val="0"/>
        </w:rPr>
        <w:t>같은 표의 WACC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1.0%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SRP 2.0%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비관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11.97%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12.96%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13.95%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기본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11.97%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12.96%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13.95%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낙관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11.97%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12.96%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13.95%</w:t>
            </w:r>
          </w:p>
        </w:tc>
      </w:tr>
    </w:tbl>
    <w:p/>
    <w:p>
      <w:r>
        <w:rPr>
          <w:i w:val="0"/>
        </w:rPr>
        <w:t>기준일 종가 20,000원과 기본 시나리오(SRP 열 1) 값 7,003원의 차이는 성장·이익률·할인율 가정의 차이로 읽는다(판단 아님).</w:t>
      </w:r>
    </w:p>
    <w:p>
      <w:pPr>
        <w:pStyle w:val="Heading2"/>
      </w:pPr>
      <w:r>
        <w:t>5.1 영구가치 교차 확인 (Gordon vs Exit)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방식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주당(원)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EV/EBITDA(배)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영구성장률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영구가치 비중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Gordon(가치동인)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42.9%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Exit(배수)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7,344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7.46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3.36%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46.8%</w:t>
            </w:r>
          </w:p>
        </w:tc>
      </w:tr>
    </w:tbl>
    <w:p/>
    <w:p>
      <w:r>
        <w:rPr>
          <w:i w:val="0"/>
        </w:rPr>
        <w:t>Exit 배수 7.46배를 쓰면 주당 7,344원이고, Gordon 영구가치의 함의 배수는 6.36배다(주당 7,003원). Exit 방식의 함의 영구성장률은 3.36%고 영구가치 비중은 Gordon 42.9%, Exit 46.8%다.</w:t>
      </w:r>
    </w:p>
    <w:p>
      <w:pPr>
        <w:pStyle w:val="Heading2"/>
      </w:pPr>
      <w:r>
        <w:t>5.2 상대가치(피어 배수)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7"/>
              </w:rPr>
              <w:t>배수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q25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중앙값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q75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주당 q25(원)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주당 중앙값(원)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주당 q75(원)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EV/EBITDA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8.76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5,261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6,561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7,287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EV/EBITDA(보완 전)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8.76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5,261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6,561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7,287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EV/Sales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0.85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10,756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12,826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17,067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PBR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1.46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1.67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9,455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12,524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14,374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PER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8.06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12.25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17.87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4,487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6,817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9,944</w:t>
            </w:r>
          </w:p>
        </w:tc>
      </w:tr>
    </w:tbl>
    <w:p/>
    <w:p>
      <w:pPr>
        <w:pStyle w:val="Heading2"/>
      </w:pPr>
      <w:r>
        <w:t>5.3 블록 프리미엄(참고, 지배 블록 1주당)</w:t>
      </w:r>
    </w:p>
    <w:p>
      <w:r>
        <w:rPr>
          <w:i w:val="0"/>
        </w:rPr>
        <w:t>경영권 프리미엄 DB(주 표본 n=510, 집계값만) 적용 규칙 D6: method neighbours, 이유 rule_top_band. 기준일 시총 백분위(고정, 입력한 주가로 바뀌지 않음) 84.1, 20거래일 VWAP(사용자 입력) 19,800원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분위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프리미엄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블록 1주당(원)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0.6%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19,923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20.5%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23,854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q75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51.3%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29,965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DLOM·경영권 프리미엄 조정 여부와 근거</w:t>
              <w:br/>
              <w:t>작성 안내: 이 산정은 시장성 할인(DLOM)과 경영권 프리미엄을 주식가치에 적용하지 않았다. 평가 목적상 조정이 필요한지, 프리미엄 DB의 블록 띠를 어떻게 쓸지 평가자가 쓴다</w:t>
              <w:br/>
              <w:br/>
            </w:r>
          </w:p>
        </w:tc>
      </w:tr>
    </w:tbl>
    <w:p/>
    <w:p>
      <w:pPr>
        <w:pStyle w:val="Heading2"/>
      </w:pPr>
      <w:r>
        <w:t>5.4 풋볼필드</w:t>
      </w:r>
    </w:p>
    <w:p>
      <w:r>
        <w:drawing>
          <wp:inline xmlns:a="http://schemas.openxmlformats.org/drawingml/2006/main" xmlns:pic="http://schemas.openxmlformats.org/drawingml/2006/picture">
            <wp:extent cx="5760000" cy="413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200_036200_20260930_001v1p_footb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그림은 엑셀 Football 시트 표와 같은 값으로 그렸다(빨간 점선 = 기준일 종가, 점 = 대표값).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그룹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낮음(원)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높음(원)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대표(원)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DCF(연결)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DCF 비관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4,628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5,345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5,345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DCF(연결)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DCF 기본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6,036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7,003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DCF(연결)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DCF 낙관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7,562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8,801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8,801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EV/EBITDA (n=8)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5,261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7,287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6,561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PER (n=8)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4,487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9,944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6,817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EV/Sales (n=8)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10,756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17,067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12,826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상대가치(연결, 피어 LTM)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PBR (n=7)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9,455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14,374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12,524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블록 거래 가격(참고)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지배 블록 1주당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19,923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29,965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23,854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참고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순자산가치(장부)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8,591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8,591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8,591</w:t>
            </w:r>
          </w:p>
        </w:tc>
      </w:tr>
    </w:tbl>
    <w:p/>
    <w:p>
      <w:pPr>
        <w:pStyle w:val="Heading2"/>
      </w:pPr>
      <w:r>
        <w:t>5.5 시장 가격이 전제하는 가정(역DCF)</w:t>
      </w:r>
    </w:p>
    <w:p>
      <w:r>
        <w:rPr>
          <w:i w:val="0"/>
        </w:rPr>
        <w:t>기준일 종가를 같은 모델 구조로 맞추는 값(하나씩만 바꿈, 엔진 계산값):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출발 성장률 g_2026(2030년까지 g로 체감, 탐색 −30%~+60%)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보조: 같은 경로·이익률에서의 WACC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5.32%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보조: 기본 성장·WACC에서 필요한 정상 이익률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n/a</w:t>
            </w:r>
          </w:p>
        </w:tc>
      </w:tr>
    </w:tbl>
    <w:p/>
    <w:p>
      <w:pPr>
        <w:pStyle w:val="Heading2"/>
      </w:pPr>
      <w:r>
        <w:t>5.6 수렴 시험(사전 고정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엔진 기록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DCF 주당(원)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사분위 q25(원)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사분위 q75(원)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판정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C2 — 사전 고정 1차 판정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5,261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7,287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수렴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C3 — 공통 규칙 수정 후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5,261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7,287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수렴</w:t>
            </w:r>
          </w:p>
        </w:tc>
      </w:tr>
    </w:tbl>
    <w:p/>
    <w:p>
      <w:pPr>
        <w:pStyle w:val="Heading1"/>
      </w:pPr>
      <w:r>
        <w:t>6. 민감도 (엑셀 데이터 표, 기본 시나리오)</w:t>
      </w:r>
    </w:p>
    <w:p>
      <w:r>
        <w:rPr>
          <w:i w:val="0"/>
        </w:rPr>
        <w:t>C. WACC × 영구성장률 — 주당 원 (행 = 영구성장률, 열 = WACC)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9.97%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10.97%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11.97%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12.97%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13.97%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8,383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7,609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6,975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6,449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6,006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8,402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7,625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6,989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6,460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6,016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8,422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7,641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6,472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6,026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2.5%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8,442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7,658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7,017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6,484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6,036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8,462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7,675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7,031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6,496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6,047</w:t>
            </w:r>
          </w:p>
        </w:tc>
      </w:tr>
    </w:tbl>
    <w:p/>
    <w:p>
      <w:r>
        <w:rPr>
          <w:i w:val="0"/>
        </w:rPr>
        <w:t>D. 출발 성장률 이동 × 정상 이익률 이동 — 주당 원 (행 = 성장, 열 = 이익률)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-4.0%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4.0%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-4.0%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3,822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5,296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6,763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8,223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9,680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-2.0%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3,802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5,345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6,881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8,409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9,936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3,783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5,397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8,602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10,200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3,763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5,450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7,129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8,801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10,473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3,744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5,506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7,260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9,008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10,754</w:t>
            </w:r>
          </w:p>
        </w:tc>
      </w:tr>
    </w:tbl>
    <w:p/>
    <w:p>
      <w:r>
        <w:rPr>
          <w:i w:val="0"/>
        </w:rPr>
        <w:t>M. MRP × SRP — 주당 원 (행 = MRP, 열 = SRP)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2.0%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7.0%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7,616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6,989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6,466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6,478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6,036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9.0%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6,489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6,046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5,668</w:t>
            </w:r>
          </w:p>
        </w:tc>
      </w:tr>
    </w:tbl>
    <w:p/>
    <w:p>
      <w:r>
        <w:rPr>
          <w:i w:val="0"/>
        </w:rPr>
        <w:t>G. Rf 만기 × SRP(마지막 열 = 한공회 인용 참고값) — 주당 원 (행 = Rf(국고채 5년 / 10년), 열 = SRP)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4.02%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4.203%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7,003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6,478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6,036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5,330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4.407%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6,888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6,381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5,954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5,270</w:t>
            </w:r>
          </w:p>
        </w:tc>
      </w:tr>
    </w:tbl>
    <w:p/>
    <w:p>
      <w:r>
        <w:rPr>
          <w:i w:val="0"/>
          <w:sz w:val="18"/>
        </w:rPr>
        <w:t>데이터 표는 엑셀 What-If 표({=TABLE()})로 살아 있다. 보고서 값은 생성 시 저장된 값이며 실제 Excel 재계산 값과 1원 안에서 같다(P4-B·P4-C 검증).</w:t>
      </w:r>
    </w:p>
    <w:p>
      <w:pPr>
        <w:pStyle w:val="Heading1"/>
      </w:pPr>
      <w:r>
        <w:t>7. 주요 가정의 합리성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주요 가정의 합리성</w:t>
              <w:br/>
              <w:t>작성 안내: 성장 경로·이익률·영구성장률·할인율(MRP·SRP·베타)·RONIC·브리지 항목이 각각 왜 합리적인지, 외부 자료·과거 실적과 어떻게 비교되는지 평가자가 쓴다. 자동 문장 금지</w:t>
              <w:br/>
              <w:br/>
            </w:r>
          </w:p>
        </w:tc>
      </w:tr>
    </w:tbl>
    <w:p/>
    <w:p>
      <w:pPr>
        <w:pStyle w:val="Heading1"/>
      </w:pPr>
      <w:r>
        <w:t>8. 평가상 한계</w:t>
      </w:r>
    </w:p>
    <w:p>
      <w:r>
        <w:rPr>
          <w:i w:val="0"/>
        </w:rPr>
        <w:t>묶음별로 정리했다. '결과 영향'의 숫자는 엑셀 표·칸의 값이다(없으면 '엑셀 민감도 없음').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묶음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가정(값)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왜 미확인·한계인가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결과 영향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한공회 2024~2026 최종 권고 범위 원문 미확인(가이던스 7~9%)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기본·SRP 0%: MRP 7.0% 7,616원 → 9.0% 6,489원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Rf 만기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4.203%(국고채 5년, 선택 10년 4.407%)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실무 외부평가 의견서는 10년이 대부분(P5-B, Rf 만기 표시 57건 중 10년 56건). 기본 5년은 P3 공통 장부(사전 고정)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기본·SRP 0%: 5년 7,003원 → 10년 6,888원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0·1·2% 세 열(결정 D4)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한공회 규모위험프리미엄 구간 표 원문 미확보. 의견서 인용(P5-B, 2차 인용 🔸): Micro 3.35%·4.02%, 3분위 3.35%~4.02%, 5분위 4.16%~4.73%(총 19건). 구간 경계와 대상 회사가 속한 구간은 미확인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기본: SRP 0% 7,003원 → 2% 6,036원 / 인용 참고값 4.02% 5,330원(Rf 5년)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베타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βu 0.967, 피어 R² 중앙값 0.28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주간 2년 회귀의 설명력이 낮을 수 있음(지수·기간 선택은 사전 고정)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없음(P3-C3 보고서 3절 베타 민감도)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할인율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Kd·목표 D/E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11.650%, D/E 0.012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등급 미확인 → 이자비용 ÷ 평균 차입금(하한 Rf)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예측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기계적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CAGR 4.91%, 이익률 5.35%, 시나리오 ±2%p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과거 규칙(판단 최소화)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SRP 0%: 비관 5,345원 / 기본 7,003원 / 낙관 8,801원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예측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체감·영구성장률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8년 체감, g 2.0%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프로젝트 가정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WACC 기본 열: g 1.0% 6,975원 → 3.0% 7,031원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예측 경로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Exit 배수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7.46배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피어 EV/EBITDA 중앙값(병행 표시), 엔진에는 Exit 없음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Exit 주당 7,344원 vs Gordon 7,003원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구조·브리지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비영업·현금성 분류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70,980백만원(EV 밖 항목 합계)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'기타 금융자산' 등 이름 기반 분류(보증금·대여금 혼재 가능), 우발채무 미반영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구조·브리지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주식 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보통주 유통주식수 29,416,053주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기준일 뒤 주식 수 변동 미반영(사람 판단 목록)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엑셀 민감도 없음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반기 재무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 반기(검토, 미감사) 값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감사 범위 밖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시장 자료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한국거래소 통계정보 기준일 단일 값·집계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시계열 미수록(약관)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피어 표본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 EV/Sales 8 / EV/EBITDA 8 / PER 8 / PBR 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표본이 작아 사분위 폭이 넓음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EV/EBITDA 주당 5,261~7,287원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블록 프리미엄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관찰된 경영권 거래 프리미엄(시너지·과다지급 포함) 집계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지분 전체 가치에 곱하지 않음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19,923~29,965원(참고)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방법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수렴 시험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C3 — 공통 규칙 수정 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기계적 경로라 기록만(P7-B 성공 기준 아님). 결과를 본 뒤 규칙을 바꾸지 않음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수렴: DCF 7,003원 vs 5,261~7,287원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>
              <w:t>[사람 작성 칸] 평가상 한계 보완</w:t>
              <w:br/>
              <w:t>작성 안내: 자동 항목 외에 평가자가 아는 한계(정보 비대칭, 산업 위험, 모델 단순화 등)를 덧붙인다</w:t>
              <w:br/>
              <w:br/>
            </w:r>
          </w:p>
        </w:tc>
      </w:tr>
    </w:tbl>
    <w:p/>
    <w:p>
      <w:pPr>
        <w:pStyle w:val="Heading1"/>
      </w:pPr>
      <w:r>
        <w:t>9. 부록</w:t>
      </w:r>
    </w:p>
    <w:p>
      <w:pPr>
        <w:pStyle w:val="Heading2"/>
      </w:pPr>
      <w:r>
        <w:t>9.1 데이터 출처</w:t>
      </w:r>
    </w:p>
    <w:p>
      <w:pPr>
        <w:pStyle w:val="ListBullet"/>
      </w:pPr>
      <w:r>
        <w:t>재무: DART 정기보고서(접수번호 20220811000332, 20230310001126, 20240307000953, 20250307001164, 20260313001168, 20260814000905)</w:t>
      </w:r>
    </w:p>
    <w:p>
      <w:pPr>
        <w:pStyle w:val="ListBullet"/>
      </w:pPr>
      <w:r>
        <w:t>금리: 한국은행 ECOS 817Y002(국고채 5년 010200001, 국고채 10년 010210000, 회사채 3년 AA- 010300000, BBB- 010320000)</w:t>
      </w:r>
    </w:p>
    <w:p>
      <w:pPr>
        <w:pStyle w:val="ListBullet"/>
      </w:pPr>
      <w:r>
        <w:t>외부평가 의견서 집계(P5-B): 스팩 합병 추정 달성률·Rf 만기·한공회 SRP 인용(2차 인용 🔸) — reports/p5b_final.md, 커밋 0a8d7c6</w:t>
      </w:r>
    </w:p>
    <w:p>
      <w:pPr>
        <w:pStyle w:val="ListBullet"/>
      </w:pPr>
      <w:r>
        <w:t>종가·시가총액·20일 VWAP·베타 회귀 결과·시총 백분위: 한국거래소 통계정보(기준일 단일 값·집계)</w:t>
      </w:r>
    </w:p>
    <w:p>
      <w:pPr>
        <w:pStyle w:val="ListBullet"/>
      </w:pPr>
      <w:r>
        <w:t>경영권 프리미엄: 프로젝트 DB(KIND 서식 71207·71209, 주 표본 n=510) 집계값</w:t>
      </w:r>
    </w:p>
    <w:p>
      <w:pPr>
        <w:pStyle w:val="Heading2"/>
      </w:pPr>
      <w:r>
        <w:t>9.2 사전 고정 기록(커밋 해시·시각·메시지 첫 줄)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t>9.3 엑셀 check 요약</w:t>
      </w:r>
    </w:p>
    <w:p>
      <w:r>
        <w:rPr>
          <w:i w:val="0"/>
        </w:rPr>
        <w:t>master check: OK · N/A 1 / OK 62 / WARN 1</w:t>
      </w:r>
    </w:p>
    <w:p>
      <w:pPr>
        <w:pStyle w:val="ListBullet"/>
      </w:pPr>
      <w:r>
        <w:t>WARN: RONIC 계산값 사용(대체 없음)</w:t>
      </w:r>
    </w:p>
    <w:p>
      <w:pPr>
        <w:pStyle w:val="ListBullet"/>
      </w:pPr>
      <w:r>
        <w:t>엑셀 파일: 036200_model_2026-09-30.xlsx</w:t>
      </w:r>
    </w:p>
    <w:p>
      <w:pPr>
        <w:pStyle w:val="Heading2"/>
      </w:pPr>
      <w:r>
        <w:t>9.4 설정 출처(Inputs 출처가 설정 파일인 항목)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설정 출처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시나리오 선택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excel.default_scenario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선택(규모위험프리미엄)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 (D4)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Rf 만기 선택(5 = 국고채 5년, 10 = 국고채 10년)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risk_free.tenor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RONIC 출발점 규칙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config/valuation_rules.yaml common_rules.ronic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평가기준일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meta.as_of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할인 기준일(재무상태표일)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meta.bs_date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현금흐름 시작일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meta.bs_date + 1일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mid-year 할인(1=예, 0=기말)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forecast.mid_year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평가 구조(사용자 결정·규칙 판정)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structure (규칙 판정)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열 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열 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SRP 열 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config/valuation_rf.yaml decisions.srp_columns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Hamada 세율(언레버·리레버)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beta.tax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Blume 가중치(원 β)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config/valuation_rules.yaml common_rules.beta.blume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Blume 상수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config/valuation_rules.yaml common_rules.beta.blume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목표 D/E (WACC)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(공개 모드 집계 입력)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중요 종속회사 상장 여부(1=예)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structure.listed_subsidiary (otrCprInvstmntSttus)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영구성장률 g(사람 값)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forecast.human.g_terminal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출발 성장률 → g 도달 연도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params.fade_to_terminal_by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반기 ÷ 연간 하한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반기 ÷ 연간 상한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÷ 매출 하한(N/M)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D&amp;A ÷ 매출 상한(N/M)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params.ebitda_rule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부문 이익률 차이(단일 보고부문)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structure.segments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부문 성장률 차이(단일 보고부문)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structure.segments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수렴 비율(2032년까지 피어 쪽으로 좁히는 몫)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대상 CAGR 가중치(나머지 = 피어 성장률)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출발 성장률 하한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 출발 성장률 상한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config/p7b2b.yaml mechanical_v2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비지배지분 ÷ 주식가치 ≥ (SOTP)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valuation_rules.yaml structure.nci_share_min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상장 종속회사 + 부문 이익률 차이 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valuation_rules.yaml listed_sub_margin_gap_pp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상장 종속회사 + 부문 성장률 차이 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valuation_rules.yaml listed_sub_growth_gap_pp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시총 백분위 고정 여부(공개 모드)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config/p7c3b.yaml percentile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시장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meta.target.market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회귀 채택 기준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config/premium_p2c3.yaml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D6: KOSDAQ 상위 구간 기준(백분위 이상)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config/premium_p2c3.yaml application_rule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피어 배수 표본 수 경고 기준(미만)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공개 배포 작업 공간/sessions/036200_20260930_001/v1_public/valuation_036200_036200_20260930_001v1p.yaml relative.n_warn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🔸</w:t>
            </w:r>
          </w:p>
        </w:tc>
      </w:tr>
    </w:tbl>
    <w:p/>
    <w:p>
      <w:pPr>
        <w:pStyle w:val="Heading2"/>
      </w:pPr>
      <w:r>
        <w:t>9.5 산출물 요건 대조(docs/output_structure.md 3-2·3-3)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요건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이 초안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남은 것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3-2 시가·자산·수익·상대가치 병행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시가(종가·VWAP), 자산(장부 순자산 참고), 수익(DCF), 상대가치(피어 4종)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DDM 미적용, 채택·가중치는 사람 칸(3장)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3-2 주요 가정의 합리성·평가상 한계 필수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7장 사람 칸, 8장 자동 묶음 + 사람 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합리성 서술(사람)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#1 대상·기준일·기준가치·전제·목적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1장 자동 기재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#2 초안 표시·판단 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제목·머리말 '자동 생성 초안', 사람 칸 6개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#3 병행·가중 근거 기록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3장 방법 표 + 가중치 표(빈칸)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가중치·근거(사람)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#4 사업계획 검증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4.2절 예측 vs 과거 성장률·이익률 표, 4.1절 P5-B 스팩 합병 추정 달성률 참고 표(표시만), 가정마다 출처(4장)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괴리 경고 기준(사람)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#5 할인율(Rf·MRP·SRP·베타)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Rf 5년(10년 선택 칸·G 표), MRP 8%(7·9% 민감도), SRP 세 열 + 한공회 인용 참고값(민감도), Blume·Hamada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SRP 연도별 구간 표 원문(구간 경계·대상 회사 구간)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#6 순차입금 브리지(리스 포함)·비영업·우발채무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리스 포함 브리지, 비영업 분류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우발채무 명세(사람 칸 4.3)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#7 정상화 조정·회전일수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회전일수 추정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정상화 조정 안 함(사람 칸 4.2)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#8 Gordon·Exit·implied·mid-year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5.1절 교차 확인 표, mid-year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#9 민감도·시나리오·풋볼필드·범위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6장 데이터 표 3개, 시나리오 × SRP, 5.4 풋볼필드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#10 DLOM·경영권 프리미엄 조정 여부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블록 띠(참고) 표시, 조정 없음 명시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조정 여부·근거(사람 칸 5.3)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3-3 #11 엑셀 표준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입력·계산·출력 분리, check·master check, Guide 시트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자동 생성 초안 — 주식가치 산정 결과(기계적 가치산정), 전문가 판단 전, 투자 권유 아님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autoSpaceDE w:val="0"/>
        <w:autoSpaceDN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autoSpaceDE w:val="0"/>
      <w:autoSpaceDN w:val="0"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autoSpaceDE w:val="0"/>
      <w:autoSpaceDN w:val="0"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autoSpaceDE w:val="0"/>
      <w:autoSpaceDN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autoSpaceDE w:val="0"/>
      <w:autoSpaceDN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autoSpaceDE w:val="0"/>
      <w:autoSpaceDN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autoSpaceDE w:val="0"/>
      <w:autoSpaceDN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autoSpaceDE w:val="0"/>
      <w:autoSpaceDN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autoSpaceDE w:val="0"/>
      <w:autoSpaceDN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autoSpaceDE w:val="0"/>
      <w:autoSpaceDN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autoSpaceDE w:val="0"/>
      <w:autoSpaceDN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autoSpaceDE w:val="0"/>
      <w:autoSpaceDN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autoSpaceDE w:val="0"/>
      <w:autoSpaceDN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autoSpaceDE w:val="0"/>
      <w:autoSpaceDN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autoSpaceDE w:val="0"/>
      <w:autoSpaceDN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autoSpaceDE w:val="0"/>
      <w:autoSpaceDN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autoSpaceDE w:val="0"/>
      <w:autoSpaceDN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autoSpaceDE w:val="0"/>
      <w:autoSpaceDN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autoSpaceDE w:val="0"/>
      <w:autoSpaceDN w:val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autoSpaceDE w:val="0"/>
      <w:autoSpaceDN w:val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autoSpaceDE w:val="0"/>
      <w:autoSpaceDN w:val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autoSpaceDE w:val="0"/>
      <w:autoSpaceDN w:val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autoSpaceDE w:val="0"/>
      <w:autoSpaceDN w:val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autoSpaceDE w:val="0"/>
      <w:autoSpaceDN w:val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autoSpaceDE w:val="0"/>
      <w:autoSpaceDN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autoSpaceDE w:val="0"/>
      <w:autoSpaceDN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autoSpaceDE w:val="0"/>
      <w:autoSpaceDN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autoSpaceDE w:val="0"/>
      <w:autoSpaceDN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autoSpaceDE w:val="0"/>
      <w:autoSpaceDN w:val="0"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autoSpaceDE w:val="0"/>
      <w:autoSpaceDN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autoSpaceDE w:val="0"/>
      <w:autoSpaceDN w:val="0"/>
      <w:outlineLvl w:val="9"/>
    </w:pPr>
  </w:style>
  <w:style w:type="table" w:styleId="TableGrid">
    <w:name w:val="Table Grid"/>
    <w:basedOn w:val="TableNormal"/>
    <w:uiPriority w:val="59"/>
    <w:rsid w:val="00FC693F"/>
    <w:pPr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autoSpaceDE w:val="0"/>
      <w:autoSpaceDN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autoSpaceDE w:val="0"/>
      <w:autoSpaceDN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autoSpaceDE w:val="0"/>
      <w:autoSpaceDN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