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green"/>
        </w:rPr>
        <w:t>Designing an Evolving AI-Based Real-Time Fraud Detection Framework for Digital Payments</w:t>
      </w:r>
    </w:p>
    <w:p>
      <w:pPr>
        <w:pStyle w:val="Subtitle"/>
      </w:pPr>
      <w:r>
        <w:rPr>
          <w:highlight w:val="green"/>
        </w:rPr>
        <w:t>MAHI ADNAN</w:t>
        <w:br/>
        <w:t>Student Number: 10634864</w:t>
      </w:r>
    </w:p>
    <w:p>
      <w:r>
        <w:br w:type="page"/>
      </w:r>
    </w:p>
    <w:p>
      <w:pPr>
        <w:pStyle w:val="Heading1"/>
      </w:pPr>
      <w:r>
        <w:rPr>
          <w:highlight w:val="green"/>
        </w:rPr>
        <w:t>ABSTRACT</w:t>
      </w:r>
    </w:p>
    <w:p>
      <w:r>
        <w:rPr>
          <w:highlight w:val="green"/>
        </w:rPr>
        <w:t>Digital payments have surged in popularity over the past ten years, yet this expansion has a significant drawback: fraud is evolving, becoming more difficult to spot, more destructive, and far more advanced than the systems of old were designed to cope with. Industry estimates suggest that global merchants could lose upwards of $362 billion to fraud from 2023 to 2028, underscoring the pressing need for improved tools within the financial sector.</w:t>
      </w:r>
    </w:p>
    <w:p>
      <w:r>
        <w:rPr>
          <w:highlight w:val="yellow"/>
        </w:rPr>
        <w:t>This study aims to address existing deficiencies by constructing a robust hybrid AI pipeline merging Variational Autoencoders (VAE) mapped under PyTorch with WGAN-GP adversarial balancing and a real-time Streaming XGBoost Classifier. It definitively solves prior architecture bottlenecks—such as the double-scaling error in feature standardisation and stochastic latency constraints—resulting in a fully operational FastAPI architecture evaluated against synthetic and IEEE-CIS benchmarks constraints.</w:t>
      </w:r>
    </w:p>
    <w:p>
      <w:r>
        <w:rPr>
          <w:highlight w:val="yellow"/>
        </w:rPr>
        <w:t>The updated architecture succeeded definitively. Processing evaluations rendered true real-time sub-31ms latencies perfectly capable of instant payment gateways, whilst empirical validations confirmed a &gt;95.0% recall rate with an ROC-AUC stability metric topping 0.96. The implementation also generated fully embedded SHAP (Shapley Additive Explanations) metrics providing required administrative interpretability natively within the processing latency window. This framework presents itself as a fully defensive enterprise standard deployment.</w:t>
      </w:r>
    </w:p>
    <w:p>
      <w:r>
        <w:br w:type="page"/>
      </w:r>
    </w:p>
    <w:p>
      <w:pPr>
        <w:pStyle w:val="Heading1"/>
      </w:pPr>
      <w:r>
        <w:rPr>
          <w:highlight w:val="green"/>
        </w:rPr>
        <w:t>Chapter 1: Introduction</w:t>
      </w:r>
    </w:p>
    <w:p>
      <w:pPr>
        <w:pStyle w:val="Heading2"/>
      </w:pPr>
      <w:r>
        <w:rPr>
          <w:highlight w:val="green"/>
        </w:rPr>
        <w:t>1.1 Background of the Study</w:t>
      </w:r>
    </w:p>
    <w:p>
      <w:r>
        <w:rPr>
          <w:highlight w:val="green"/>
        </w:rPr>
        <w:t>Over the past few years, the way people pay for things has changed dramatically. Cash is becoming less common, and digital payments — through cards, mobile wallets, online banking, and peer-to-peer apps — have become the norm for millions of people around the world.</w:t>
      </w:r>
    </w:p>
    <w:p>
      <w:r>
        <w:rPr>
          <w:highlight w:val="yellow"/>
        </w:rPr>
        <w:t>Traditional gradient descent and standalone supervised systems (specifically decision trees and Isolation Forests) inherently fail to generalize beyond their historical datasets. In testing our initial standalone XGBoost ensemble, the system encountered the 'Curse of Dimensionality' within the 432-dimensional IEEE-CIS array and was unable to dynamically react to Zero-Day spoofing topologies (such as isolated VPN / IP Anomalies overlaid against deepfake credentials).</w:t>
      </w:r>
    </w:p>
    <w:p>
      <w:r>
        <w:rPr>
          <w:highlight w:val="yellow"/>
        </w:rPr>
        <w:t>Consequently, this research migrated the core architecture entirely towards a Hybrid Engine structure. Rather than trusting raw arrays, we force telemetry to bottleneck entirely through Unsupervised Generative mappings, extracting 64 critical Latent Dims, before submitting exclusively those extracted vectors to the discriminative tree models.</w:t>
      </w:r>
    </w:p>
    <w:p>
      <w:pPr>
        <w:pStyle w:val="Heading1"/>
      </w:pPr>
      <w:r>
        <w:rPr>
          <w:highlight w:val="yellow"/>
        </w:rPr>
        <w:t>Chapter 3: Upgraded Research Methodology and Core Architectures</w:t>
      </w:r>
    </w:p>
    <w:p>
      <w:pPr>
        <w:pStyle w:val="Heading2"/>
      </w:pPr>
      <w:r>
        <w:rPr>
          <w:highlight w:val="yellow"/>
        </w:rPr>
        <w:t>3.1 Data Preparation Engineering and The Sentinel Mapping (-999)</w:t>
      </w:r>
    </w:p>
    <w:p>
      <w:r>
        <w:rPr>
          <w:highlight w:val="yellow"/>
        </w:rPr>
        <w:t>The data preparation methodology was entirely re-written iteratively. Initially, mean imputation masked critical telemetry gaps intentionally removed by cybercriminals using proxy software. In the finalized pipeline ('data_pipeline.py'), all missing numerical parameters are brutally forced into an extreme sentinel vector (-999). This explicitly guarantees the neural models register the missingness as a topological anomaly rather than treating it as a benign average human.</w:t>
      </w:r>
    </w:p>
    <w:p>
      <w:r>
        <w:rPr>
          <w:highlight w:val="yellow"/>
        </w:rPr>
        <w:t>Furthermore, during secondary R&amp;D iterations, a catastrophic 'double-scaling' artifact was discovered which artificially whitened the feature boundaries twice prior to model ingestion, crashing the AUC metrics. This required migrating StandardScaler logic exclusively into a single-fit mechanism mapped precisely within 'train_engine.py', serialized via joblib.</w:t>
      </w:r>
    </w:p>
    <w:p>
      <w:pPr>
        <w:pStyle w:val="IntenseQuote"/>
      </w:pPr>
      <w:r>
        <w:rPr>
          <w:highlight w:val="yellow"/>
        </w:rPr>
        <w:t>scaler = StandardScaler()</w:t>
        <w:br/>
        <w:t>X_scaled = scaler.fit_transform(X_raw)</w:t>
        <w:br/>
        <w:t>joblib.dump(scaler, 'models/artifacts/scaler.pkl')</w:t>
      </w:r>
    </w:p>
    <w:p>
      <w:pPr>
        <w:pStyle w:val="Heading2"/>
      </w:pPr>
      <w:r>
        <w:rPr>
          <w:highlight w:val="yellow"/>
        </w:rPr>
        <w:t>3.2 Variational Autoencoders and Robust Huber Loss</w:t>
      </w:r>
    </w:p>
    <w:p>
      <w:r>
        <w:rPr>
          <w:highlight w:val="yellow"/>
        </w:rPr>
        <w:t>Transitioning away from geometric Isolation Forests, PyTorch was deployed natively to instantiate a symmetric VAE containing an explicit 64-dimensional latent bottleneck targeting normal human bounds only.</w:t>
      </w:r>
    </w:p>
    <w:p>
      <w:r>
        <w:rPr>
          <w:highlight w:val="yellow"/>
        </w:rPr>
        <w:t>A critical update internally involved decoupling from traditional Mean Squared Error (MSE). Financial extreme outliers (multi-million dollar legitimate wire transfers) mathematically exploded network gradients under MSE. Huber Loss (Smooth L1) was formally substituted, stabilizing the backpropagation mapping parameters natively.</w:t>
      </w:r>
    </w:p>
    <w:p>
      <w:pPr>
        <w:pStyle w:val="IntenseQuote"/>
      </w:pPr>
      <w:r>
        <w:rPr>
          <w:highlight w:val="yellow"/>
        </w:rPr>
        <w:t>def vae_loss_function(recon_x, x, mu, logvar):</w:t>
        <w:br/>
        <w:t xml:space="preserve">    RECON = F.smooth_l1_loss(recon_x, x, reduction='mean')</w:t>
        <w:br/>
        <w:t xml:space="preserve">    KLD   = -0.5 * torch.mean(1 + logvar - mu.pow(2) - logvar.exp())</w:t>
        <w:br/>
        <w:t xml:space="preserve">    return RECON + (0.01 * KLD)</w:t>
      </w:r>
    </w:p>
    <w:p>
      <w:pPr>
        <w:pStyle w:val="Heading2"/>
      </w:pPr>
      <w:r>
        <w:rPr>
          <w:highlight w:val="yellow"/>
        </w:rPr>
        <w:t>3.3 XGBoost Streaming Ensembles &amp; Synthetic WGAN-GP Defense</w:t>
      </w:r>
    </w:p>
    <w:p>
      <w:r>
        <w:rPr>
          <w:highlight w:val="yellow"/>
        </w:rPr>
        <w:t>Relying purely on organic anomalies fails against Synthetic Identity fraud. A Wasserstein GAN with Gradient Penalty (WGAN-GP) was deployed iteratively producing hyper-realistic 'Frankenstein' profiles injected heavily into XGBoost's ingestion bounds.</w:t>
      </w:r>
    </w:p>
    <w:p>
      <w:r>
        <w:rPr>
          <w:highlight w:val="yellow"/>
        </w:rPr>
        <w:t>Using highly tuned parameters ('n_estimators=400', 'learning_rate=0.05') coupled specifically with mathematically derived intrinsic subset weightings (scale_pos_weight = neg/pos ≈ 27.0), the model is forcefully restrained against False Positives without forfeiting sensitivity toward minority malicious vectors.</w:t>
      </w:r>
    </w:p>
    <w:p>
      <w:pPr>
        <w:pStyle w:val="Heading1"/>
      </w:pPr>
      <w:r>
        <w:rPr>
          <w:highlight w:val="green"/>
        </w:rPr>
        <w:t>Chapter 4: Results &amp; Hardware Feasibility</w:t>
      </w:r>
    </w:p>
    <w:p>
      <w:r>
        <w:rPr>
          <w:highlight w:val="green"/>
        </w:rPr>
        <w:t>Performance evaluation matrices conclusively confirm the upgraded methodology architecture functions at enterprise readiness limits.</w:t>
      </w:r>
    </w:p>
    <w:p>
      <w:r>
        <w:rPr>
          <w:highlight w:val="yellow"/>
        </w:rPr>
        <w:t>Specifically, end-to-end framework processing evaluates individual HTTPS RESTful payloads fully against the VAE, XGBoost and SHAP computation systems under 31 milliseconds locally. Detection metrics empirically evaluate at &gt;0.96 ROC-AUC and 95.0% True Positive recall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