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exact"/>
        <w:jc w:val="center"/>
      </w:pPr>
      <w:r>
        <w:rPr>
          <w:rFonts w:ascii="Times New Roman" w:hAnsi="Times New Roman"/>
          <w:b/>
          <w:i w:val="0"/>
          <w:sz w:val="32"/>
        </w:rPr>
        <w:t>Active Disturbance Rejection Control for Thrust Vector Control of a Small</w:t>
        <w:br/>
        <w:t>Sounding Rocket: A Hardware-in-the-Loop Digital Twin Approach</w:t>
      </w:r>
    </w:p>
    <w:p>
      <w:pPr>
        <w:spacing w:before="80" w:after="40" w:line="240" w:lineRule="exact"/>
        <w:jc w:val="center"/>
      </w:pPr>
      <w:r>
        <w:rPr>
          <w:rFonts w:ascii="Times New Roman" w:hAnsi="Times New Roman"/>
          <w:b w:val="0"/>
          <w:i/>
          <w:sz w:val="22"/>
        </w:rPr>
        <w:t>Mevrick Neal</w:t>
      </w:r>
    </w:p>
    <w:p>
      <w:pPr>
        <w:spacing w:before="0" w:after="160" w:line="240" w:lineRule="exact"/>
        <w:jc w:val="center"/>
      </w:pPr>
      <w:r>
        <w:rPr>
          <w:rFonts w:ascii="Times New Roman" w:hAnsi="Times New Roman"/>
          <w:b w:val="0"/>
          <w:i/>
          <w:sz w:val="18"/>
        </w:rPr>
        <w:t>Department of Aerospace Engineering | Project Neal TVC Research, 2026</w:t>
      </w:r>
    </w:p>
    <w:p>
      <w:pPr>
        <w:spacing w:before="80" w:after="80"/>
        <w:pBdr>
          <w:bottom w:val="single" w:sz="4" w:space="1" w:color="auto"/>
        </w:pBdr>
      </w:pPr>
    </w:p>
    <w:p>
      <w:pPr>
        <w:spacing w:before="120" w:after="60" w:line="240" w:lineRule="exact"/>
        <w:jc w:val="center"/>
      </w:pPr>
      <w:r>
        <w:rPr>
          <w:rFonts w:ascii="Times New Roman" w:hAnsi="Times New Roman"/>
          <w:b/>
          <w:i w:val="0"/>
          <w:sz w:val="20"/>
        </w:rPr>
        <w:t>ABSTRACT</w:t>
      </w:r>
    </w:p>
    <w:p>
      <w:pPr>
        <w:spacing w:before="0" w:after="120" w:line="240" w:lineRule="exact"/>
        <w:ind w:firstLine="360"/>
        <w:jc w:val="left"/>
      </w:pPr>
      <w:r>
        <w:rPr>
          <w:rFonts w:ascii="Times New Roman" w:hAnsi="Times New Roman"/>
          <w:b w:val="0"/>
          <w:i w:val="0"/>
          <w:sz w:val="20"/>
        </w:rPr>
        <w:t>This paper presents the design, simulation, and hardware validation of a thrust vector control (TVC) system for a 2.055 kg single-stage sounding rocket designated Project Neal. A real-time hardware-in-the-loop (HIL) digital twin—implemented in React/Three.js with a FastAPI telemetry bridge—replicates the full 6-degree-of-freedom flight dynamics on a browser-based dashboard. Four feedback control architectures are designed and benchmarked under 500-run Monte Carlo mass and wind perturbation scenarios: classical proportional-integral-derivative (PID) control, linear-quadratic-integral (LQI) optimal control, model-reference adaptive control (MRAC), and active disturbance rejection control (ADRC). ADRC achieves zero overshoot with a mean pitch RMSE of 2.26 deg while eliminating the need for explicit plant model knowledge. Flight firmware executes on an ARM Cortex-M4 (STM32F411CEU6) at 50 Hz, streaming real-time telemetry via UART DMA at 115200 baud. Results confirm ADRC as the superior architecture for mass-transient-dominant propulsion-phase attitude control in the sub-3 kg rocket class.</w:t>
      </w:r>
    </w:p>
    <w:p>
      <w:pPr>
        <w:spacing w:before="0" w:after="160" w:line="240" w:lineRule="exact"/>
        <w:jc w:val="left"/>
      </w:pPr>
      <w:r>
        <w:rPr>
          <w:rFonts w:ascii="Times New Roman" w:hAnsi="Times New Roman"/>
          <w:b w:val="0"/>
          <w:i/>
          <w:sz w:val="18"/>
        </w:rPr>
        <w:t>Index Terms—Thrust vector control, ADRC, digital twin, sounding rocket, PID, LQI, MRAC, extended state observer, STM32, hardware-in-the-loop.</w:t>
      </w:r>
    </w:p>
    <w:p>
      <w:pPr>
        <w:spacing w:before="80" w:after="80"/>
        <w:pBdr>
          <w:bottom w:val="single" w:sz="4" w:space="1" w:color="auto"/>
        </w:pBdr>
      </w:pPr>
    </w:p>
    <w:p>
      <w:pPr>
        <w:spacing w:before="120" w:after="60" w:line="240" w:lineRule="exact"/>
        <w:jc w:val="left"/>
      </w:pPr>
      <w:r>
        <w:rPr>
          <w:rFonts w:ascii="Times New Roman" w:hAnsi="Times New Roman"/>
          <w:b/>
          <w:i w:val="0"/>
          <w:sz w:val="20"/>
        </w:rPr>
        <w:t>I.  INTRODUCTION</w:t>
      </w:r>
    </w:p>
    <w:p>
      <w:pPr>
        <w:spacing w:before="0" w:after="80" w:line="240" w:lineRule="exact"/>
        <w:ind w:firstLine="360"/>
        <w:jc w:val="left"/>
      </w:pPr>
      <w:r>
        <w:rPr>
          <w:rFonts w:ascii="Times New Roman" w:hAnsi="Times New Roman"/>
          <w:b w:val="0"/>
          <w:i w:val="0"/>
          <w:sz w:val="20"/>
        </w:rPr>
        <w:t>Thrust vector control is the dominant attitude actuation mechanism during the propulsion phase of small rockets operating below the dynamic-pressure regime in which aerodynamic fin surfaces become effective. In the 1–5 kg wet-mass class, the propellant mass fraction is high enough that the center of mass (CG) migrates significantly along the body axis throughout the burn, substantially altering the control moment arm and the effective pitch stiffness. Classical PID controllers tuned at a single operating point exhibit performance degradation as the plant changes, motivating adaptive and disturbance-rejecting alternatives.</w:t>
      </w:r>
    </w:p>
    <w:p>
      <w:pPr>
        <w:spacing w:before="0" w:after="80" w:line="240" w:lineRule="exact"/>
        <w:ind w:firstLine="360"/>
        <w:jc w:val="left"/>
      </w:pPr>
      <w:r>
        <w:rPr>
          <w:rFonts w:ascii="Times New Roman" w:hAnsi="Times New Roman"/>
          <w:b w:val="0"/>
          <w:i w:val="0"/>
          <w:sz w:val="20"/>
        </w:rPr>
        <w:t>Active disturbance rejection control (ADRC), introduced by Han [1] and subsequently elaborated by Gao [2], addresses this challenge by treating all unmodeled dynamics, parameter variations, and external disturbances as a single lumped "total disturbance" that is estimated in real time by an extended state observer (ESO). The ESO output is then used to cancel the disturbance in the control law, reducing the plant to an integrator chain that is trivially stabilized by a linear state-feedback term. This architecture requires only an approximate knowledge of the input gain, making it attractive for hardware with mass and aerodynamic uncertainty.</w:t>
      </w:r>
    </w:p>
    <w:p>
      <w:pPr>
        <w:spacing w:before="0" w:after="80" w:line="240" w:lineRule="exact"/>
        <w:ind w:firstLine="360"/>
        <w:jc w:val="left"/>
      </w:pPr>
      <w:r>
        <w:rPr>
          <w:rFonts w:ascii="Times New Roman" w:hAnsi="Times New Roman"/>
          <w:b w:val="0"/>
          <w:i w:val="0"/>
          <w:sz w:val="20"/>
        </w:rPr>
        <w:t>The contribution of this work is threefold. First, a high-fidelity 6-DOF nonlinear model of Project Neal is derived and implemented as a digital twin with live sensor telemetry integration. Second, four controllers (PID, LQI, MRAC, ADRC) are systematically compared under identical Monte Carlo scenarios. Third, the entire simulation and visualization stack is co-deployed with the physical STM32 flight computer in a hardware-in-the-loop configuration, enabling closed-loop testing before live flight.</w:t>
      </w:r>
    </w:p>
    <w:p>
      <w:pPr>
        <w:spacing w:before="120" w:after="60" w:line="240" w:lineRule="exact"/>
        <w:jc w:val="left"/>
      </w:pPr>
      <w:r>
        <w:rPr>
          <w:rFonts w:ascii="Times New Roman" w:hAnsi="Times New Roman"/>
          <w:b/>
          <w:i w:val="0"/>
          <w:sz w:val="20"/>
        </w:rPr>
        <w:t>II.  VEHICLE MODEL AND PARAMETERS</w:t>
      </w:r>
    </w:p>
    <w:p>
      <w:pPr>
        <w:spacing w:before="0" w:after="80" w:line="240" w:lineRule="exact"/>
        <w:ind w:firstLine="360"/>
        <w:jc w:val="left"/>
      </w:pPr>
      <w:r>
        <w:rPr>
          <w:rFonts w:ascii="Times New Roman" w:hAnsi="Times New Roman"/>
          <w:b w:val="0"/>
          <w:i w:val="0"/>
          <w:sz w:val="20"/>
        </w:rPr>
        <w:t>Project Neal is a single-stage solid-motor sounding rocket with the following measured inertial properties (Table I). The motor is a commercial Estes/Aerotech class motor producing a mean thrust of 75 N over a 1.2 s burn, for a total impulse of 90 N·s.</w:t>
      </w:r>
    </w:p>
    <w:p>
      <w:pPr>
        <w:spacing w:after="80"/>
      </w:pPr>
    </w:p>
    <w:tbl>
      <w:tblPr>
        <w:tblStyle w:val="TableGrid"/>
        <w:tblW w:type="auto" w:w="0"/>
        <w:tblLook w:firstColumn="1" w:firstRow="1" w:lastColumn="0" w:lastRow="0" w:noHBand="0" w:noVBand="1" w:val="04A0"/>
      </w:tblPr>
      <w:tblGrid>
        <w:gridCol w:w="2520"/>
        <w:gridCol w:w="2520"/>
        <w:gridCol w:w="2520"/>
        <w:gridCol w:w="2520"/>
      </w:tblGrid>
      <w:tr>
        <w:tc>
          <w:tcPr>
            <w:tcW w:type="dxa" w:w="2880"/>
          </w:tcPr>
          <w:p>
            <w:pPr>
              <w:jc w:val="center"/>
            </w:pPr>
            <w:r>
              <w:rPr>
                <w:rFonts w:ascii="Times New Roman" w:hAnsi="Times New Roman"/>
                <w:b/>
                <w:sz w:val="18"/>
              </w:rPr>
              <w:t>Parameter</w:t>
            </w:r>
          </w:p>
        </w:tc>
        <w:tc>
          <w:tcPr>
            <w:tcW w:type="dxa" w:w="1296"/>
          </w:tcPr>
          <w:p>
            <w:pPr>
              <w:jc w:val="center"/>
            </w:pPr>
            <w:r>
              <w:rPr>
                <w:rFonts w:ascii="Times New Roman" w:hAnsi="Times New Roman"/>
                <w:b/>
                <w:sz w:val="18"/>
              </w:rPr>
              <w:t>Symbol</w:t>
            </w:r>
          </w:p>
        </w:tc>
        <w:tc>
          <w:tcPr>
            <w:tcW w:type="dxa" w:w="1152"/>
          </w:tcPr>
          <w:p>
            <w:pPr>
              <w:jc w:val="center"/>
            </w:pPr>
            <w:r>
              <w:rPr>
                <w:rFonts w:ascii="Times New Roman" w:hAnsi="Times New Roman"/>
                <w:b/>
                <w:sz w:val="18"/>
              </w:rPr>
              <w:t>Value</w:t>
            </w:r>
          </w:p>
        </w:tc>
        <w:tc>
          <w:tcPr>
            <w:tcW w:type="dxa" w:w="1008"/>
          </w:tcPr>
          <w:p>
            <w:pPr>
              <w:jc w:val="center"/>
            </w:pPr>
            <w:r>
              <w:rPr>
                <w:rFonts w:ascii="Times New Roman" w:hAnsi="Times New Roman"/>
                <w:b/>
                <w:sz w:val="18"/>
              </w:rPr>
              <w:t>Unit</w:t>
            </w:r>
          </w:p>
        </w:tc>
      </w:tr>
      <w:tr>
        <w:tc>
          <w:tcPr>
            <w:tcW w:type="dxa" w:w="2880"/>
          </w:tcPr>
          <w:p>
            <w:pPr>
              <w:jc w:val="center"/>
            </w:pPr>
            <w:r>
              <w:rPr>
                <w:rFonts w:ascii="Times New Roman" w:hAnsi="Times New Roman"/>
                <w:sz w:val="18"/>
              </w:rPr>
              <w:t>Wet launch mass</w:t>
            </w:r>
          </w:p>
        </w:tc>
        <w:tc>
          <w:tcPr>
            <w:tcW w:type="dxa" w:w="1296"/>
          </w:tcPr>
          <w:p>
            <w:pPr>
              <w:jc w:val="center"/>
            </w:pPr>
            <w:r>
              <w:rPr>
                <w:rFonts w:ascii="Times New Roman" w:hAnsi="Times New Roman"/>
                <w:sz w:val="18"/>
              </w:rPr>
              <w:t>m_wet</w:t>
            </w:r>
          </w:p>
        </w:tc>
        <w:tc>
          <w:tcPr>
            <w:tcW w:type="dxa" w:w="1152"/>
          </w:tcPr>
          <w:p>
            <w:pPr>
              <w:jc w:val="center"/>
            </w:pPr>
            <w:r>
              <w:rPr>
                <w:rFonts w:ascii="Times New Roman" w:hAnsi="Times New Roman"/>
                <w:sz w:val="18"/>
              </w:rPr>
              <w:t>2.055</w:t>
            </w:r>
          </w:p>
        </w:tc>
        <w:tc>
          <w:tcPr>
            <w:tcW w:type="dxa" w:w="1008"/>
          </w:tcPr>
          <w:p>
            <w:pPr>
              <w:jc w:val="center"/>
            </w:pPr>
            <w:r>
              <w:rPr>
                <w:rFonts w:ascii="Times New Roman" w:hAnsi="Times New Roman"/>
                <w:sz w:val="18"/>
              </w:rPr>
              <w:t>kg</w:t>
            </w:r>
          </w:p>
        </w:tc>
      </w:tr>
      <w:tr>
        <w:tc>
          <w:tcPr>
            <w:tcW w:type="dxa" w:w="2880"/>
          </w:tcPr>
          <w:p>
            <w:pPr>
              <w:jc w:val="center"/>
            </w:pPr>
            <w:r>
              <w:rPr>
                <w:rFonts w:ascii="Times New Roman" w:hAnsi="Times New Roman"/>
                <w:sz w:val="18"/>
              </w:rPr>
              <w:t>Dry mass</w:t>
            </w:r>
          </w:p>
        </w:tc>
        <w:tc>
          <w:tcPr>
            <w:tcW w:type="dxa" w:w="1296"/>
          </w:tcPr>
          <w:p>
            <w:pPr>
              <w:jc w:val="center"/>
            </w:pPr>
            <w:r>
              <w:rPr>
                <w:rFonts w:ascii="Times New Roman" w:hAnsi="Times New Roman"/>
                <w:sz w:val="18"/>
              </w:rPr>
              <w:t>m_dry</w:t>
            </w:r>
          </w:p>
        </w:tc>
        <w:tc>
          <w:tcPr>
            <w:tcW w:type="dxa" w:w="1152"/>
          </w:tcPr>
          <w:p>
            <w:pPr>
              <w:jc w:val="center"/>
            </w:pPr>
            <w:r>
              <w:rPr>
                <w:rFonts w:ascii="Times New Roman" w:hAnsi="Times New Roman"/>
                <w:sz w:val="18"/>
              </w:rPr>
              <w:t>1.968</w:t>
            </w:r>
          </w:p>
        </w:tc>
        <w:tc>
          <w:tcPr>
            <w:tcW w:type="dxa" w:w="1008"/>
          </w:tcPr>
          <w:p>
            <w:pPr>
              <w:jc w:val="center"/>
            </w:pPr>
            <w:r>
              <w:rPr>
                <w:rFonts w:ascii="Times New Roman" w:hAnsi="Times New Roman"/>
                <w:sz w:val="18"/>
              </w:rPr>
              <w:t>kg</w:t>
            </w:r>
          </w:p>
        </w:tc>
      </w:tr>
      <w:tr>
        <w:tc>
          <w:tcPr>
            <w:tcW w:type="dxa" w:w="2880"/>
          </w:tcPr>
          <w:p>
            <w:pPr>
              <w:jc w:val="center"/>
            </w:pPr>
            <w:r>
              <w:rPr>
                <w:rFonts w:ascii="Times New Roman" w:hAnsi="Times New Roman"/>
                <w:sz w:val="18"/>
              </w:rPr>
              <w:t>Propellant mass</w:t>
            </w:r>
          </w:p>
        </w:tc>
        <w:tc>
          <w:tcPr>
            <w:tcW w:type="dxa" w:w="1296"/>
          </w:tcPr>
          <w:p>
            <w:pPr>
              <w:jc w:val="center"/>
            </w:pPr>
            <w:r>
              <w:rPr>
                <w:rFonts w:ascii="Times New Roman" w:hAnsi="Times New Roman"/>
                <w:sz w:val="18"/>
              </w:rPr>
              <w:t>m_p</w:t>
            </w:r>
          </w:p>
        </w:tc>
        <w:tc>
          <w:tcPr>
            <w:tcW w:type="dxa" w:w="1152"/>
          </w:tcPr>
          <w:p>
            <w:pPr>
              <w:jc w:val="center"/>
            </w:pPr>
            <w:r>
              <w:rPr>
                <w:rFonts w:ascii="Times New Roman" w:hAnsi="Times New Roman"/>
                <w:sz w:val="18"/>
              </w:rPr>
              <w:t>0.087</w:t>
            </w:r>
          </w:p>
        </w:tc>
        <w:tc>
          <w:tcPr>
            <w:tcW w:type="dxa" w:w="1008"/>
          </w:tcPr>
          <w:p>
            <w:pPr>
              <w:jc w:val="center"/>
            </w:pPr>
            <w:r>
              <w:rPr>
                <w:rFonts w:ascii="Times New Roman" w:hAnsi="Times New Roman"/>
                <w:sz w:val="18"/>
              </w:rPr>
              <w:t>kg</w:t>
            </w:r>
          </w:p>
        </w:tc>
      </w:tr>
      <w:tr>
        <w:tc>
          <w:tcPr>
            <w:tcW w:type="dxa" w:w="2880"/>
          </w:tcPr>
          <w:p>
            <w:pPr>
              <w:jc w:val="center"/>
            </w:pPr>
            <w:r>
              <w:rPr>
                <w:rFonts w:ascii="Times New Roman" w:hAnsi="Times New Roman"/>
                <w:sz w:val="18"/>
              </w:rPr>
              <w:t>Average thrust</w:t>
            </w:r>
          </w:p>
        </w:tc>
        <w:tc>
          <w:tcPr>
            <w:tcW w:type="dxa" w:w="1296"/>
          </w:tcPr>
          <w:p>
            <w:pPr>
              <w:jc w:val="center"/>
            </w:pPr>
            <w:r>
              <w:rPr>
                <w:rFonts w:ascii="Times New Roman" w:hAnsi="Times New Roman"/>
                <w:sz w:val="18"/>
              </w:rPr>
              <w:t>F_t</w:t>
            </w:r>
          </w:p>
        </w:tc>
        <w:tc>
          <w:tcPr>
            <w:tcW w:type="dxa" w:w="1152"/>
          </w:tcPr>
          <w:p>
            <w:pPr>
              <w:jc w:val="center"/>
            </w:pPr>
            <w:r>
              <w:rPr>
                <w:rFonts w:ascii="Times New Roman" w:hAnsi="Times New Roman"/>
                <w:sz w:val="18"/>
              </w:rPr>
              <w:t>75.0</w:t>
            </w:r>
          </w:p>
        </w:tc>
        <w:tc>
          <w:tcPr>
            <w:tcW w:type="dxa" w:w="1008"/>
          </w:tcPr>
          <w:p>
            <w:pPr>
              <w:jc w:val="center"/>
            </w:pPr>
            <w:r>
              <w:rPr>
                <w:rFonts w:ascii="Times New Roman" w:hAnsi="Times New Roman"/>
                <w:sz w:val="18"/>
              </w:rPr>
              <w:t>N</w:t>
            </w:r>
          </w:p>
        </w:tc>
      </w:tr>
      <w:tr>
        <w:tc>
          <w:tcPr>
            <w:tcW w:type="dxa" w:w="2880"/>
          </w:tcPr>
          <w:p>
            <w:pPr>
              <w:jc w:val="center"/>
            </w:pPr>
            <w:r>
              <w:rPr>
                <w:rFonts w:ascii="Times New Roman" w:hAnsi="Times New Roman"/>
                <w:sz w:val="18"/>
              </w:rPr>
              <w:t>Burn time</w:t>
            </w:r>
          </w:p>
        </w:tc>
        <w:tc>
          <w:tcPr>
            <w:tcW w:type="dxa" w:w="1296"/>
          </w:tcPr>
          <w:p>
            <w:pPr>
              <w:jc w:val="center"/>
            </w:pPr>
            <w:r>
              <w:rPr>
                <w:rFonts w:ascii="Times New Roman" w:hAnsi="Times New Roman"/>
                <w:sz w:val="18"/>
              </w:rPr>
              <w:t>t_b</w:t>
            </w:r>
          </w:p>
        </w:tc>
        <w:tc>
          <w:tcPr>
            <w:tcW w:type="dxa" w:w="1152"/>
          </w:tcPr>
          <w:p>
            <w:pPr>
              <w:jc w:val="center"/>
            </w:pPr>
            <w:r>
              <w:rPr>
                <w:rFonts w:ascii="Times New Roman" w:hAnsi="Times New Roman"/>
                <w:sz w:val="18"/>
              </w:rPr>
              <w:t>1.2</w:t>
            </w:r>
          </w:p>
        </w:tc>
        <w:tc>
          <w:tcPr>
            <w:tcW w:type="dxa" w:w="1008"/>
          </w:tcPr>
          <w:p>
            <w:pPr>
              <w:jc w:val="center"/>
            </w:pPr>
            <w:r>
              <w:rPr>
                <w:rFonts w:ascii="Times New Roman" w:hAnsi="Times New Roman"/>
                <w:sz w:val="18"/>
              </w:rPr>
              <w:t>s</w:t>
            </w:r>
          </w:p>
        </w:tc>
      </w:tr>
      <w:tr>
        <w:tc>
          <w:tcPr>
            <w:tcW w:type="dxa" w:w="2880"/>
          </w:tcPr>
          <w:p>
            <w:pPr>
              <w:jc w:val="center"/>
            </w:pPr>
            <w:r>
              <w:rPr>
                <w:rFonts w:ascii="Times New Roman" w:hAnsi="Times New Roman"/>
                <w:sz w:val="18"/>
              </w:rPr>
              <w:t>Total impulse</w:t>
            </w:r>
          </w:p>
        </w:tc>
        <w:tc>
          <w:tcPr>
            <w:tcW w:type="dxa" w:w="1296"/>
          </w:tcPr>
          <w:p>
            <w:pPr>
              <w:jc w:val="center"/>
            </w:pPr>
            <w:r>
              <w:rPr>
                <w:rFonts w:ascii="Times New Roman" w:hAnsi="Times New Roman"/>
                <w:sz w:val="18"/>
              </w:rPr>
              <w:t>I_t</w:t>
            </w:r>
          </w:p>
        </w:tc>
        <w:tc>
          <w:tcPr>
            <w:tcW w:type="dxa" w:w="1152"/>
          </w:tcPr>
          <w:p>
            <w:pPr>
              <w:jc w:val="center"/>
            </w:pPr>
            <w:r>
              <w:rPr>
                <w:rFonts w:ascii="Times New Roman" w:hAnsi="Times New Roman"/>
                <w:sz w:val="18"/>
              </w:rPr>
              <w:t>90.0</w:t>
            </w:r>
          </w:p>
        </w:tc>
        <w:tc>
          <w:tcPr>
            <w:tcW w:type="dxa" w:w="1008"/>
          </w:tcPr>
          <w:p>
            <w:pPr>
              <w:jc w:val="center"/>
            </w:pPr>
            <w:r>
              <w:rPr>
                <w:rFonts w:ascii="Times New Roman" w:hAnsi="Times New Roman"/>
                <w:sz w:val="18"/>
              </w:rPr>
              <w:t>N·s</w:t>
            </w:r>
          </w:p>
        </w:tc>
      </w:tr>
      <w:tr>
        <w:tc>
          <w:tcPr>
            <w:tcW w:type="dxa" w:w="2880"/>
          </w:tcPr>
          <w:p>
            <w:pPr>
              <w:jc w:val="center"/>
            </w:pPr>
            <w:r>
              <w:rPr>
                <w:rFonts w:ascii="Times New Roman" w:hAnsi="Times New Roman"/>
                <w:sz w:val="18"/>
              </w:rPr>
              <w:t>Pitch MOI (wet)</w:t>
            </w:r>
          </w:p>
        </w:tc>
        <w:tc>
          <w:tcPr>
            <w:tcW w:type="dxa" w:w="1296"/>
          </w:tcPr>
          <w:p>
            <w:pPr>
              <w:jc w:val="center"/>
            </w:pPr>
            <w:r>
              <w:rPr>
                <w:rFonts w:ascii="Times New Roman" w:hAnsi="Times New Roman"/>
                <w:sz w:val="18"/>
              </w:rPr>
              <w:t>I_yy</w:t>
            </w:r>
          </w:p>
        </w:tc>
        <w:tc>
          <w:tcPr>
            <w:tcW w:type="dxa" w:w="1152"/>
          </w:tcPr>
          <w:p>
            <w:pPr>
              <w:jc w:val="center"/>
            </w:pPr>
            <w:r>
              <w:rPr>
                <w:rFonts w:ascii="Times New Roman" w:hAnsi="Times New Roman"/>
                <w:sz w:val="18"/>
              </w:rPr>
              <w:t>0.028</w:t>
            </w:r>
          </w:p>
        </w:tc>
        <w:tc>
          <w:tcPr>
            <w:tcW w:type="dxa" w:w="1008"/>
          </w:tcPr>
          <w:p>
            <w:pPr>
              <w:jc w:val="center"/>
            </w:pPr>
            <w:r>
              <w:rPr>
                <w:rFonts w:ascii="Times New Roman" w:hAnsi="Times New Roman"/>
                <w:sz w:val="18"/>
              </w:rPr>
              <w:t>kg·m²</w:t>
            </w:r>
          </w:p>
        </w:tc>
      </w:tr>
      <w:tr>
        <w:tc>
          <w:tcPr>
            <w:tcW w:type="dxa" w:w="2880"/>
          </w:tcPr>
          <w:p>
            <w:pPr>
              <w:jc w:val="center"/>
            </w:pPr>
            <w:r>
              <w:rPr>
                <w:rFonts w:ascii="Times New Roman" w:hAnsi="Times New Roman"/>
                <w:sz w:val="18"/>
              </w:rPr>
              <w:t>Roll MOI</w:t>
            </w:r>
          </w:p>
        </w:tc>
        <w:tc>
          <w:tcPr>
            <w:tcW w:type="dxa" w:w="1296"/>
          </w:tcPr>
          <w:p>
            <w:pPr>
              <w:jc w:val="center"/>
            </w:pPr>
            <w:r>
              <w:rPr>
                <w:rFonts w:ascii="Times New Roman" w:hAnsi="Times New Roman"/>
                <w:sz w:val="18"/>
              </w:rPr>
              <w:t>I_xx</w:t>
            </w:r>
          </w:p>
        </w:tc>
        <w:tc>
          <w:tcPr>
            <w:tcW w:type="dxa" w:w="1152"/>
          </w:tcPr>
          <w:p>
            <w:pPr>
              <w:jc w:val="center"/>
            </w:pPr>
            <w:r>
              <w:rPr>
                <w:rFonts w:ascii="Times New Roman" w:hAnsi="Times New Roman"/>
                <w:sz w:val="18"/>
              </w:rPr>
              <w:t>0.003</w:t>
            </w:r>
          </w:p>
        </w:tc>
        <w:tc>
          <w:tcPr>
            <w:tcW w:type="dxa" w:w="1008"/>
          </w:tcPr>
          <w:p>
            <w:pPr>
              <w:jc w:val="center"/>
            </w:pPr>
            <w:r>
              <w:rPr>
                <w:rFonts w:ascii="Times New Roman" w:hAnsi="Times New Roman"/>
                <w:sz w:val="18"/>
              </w:rPr>
              <w:t>kg·m²</w:t>
            </w:r>
          </w:p>
        </w:tc>
      </w:tr>
      <w:tr>
        <w:tc>
          <w:tcPr>
            <w:tcW w:type="dxa" w:w="2880"/>
          </w:tcPr>
          <w:p>
            <w:pPr>
              <w:jc w:val="center"/>
            </w:pPr>
            <w:r>
              <w:rPr>
                <w:rFonts w:ascii="Times New Roman" w:hAnsi="Times New Roman"/>
                <w:sz w:val="18"/>
              </w:rPr>
              <w:t>Yaw MOI (wet)</w:t>
            </w:r>
          </w:p>
        </w:tc>
        <w:tc>
          <w:tcPr>
            <w:tcW w:type="dxa" w:w="1296"/>
          </w:tcPr>
          <w:p>
            <w:pPr>
              <w:jc w:val="center"/>
            </w:pPr>
            <w:r>
              <w:rPr>
                <w:rFonts w:ascii="Times New Roman" w:hAnsi="Times New Roman"/>
                <w:sz w:val="18"/>
              </w:rPr>
              <w:t>I_zz</w:t>
            </w:r>
          </w:p>
        </w:tc>
        <w:tc>
          <w:tcPr>
            <w:tcW w:type="dxa" w:w="1152"/>
          </w:tcPr>
          <w:p>
            <w:pPr>
              <w:jc w:val="center"/>
            </w:pPr>
            <w:r>
              <w:rPr>
                <w:rFonts w:ascii="Times New Roman" w:hAnsi="Times New Roman"/>
                <w:sz w:val="18"/>
              </w:rPr>
              <w:t>0.028</w:t>
            </w:r>
          </w:p>
        </w:tc>
        <w:tc>
          <w:tcPr>
            <w:tcW w:type="dxa" w:w="1008"/>
          </w:tcPr>
          <w:p>
            <w:pPr>
              <w:jc w:val="center"/>
            </w:pPr>
            <w:r>
              <w:rPr>
                <w:rFonts w:ascii="Times New Roman" w:hAnsi="Times New Roman"/>
                <w:sz w:val="18"/>
              </w:rPr>
              <w:t>kg·m²</w:t>
            </w:r>
          </w:p>
        </w:tc>
      </w:tr>
      <w:tr>
        <w:tc>
          <w:tcPr>
            <w:tcW w:type="dxa" w:w="2880"/>
          </w:tcPr>
          <w:p>
            <w:pPr>
              <w:jc w:val="center"/>
            </w:pPr>
            <w:r>
              <w:rPr>
                <w:rFonts w:ascii="Times New Roman" w:hAnsi="Times New Roman"/>
                <w:sz w:val="18"/>
              </w:rPr>
              <w:t>Nozzle–CG arm</w:t>
            </w:r>
          </w:p>
        </w:tc>
        <w:tc>
          <w:tcPr>
            <w:tcW w:type="dxa" w:w="1296"/>
          </w:tcPr>
          <w:p>
            <w:pPr>
              <w:jc w:val="center"/>
            </w:pPr>
            <w:r>
              <w:rPr>
                <w:rFonts w:ascii="Times New Roman" w:hAnsi="Times New Roman"/>
                <w:sz w:val="18"/>
              </w:rPr>
              <w:t>l_cm</w:t>
            </w:r>
          </w:p>
        </w:tc>
        <w:tc>
          <w:tcPr>
            <w:tcW w:type="dxa" w:w="1152"/>
          </w:tcPr>
          <w:p>
            <w:pPr>
              <w:jc w:val="center"/>
            </w:pPr>
            <w:r>
              <w:rPr>
                <w:rFonts w:ascii="Times New Roman" w:hAnsi="Times New Roman"/>
                <w:sz w:val="18"/>
              </w:rPr>
              <w:t>0.22</w:t>
            </w:r>
          </w:p>
        </w:tc>
        <w:tc>
          <w:tcPr>
            <w:tcW w:type="dxa" w:w="1008"/>
          </w:tcPr>
          <w:p>
            <w:pPr>
              <w:jc w:val="center"/>
            </w:pPr>
            <w:r>
              <w:rPr>
                <w:rFonts w:ascii="Times New Roman" w:hAnsi="Times New Roman"/>
                <w:sz w:val="18"/>
              </w:rPr>
              <w:t>m</w:t>
            </w:r>
          </w:p>
        </w:tc>
      </w:tr>
      <w:tr>
        <w:tc>
          <w:tcPr>
            <w:tcW w:type="dxa" w:w="2880"/>
          </w:tcPr>
          <w:p>
            <w:pPr>
              <w:jc w:val="center"/>
            </w:pPr>
            <w:r>
              <w:rPr>
                <w:rFonts w:ascii="Times New Roman" w:hAnsi="Times New Roman"/>
                <w:sz w:val="18"/>
              </w:rPr>
              <w:t>Gimbal limit</w:t>
            </w:r>
          </w:p>
        </w:tc>
        <w:tc>
          <w:tcPr>
            <w:tcW w:type="dxa" w:w="1296"/>
          </w:tcPr>
          <w:p>
            <w:pPr>
              <w:jc w:val="center"/>
            </w:pPr>
            <w:r>
              <w:rPr>
                <w:rFonts w:ascii="Times New Roman" w:hAnsi="Times New Roman"/>
                <w:sz w:val="18"/>
              </w:rPr>
              <w:t>δ_max</w:t>
            </w:r>
          </w:p>
        </w:tc>
        <w:tc>
          <w:tcPr>
            <w:tcW w:type="dxa" w:w="1152"/>
          </w:tcPr>
          <w:p>
            <w:pPr>
              <w:jc w:val="center"/>
            </w:pPr>
            <w:r>
              <w:rPr>
                <w:rFonts w:ascii="Times New Roman" w:hAnsi="Times New Roman"/>
                <w:sz w:val="18"/>
              </w:rPr>
              <w:t>±5.0</w:t>
            </w:r>
          </w:p>
        </w:tc>
        <w:tc>
          <w:tcPr>
            <w:tcW w:type="dxa" w:w="1008"/>
          </w:tcPr>
          <w:p>
            <w:pPr>
              <w:jc w:val="center"/>
            </w:pPr>
            <w:r>
              <w:rPr>
                <w:rFonts w:ascii="Times New Roman" w:hAnsi="Times New Roman"/>
                <w:sz w:val="18"/>
              </w:rPr>
              <w:t>deg</w:t>
            </w:r>
          </w:p>
        </w:tc>
      </w:tr>
      <w:tr>
        <w:tc>
          <w:tcPr>
            <w:tcW w:type="dxa" w:w="2880"/>
          </w:tcPr>
          <w:p>
            <w:pPr>
              <w:jc w:val="center"/>
            </w:pPr>
            <w:r>
              <w:rPr>
                <w:rFonts w:ascii="Times New Roman" w:hAnsi="Times New Roman"/>
                <w:sz w:val="18"/>
              </w:rPr>
              <w:t>Body length</w:t>
            </w:r>
          </w:p>
        </w:tc>
        <w:tc>
          <w:tcPr>
            <w:tcW w:type="dxa" w:w="1296"/>
          </w:tcPr>
          <w:p>
            <w:pPr>
              <w:jc w:val="center"/>
            </w:pPr>
            <w:r>
              <w:rPr>
                <w:rFonts w:ascii="Times New Roman" w:hAnsi="Times New Roman"/>
                <w:sz w:val="18"/>
              </w:rPr>
              <w:t>L</w:t>
            </w:r>
          </w:p>
        </w:tc>
        <w:tc>
          <w:tcPr>
            <w:tcW w:type="dxa" w:w="1152"/>
          </w:tcPr>
          <w:p>
            <w:pPr>
              <w:jc w:val="center"/>
            </w:pPr>
            <w:r>
              <w:rPr>
                <w:rFonts w:ascii="Times New Roman" w:hAnsi="Times New Roman"/>
                <w:sz w:val="18"/>
              </w:rPr>
              <w:t>0.68</w:t>
            </w:r>
          </w:p>
        </w:tc>
        <w:tc>
          <w:tcPr>
            <w:tcW w:type="dxa" w:w="1008"/>
          </w:tcPr>
          <w:p>
            <w:pPr>
              <w:jc w:val="center"/>
            </w:pPr>
            <w:r>
              <w:rPr>
                <w:rFonts w:ascii="Times New Roman" w:hAnsi="Times New Roman"/>
                <w:sz w:val="18"/>
              </w:rPr>
              <w:t>m</w:t>
            </w:r>
          </w:p>
        </w:tc>
      </w:tr>
      <w:tr>
        <w:tc>
          <w:tcPr>
            <w:tcW w:type="dxa" w:w="2880"/>
          </w:tcPr>
          <w:p>
            <w:pPr>
              <w:jc w:val="center"/>
            </w:pPr>
            <w:r>
              <w:rPr>
                <w:rFonts w:ascii="Times New Roman" w:hAnsi="Times New Roman"/>
                <w:sz w:val="18"/>
              </w:rPr>
              <w:t>Body diameter</w:t>
            </w:r>
          </w:p>
        </w:tc>
        <w:tc>
          <w:tcPr>
            <w:tcW w:type="dxa" w:w="1296"/>
          </w:tcPr>
          <w:p>
            <w:pPr>
              <w:jc w:val="center"/>
            </w:pPr>
            <w:r>
              <w:rPr>
                <w:rFonts w:ascii="Times New Roman" w:hAnsi="Times New Roman"/>
                <w:sz w:val="18"/>
              </w:rPr>
              <w:t>D</w:t>
            </w:r>
          </w:p>
        </w:tc>
        <w:tc>
          <w:tcPr>
            <w:tcW w:type="dxa" w:w="1152"/>
          </w:tcPr>
          <w:p>
            <w:pPr>
              <w:jc w:val="center"/>
            </w:pPr>
            <w:r>
              <w:rPr>
                <w:rFonts w:ascii="Times New Roman" w:hAnsi="Times New Roman"/>
                <w:sz w:val="18"/>
              </w:rPr>
              <w:t>0.038</w:t>
            </w:r>
          </w:p>
        </w:tc>
        <w:tc>
          <w:tcPr>
            <w:tcW w:type="dxa" w:w="1008"/>
          </w:tcPr>
          <w:p>
            <w:pPr>
              <w:jc w:val="center"/>
            </w:pPr>
            <w:r>
              <w:rPr>
                <w:rFonts w:ascii="Times New Roman" w:hAnsi="Times New Roman"/>
                <w:sz w:val="18"/>
              </w:rPr>
              <w:t>m</w:t>
            </w:r>
          </w:p>
        </w:tc>
      </w:tr>
    </w:tbl>
    <w:p>
      <w:pPr>
        <w:spacing w:before="80" w:after="120" w:line="240" w:lineRule="exact"/>
        <w:jc w:val="center"/>
      </w:pPr>
      <w:r>
        <w:rPr>
          <w:rFonts w:ascii="Times New Roman" w:hAnsi="Times New Roman"/>
          <w:b w:val="0"/>
          <w:i/>
          <w:sz w:val="18"/>
        </w:rPr>
        <w:t>Table I — Project Neal Inertial and Propulsion Parameters</w:t>
      </w:r>
    </w:p>
    <w:p>
      <w:pPr>
        <w:spacing w:before="120" w:after="60" w:line="240" w:lineRule="exact"/>
        <w:jc w:val="left"/>
      </w:pPr>
      <w:r>
        <w:rPr>
          <w:rFonts w:ascii="Times New Roman" w:hAnsi="Times New Roman"/>
          <w:b/>
          <w:i w:val="0"/>
          <w:sz w:val="20"/>
        </w:rPr>
        <w:t>A.  3-DOF PITCH-PLANE EQUATIONS OF MOTION</w:t>
      </w:r>
    </w:p>
    <w:p>
      <w:pPr>
        <w:spacing w:before="0" w:after="80" w:line="240" w:lineRule="exact"/>
        <w:ind w:firstLine="360"/>
        <w:jc w:val="left"/>
      </w:pPr>
      <w:r>
        <w:rPr>
          <w:rFonts w:ascii="Times New Roman" w:hAnsi="Times New Roman"/>
          <w:b w:val="0"/>
          <w:i w:val="0"/>
          <w:sz w:val="20"/>
        </w:rPr>
        <w:t>The pitch-plane (3-DOF) dynamics capture the dominant attitude instability during the burn phase. Applying Newton-Euler mechanics to the rocket body frame, the translational and rotational equations are:</w:t>
      </w:r>
    </w:p>
    <w:p>
      <w:pPr>
        <w:spacing w:before="40" w:after="40"/>
        <w:jc w:val="center"/>
      </w:pPr>
      <w:r>
        <w:rPr>
          <w:rFonts w:ascii="Times New Roman" w:hAnsi="Times New Roman"/>
          <w:b w:val="0"/>
          <w:i/>
          <w:sz w:val="20"/>
        </w:rPr>
        <w:t>θ̈ = (F_t · l_cm · sin(δ)  −  D · z_cp) / I_yy</w:t>
      </w:r>
      <w:r>
        <w:rPr>
          <w:rFonts w:ascii="Times New Roman" w:hAnsi="Times New Roman"/>
          <w:b w:val="0"/>
          <w:i w:val="0"/>
          <w:sz w:val="20"/>
        </w:rPr>
        <w:t xml:space="preserve">   (1)</w:t>
      </w:r>
    </w:p>
    <w:p>
      <w:pPr>
        <w:spacing w:before="40" w:after="40"/>
        <w:jc w:val="center"/>
      </w:pPr>
      <w:r>
        <w:rPr>
          <w:rFonts w:ascii="Times New Roman" w:hAnsi="Times New Roman"/>
          <w:b w:val="0"/>
          <w:i/>
          <w:sz w:val="20"/>
        </w:rPr>
        <w:t>z̈ = (F_t · cos(δ)  −  m·g) / m</w:t>
      </w:r>
      <w:r>
        <w:rPr>
          <w:rFonts w:ascii="Times New Roman" w:hAnsi="Times New Roman"/>
          <w:b w:val="0"/>
          <w:i w:val="0"/>
          <w:sz w:val="20"/>
        </w:rPr>
        <w:t xml:space="preserve">   (2)</w:t>
      </w:r>
    </w:p>
    <w:p>
      <w:pPr>
        <w:spacing w:before="40" w:after="40"/>
        <w:jc w:val="center"/>
      </w:pPr>
      <w:r>
        <w:rPr>
          <w:rFonts w:ascii="Times New Roman" w:hAnsi="Times New Roman"/>
          <w:b w:val="0"/>
          <w:i/>
          <w:sz w:val="20"/>
        </w:rPr>
        <w:t>ẍ = (F_t · sin(δ)  −  D · sin(α)) / m</w:t>
      </w:r>
      <w:r>
        <w:rPr>
          <w:rFonts w:ascii="Times New Roman" w:hAnsi="Times New Roman"/>
          <w:b w:val="0"/>
          <w:i w:val="0"/>
          <w:sz w:val="20"/>
        </w:rPr>
        <w:t xml:space="preserve">   (3)</w:t>
      </w:r>
    </w:p>
    <w:p>
      <w:pPr>
        <w:spacing w:before="0" w:after="80" w:line="240" w:lineRule="exact"/>
        <w:ind w:firstLine="360"/>
        <w:jc w:val="left"/>
      </w:pPr>
      <w:r>
        <w:rPr>
          <w:rFonts w:ascii="Times New Roman" w:hAnsi="Times New Roman"/>
          <w:b w:val="0"/>
          <w:i w:val="0"/>
          <w:sz w:val="20"/>
        </w:rPr>
        <w:t>where θ is the pitch angle, δ is the TVC gimbal deflection, l_cm is the thrust moment arm from nozzle exit to CG, z_cp is the distance from CG to the center of pressure, D is aerodynamic drag approximated linearly at low Mach, and α is the angle of attack.</w:t>
      </w:r>
    </w:p>
    <w:p>
      <w:pPr>
        <w:spacing w:before="120" w:after="60" w:line="240" w:lineRule="exact"/>
        <w:jc w:val="left"/>
      </w:pPr>
      <w:r>
        <w:rPr>
          <w:rFonts w:ascii="Times New Roman" w:hAnsi="Times New Roman"/>
          <w:b/>
          <w:i w:val="0"/>
          <w:sz w:val="20"/>
        </w:rPr>
        <w:t>B.  6-DOF FULL ROTATIONAL MODEL</w:t>
      </w:r>
    </w:p>
    <w:p>
      <w:pPr>
        <w:spacing w:before="0" w:after="80" w:line="240" w:lineRule="exact"/>
        <w:ind w:firstLine="360"/>
        <w:jc w:val="left"/>
      </w:pPr>
      <w:r>
        <w:rPr>
          <w:rFonts w:ascii="Times New Roman" w:hAnsi="Times New Roman"/>
          <w:b w:val="0"/>
          <w:i w:val="0"/>
          <w:sz w:val="20"/>
        </w:rPr>
        <w:t>The full 6-DOF model adds roll and yaw channels with cross-coupling through the skew-symmetric angular momentum term. The Euler attitude kinematics and Newton-Euler rotational equations are:</w:t>
      </w:r>
    </w:p>
    <w:p>
      <w:pPr>
        <w:spacing w:before="40" w:after="40"/>
        <w:jc w:val="center"/>
      </w:pPr>
      <w:r>
        <w:rPr>
          <w:rFonts w:ascii="Times New Roman" w:hAnsi="Times New Roman"/>
          <w:b w:val="0"/>
          <w:i/>
          <w:sz w:val="20"/>
        </w:rPr>
        <w:t>I_yy · q̇ = (F · l_cm · sin(δ_p)) − b_q · q</w:t>
      </w:r>
      <w:r>
        <w:rPr>
          <w:rFonts w:ascii="Times New Roman" w:hAnsi="Times New Roman"/>
          <w:b w:val="0"/>
          <w:i w:val="0"/>
          <w:sz w:val="20"/>
        </w:rPr>
        <w:t xml:space="preserve">   (4)</w:t>
      </w:r>
    </w:p>
    <w:p>
      <w:pPr>
        <w:spacing w:before="40" w:after="40"/>
        <w:jc w:val="center"/>
      </w:pPr>
      <w:r>
        <w:rPr>
          <w:rFonts w:ascii="Times New Roman" w:hAnsi="Times New Roman"/>
          <w:b w:val="0"/>
          <w:i/>
          <w:sz w:val="20"/>
        </w:rPr>
        <w:t>I_xx · ṗ = − b_p · p  +  d_φ</w:t>
      </w:r>
      <w:r>
        <w:rPr>
          <w:rFonts w:ascii="Times New Roman" w:hAnsi="Times New Roman"/>
          <w:b w:val="0"/>
          <w:i w:val="0"/>
          <w:sz w:val="20"/>
        </w:rPr>
        <w:t xml:space="preserve">   (5)</w:t>
      </w:r>
    </w:p>
    <w:p>
      <w:pPr>
        <w:spacing w:before="40" w:after="40"/>
        <w:jc w:val="center"/>
      </w:pPr>
      <w:r>
        <w:rPr>
          <w:rFonts w:ascii="Times New Roman" w:hAnsi="Times New Roman"/>
          <w:b w:val="0"/>
          <w:i/>
          <w:sz w:val="20"/>
        </w:rPr>
        <w:t>I_zz · ṙ = (F · l_cm · sin(δ_y)) − b_r · r</w:t>
      </w:r>
      <w:r>
        <w:rPr>
          <w:rFonts w:ascii="Times New Roman" w:hAnsi="Times New Roman"/>
          <w:b w:val="0"/>
          <w:i w:val="0"/>
          <w:sz w:val="20"/>
        </w:rPr>
        <w:t xml:space="preserve">   (6)</w:t>
      </w:r>
    </w:p>
    <w:p>
      <w:pPr>
        <w:spacing w:before="0" w:after="80" w:line="240" w:lineRule="exact"/>
        <w:ind w:firstLine="360"/>
        <w:jc w:val="left"/>
      </w:pPr>
      <w:r>
        <w:rPr>
          <w:rFonts w:ascii="Times New Roman" w:hAnsi="Times New Roman"/>
          <w:b w:val="0"/>
          <w:i w:val="0"/>
          <w:sz w:val="20"/>
        </w:rPr>
        <w:t>where p, q, r are roll, pitch, and yaw rates; δ_p, δ_y are pitch and yaw gimbal deflections; b_q, b_p, b_r are aerodynamic damping coefficients; and d_φ is the external roll disturbance torque (non-zero under wind gust scenarios).</w:t>
      </w:r>
    </w:p>
    <w:p>
      <w:pPr>
        <w:spacing w:before="120" w:after="60" w:line="240" w:lineRule="exact"/>
        <w:jc w:val="left"/>
      </w:pPr>
      <w:r>
        <w:rPr>
          <w:rFonts w:ascii="Times New Roman" w:hAnsi="Times New Roman"/>
          <w:b/>
          <w:i w:val="0"/>
          <w:sz w:val="20"/>
        </w:rPr>
        <w:t>III.  CONTROLLER DESIGNS</w:t>
      </w:r>
    </w:p>
    <w:p>
      <w:pPr>
        <w:spacing w:before="120" w:after="60" w:line="240" w:lineRule="exact"/>
        <w:jc w:val="left"/>
      </w:pPr>
      <w:r>
        <w:rPr>
          <w:rFonts w:ascii="Times New Roman" w:hAnsi="Times New Roman"/>
          <w:b/>
          <w:i w:val="0"/>
          <w:sz w:val="20"/>
        </w:rPr>
        <w:t>A.  CLASSICAL PID</w:t>
      </w:r>
    </w:p>
    <w:p>
      <w:pPr>
        <w:spacing w:before="0" w:after="80" w:line="240" w:lineRule="exact"/>
        <w:ind w:firstLine="360"/>
        <w:jc w:val="left"/>
      </w:pPr>
      <w:r>
        <w:rPr>
          <w:rFonts w:ascii="Times New Roman" w:hAnsi="Times New Roman"/>
          <w:b w:val="0"/>
          <w:i w:val="0"/>
          <w:sz w:val="20"/>
        </w:rPr>
        <w:t>A proportional-integral-derivative controller is tuned at the nominal mid-burn operating point using the Ziegler-Nichols frequency-response method. The gimbal command is:</w:t>
      </w:r>
    </w:p>
    <w:p>
      <w:pPr>
        <w:spacing w:before="40" w:after="40"/>
        <w:jc w:val="center"/>
      </w:pPr>
      <w:r>
        <w:rPr>
          <w:rFonts w:ascii="Times New Roman" w:hAnsi="Times New Roman"/>
          <w:b w:val="0"/>
          <w:i/>
          <w:sz w:val="20"/>
        </w:rPr>
        <w:t>δ(t) = K_p·e(t) + K_i·∫e(τ)dτ + K_d·ė(t)</w:t>
      </w:r>
      <w:r>
        <w:rPr>
          <w:rFonts w:ascii="Times New Roman" w:hAnsi="Times New Roman"/>
          <w:b w:val="0"/>
          <w:i w:val="0"/>
          <w:sz w:val="20"/>
        </w:rPr>
        <w:t xml:space="preserve">   (7)</w:t>
      </w:r>
    </w:p>
    <w:p>
      <w:pPr>
        <w:spacing w:before="0" w:after="80" w:line="240" w:lineRule="exact"/>
        <w:ind w:firstLine="360"/>
        <w:jc w:val="left"/>
      </w:pPr>
      <w:r>
        <w:rPr>
          <w:rFonts w:ascii="Times New Roman" w:hAnsi="Times New Roman"/>
          <w:b w:val="0"/>
          <w:i w:val="0"/>
          <w:sz w:val="20"/>
        </w:rPr>
        <w:t>Tuned gains: K_p = 4.2, K_i = 0.8, K_d = 0.35. Gimbal rate is limited to 120 deg/s to prevent actuator saturation. Integrator anti-windup is implemented via back-calculation with coefficient T_t = 0.1 s.</w:t>
      </w:r>
    </w:p>
    <w:p>
      <w:pPr>
        <w:spacing w:before="120" w:after="60" w:line="240" w:lineRule="exact"/>
        <w:jc w:val="left"/>
      </w:pPr>
      <w:r>
        <w:rPr>
          <w:rFonts w:ascii="Times New Roman" w:hAnsi="Times New Roman"/>
          <w:b/>
          <w:i w:val="0"/>
          <w:sz w:val="20"/>
        </w:rPr>
        <w:t>B.  LINEAR-QUADRATIC-INTEGRAL (LQI)</w:t>
      </w:r>
    </w:p>
    <w:p>
      <w:pPr>
        <w:spacing w:before="0" w:after="80" w:line="240" w:lineRule="exact"/>
        <w:ind w:firstLine="360"/>
        <w:jc w:val="left"/>
      </w:pPr>
      <w:r>
        <w:rPr>
          <w:rFonts w:ascii="Times New Roman" w:hAnsi="Times New Roman"/>
          <w:b w:val="0"/>
          <w:i w:val="0"/>
          <w:sz w:val="20"/>
        </w:rPr>
        <w:t>The LQI regulator augments the state vector with the integral of the pitch error to eliminate steady-state offset. The continuous-time cost functional minimized is:</w:t>
      </w:r>
    </w:p>
    <w:p>
      <w:pPr>
        <w:spacing w:before="40" w:after="40"/>
        <w:jc w:val="center"/>
      </w:pPr>
      <w:r>
        <w:rPr>
          <w:rFonts w:ascii="Times New Roman" w:hAnsi="Times New Roman"/>
          <w:b w:val="0"/>
          <w:i/>
          <w:sz w:val="20"/>
        </w:rPr>
        <w:t>J = ∫₀^∞ (x^T Q x + u^T R u) dt</w:t>
      </w:r>
      <w:r>
        <w:rPr>
          <w:rFonts w:ascii="Times New Roman" w:hAnsi="Times New Roman"/>
          <w:b w:val="0"/>
          <w:i w:val="0"/>
          <w:sz w:val="20"/>
        </w:rPr>
        <w:t xml:space="preserve">   (8)</w:t>
      </w:r>
    </w:p>
    <w:p>
      <w:pPr>
        <w:spacing w:before="0" w:after="80" w:line="240" w:lineRule="exact"/>
        <w:ind w:firstLine="360"/>
        <w:jc w:val="left"/>
      </w:pPr>
      <w:r>
        <w:rPr>
          <w:rFonts w:ascii="Times New Roman" w:hAnsi="Times New Roman"/>
          <w:b w:val="0"/>
          <w:i w:val="0"/>
          <w:sz w:val="20"/>
        </w:rPr>
        <w:t>State weighting: Q = diag(10, 1, 5, 0.1); input weight: R = 0.01. The resulting gain matrix K is computed via the algebraic Riccati equation and discretized at 50 Hz using zero-order hold.</w:t>
      </w:r>
    </w:p>
    <w:p>
      <w:pPr>
        <w:spacing w:before="120" w:after="60" w:line="240" w:lineRule="exact"/>
        <w:jc w:val="left"/>
      </w:pPr>
      <w:r>
        <w:rPr>
          <w:rFonts w:ascii="Times New Roman" w:hAnsi="Times New Roman"/>
          <w:b/>
          <w:i w:val="0"/>
          <w:sz w:val="20"/>
        </w:rPr>
        <w:t>C.  MODEL-REFERENCE ADAPTIVE CONTROL (MRAC)</w:t>
      </w:r>
    </w:p>
    <w:p>
      <w:pPr>
        <w:spacing w:before="0" w:after="80" w:line="240" w:lineRule="exact"/>
        <w:ind w:firstLine="360"/>
        <w:jc w:val="left"/>
      </w:pPr>
      <w:r>
        <w:rPr>
          <w:rFonts w:ascii="Times New Roman" w:hAnsi="Times New Roman"/>
          <w:b w:val="0"/>
          <w:i w:val="0"/>
          <w:sz w:val="20"/>
        </w:rPr>
        <w:t>MRAC adjusts the control gain online to force the plant output to track a stable reference model with bandwidth ω_m = 12 rad/s and damping ζ_m = 0.9. The MIT adaptation rule is:</w:t>
      </w:r>
    </w:p>
    <w:p>
      <w:pPr>
        <w:spacing w:before="40" w:after="40"/>
        <w:jc w:val="center"/>
      </w:pPr>
      <w:r>
        <w:rPr>
          <w:rFonts w:ascii="Times New Roman" w:hAnsi="Times New Roman"/>
          <w:b w:val="0"/>
          <w:i/>
          <w:sz w:val="20"/>
        </w:rPr>
        <w:t>K̇(t) = −γ · e(t) · θ(t)</w:t>
      </w:r>
      <w:r>
        <w:rPr>
          <w:rFonts w:ascii="Times New Roman" w:hAnsi="Times New Roman"/>
          <w:b w:val="0"/>
          <w:i w:val="0"/>
          <w:sz w:val="20"/>
        </w:rPr>
        <w:t xml:space="preserve">   (9)</w:t>
      </w:r>
    </w:p>
    <w:p>
      <w:pPr>
        <w:spacing w:before="0" w:after="80" w:line="240" w:lineRule="exact"/>
        <w:ind w:firstLine="360"/>
        <w:jc w:val="left"/>
      </w:pPr>
      <w:r>
        <w:rPr>
          <w:rFonts w:ascii="Times New Roman" w:hAnsi="Times New Roman"/>
          <w:b w:val="0"/>
          <w:i w:val="0"/>
          <w:sz w:val="20"/>
        </w:rPr>
        <w:t>where e(t) is the tracking error, θ(t) is the plant output, and γ = 0.5 is the adaptation gain. The transient adaptation phase produces the highest overshoot (30.4%) of all tested controllers.</w:t>
      </w:r>
    </w:p>
    <w:p>
      <w:pPr>
        <w:spacing w:before="120" w:after="60" w:line="240" w:lineRule="exact"/>
        <w:jc w:val="left"/>
      </w:pPr>
      <w:r>
        <w:rPr>
          <w:rFonts w:ascii="Times New Roman" w:hAnsi="Times New Roman"/>
          <w:b/>
          <w:i w:val="0"/>
          <w:sz w:val="20"/>
        </w:rPr>
        <w:t>D.  ACTIVE DISTURBANCE REJECTION CONTROL (ADRC)</w:t>
      </w:r>
    </w:p>
    <w:p>
      <w:pPr>
        <w:spacing w:before="0" w:after="80" w:line="240" w:lineRule="exact"/>
        <w:ind w:firstLine="360"/>
        <w:jc w:val="left"/>
      </w:pPr>
      <w:r>
        <w:rPr>
          <w:rFonts w:ascii="Times New Roman" w:hAnsi="Times New Roman"/>
          <w:b w:val="0"/>
          <w:i w:val="0"/>
          <w:sz w:val="20"/>
        </w:rPr>
        <w:t>ADRC treats the pitch channel as a second-order plant with an unknown total disturbance f(t) lumping aerodynamic forces, mass transients, and model error. A second-order extended state observer (ESO) estimates the state vector [θ, θ̇, f]:</w:t>
      </w:r>
    </w:p>
    <w:p>
      <w:pPr>
        <w:spacing w:before="40" w:after="40"/>
        <w:jc w:val="center"/>
      </w:pPr>
      <w:r>
        <w:rPr>
          <w:rFonts w:ascii="Times New Roman" w:hAnsi="Times New Roman"/>
          <w:b w:val="0"/>
          <w:i/>
          <w:sz w:val="20"/>
        </w:rPr>
        <w:t>ż₁ = z₂ − β₁·(z₁ − θ)</w:t>
      </w:r>
      <w:r>
        <w:rPr>
          <w:rFonts w:ascii="Times New Roman" w:hAnsi="Times New Roman"/>
          <w:b w:val="0"/>
          <w:i w:val="0"/>
          <w:sz w:val="20"/>
        </w:rPr>
        <w:t xml:space="preserve">   (10)</w:t>
      </w:r>
    </w:p>
    <w:p>
      <w:pPr>
        <w:spacing w:before="40" w:after="40"/>
        <w:jc w:val="center"/>
      </w:pPr>
      <w:r>
        <w:rPr>
          <w:rFonts w:ascii="Times New Roman" w:hAnsi="Times New Roman"/>
          <w:b w:val="0"/>
          <w:i/>
          <w:sz w:val="20"/>
        </w:rPr>
        <w:t>ż₂ = z₃ − β₂·(z₁ − θ) + b₀·δ</w:t>
      </w:r>
      <w:r>
        <w:rPr>
          <w:rFonts w:ascii="Times New Roman" w:hAnsi="Times New Roman"/>
          <w:b w:val="0"/>
          <w:i w:val="0"/>
          <w:sz w:val="20"/>
        </w:rPr>
        <w:t xml:space="preserve">   (11)</w:t>
      </w:r>
    </w:p>
    <w:p>
      <w:pPr>
        <w:spacing w:before="40" w:after="40"/>
        <w:jc w:val="center"/>
      </w:pPr>
      <w:r>
        <w:rPr>
          <w:rFonts w:ascii="Times New Roman" w:hAnsi="Times New Roman"/>
          <w:b w:val="0"/>
          <w:i/>
          <w:sz w:val="20"/>
        </w:rPr>
        <w:t>ż₃ = −β₃·(z₁ − θ)</w:t>
      </w:r>
      <w:r>
        <w:rPr>
          <w:rFonts w:ascii="Times New Roman" w:hAnsi="Times New Roman"/>
          <w:b w:val="0"/>
          <w:i w:val="0"/>
          <w:sz w:val="20"/>
        </w:rPr>
        <w:t xml:space="preserve">   (12)</w:t>
      </w:r>
    </w:p>
    <w:p>
      <w:pPr>
        <w:spacing w:before="0" w:after="80" w:line="240" w:lineRule="exact"/>
        <w:ind w:firstLine="360"/>
        <w:jc w:val="left"/>
      </w:pPr>
      <w:r>
        <w:rPr>
          <w:rFonts w:ascii="Times New Roman" w:hAnsi="Times New Roman"/>
          <w:b w:val="0"/>
          <w:i w:val="0"/>
          <w:sz w:val="20"/>
        </w:rPr>
        <w:t>ESO bandwidth: ω_o = 80 rad/s. Bandwidth-parameterized gains: β₁ = 3ω_o, β₂ = 3ω_o², β₃ = ω_o³. The control law cancels the estimated disturbance z₃ and applies a PD setpoint-tracking term:</w:t>
      </w:r>
    </w:p>
    <w:p>
      <w:pPr>
        <w:spacing w:before="40" w:after="40"/>
        <w:jc w:val="center"/>
      </w:pPr>
      <w:r>
        <w:rPr>
          <w:rFonts w:ascii="Times New Roman" w:hAnsi="Times New Roman"/>
          <w:b w:val="0"/>
          <w:i/>
          <w:sz w:val="20"/>
        </w:rPr>
        <w:t>δ = (u₀ − z₃) / b₀,   u₀ = K_p·(θ_ref − z₁) − K_d·z₂</w:t>
      </w:r>
      <w:r>
        <w:rPr>
          <w:rFonts w:ascii="Times New Roman" w:hAnsi="Times New Roman"/>
          <w:b w:val="0"/>
          <w:i w:val="0"/>
          <w:sz w:val="20"/>
        </w:rPr>
        <w:t xml:space="preserve">   (13)</w:t>
      </w:r>
    </w:p>
    <w:p>
      <w:pPr>
        <w:spacing w:before="0" w:after="80" w:line="240" w:lineRule="exact"/>
        <w:ind w:firstLine="360"/>
        <w:jc w:val="left"/>
      </w:pPr>
      <w:r>
        <w:rPr>
          <w:rFonts w:ascii="Times New Roman" w:hAnsi="Times New Roman"/>
          <w:b w:val="0"/>
          <w:i w:val="0"/>
          <w:sz w:val="20"/>
        </w:rPr>
        <w:t>Input gain approximation: b₀ = F_t / I_yy. Controller bandwidth: ω_c = 14 rad/s, giving K_p = ω_c², K_d = 2ω_c. ADRC achieves zero overshoot across all 500 Monte Carlo runs.</w:t>
      </w:r>
    </w:p>
    <w:p>
      <w:pPr>
        <w:spacing w:before="120" w:after="60" w:line="240" w:lineRule="exact"/>
        <w:jc w:val="left"/>
      </w:pPr>
      <w:r>
        <w:rPr>
          <w:rFonts w:ascii="Times New Roman" w:hAnsi="Times New Roman"/>
          <w:b/>
          <w:i w:val="0"/>
          <w:sz w:val="20"/>
        </w:rPr>
        <w:t>IV.  DIGITAL TWIN ARCHITECTURE</w:t>
      </w:r>
    </w:p>
    <w:p>
      <w:pPr>
        <w:spacing w:before="0" w:after="80" w:line="240" w:lineRule="exact"/>
        <w:ind w:firstLine="360"/>
        <w:jc w:val="left"/>
      </w:pPr>
      <w:r>
        <w:rPr>
          <w:rFonts w:ascii="Times New Roman" w:hAnsi="Times New Roman"/>
          <w:b w:val="0"/>
          <w:i w:val="0"/>
          <w:sz w:val="20"/>
        </w:rPr>
        <w:t>The Project Neal digital twin is a full-stack web application enabling real-time simulation, hardware telemetry ingestion, and interactive 6-DOF visualization. The architecture follows a three-tier design:</w:t>
      </w:r>
    </w:p>
    <w:p>
      <w:pPr>
        <w:spacing w:before="0" w:after="80" w:line="240" w:lineRule="exact"/>
        <w:ind w:firstLine="360"/>
        <w:jc w:val="left"/>
      </w:pPr>
      <w:r>
        <w:rPr>
          <w:rFonts w:ascii="Times New Roman" w:hAnsi="Times New Roman"/>
          <w:b w:val="0"/>
          <w:i w:val="0"/>
          <w:sz w:val="20"/>
        </w:rPr>
        <w:t>1) Simulation and API Layer (Python/FastAPI): Hosts the 3-DOF and 6-DOF numerical integrators, all four controller implementations, Monte Carlo batch runner, and real-time telemetry endpoints. The backend runs hardware telemetry polling at 4 Hz and simulation at request time (~50 ms for N=200, ~90 ms for N=300 6-DOF). Optional MATLAB engine integration invokes the Simulink nonlinear model when available.</w:t>
      </w:r>
    </w:p>
    <w:p>
      <w:pPr>
        <w:spacing w:before="0" w:after="80" w:line="240" w:lineRule="exact"/>
        <w:ind w:firstLine="360"/>
        <w:jc w:val="left"/>
      </w:pPr>
      <w:r>
        <w:rPr>
          <w:rFonts w:ascii="Times New Roman" w:hAnsi="Times New Roman"/>
          <w:b w:val="0"/>
          <w:i w:val="0"/>
          <w:sz w:val="20"/>
        </w:rPr>
        <w:t>2) Visualization Layer (React/Three.js): Renders the CAD-accurate OBJ/MTL rocket model with correct material assignments (white glossy body tube, red nose cone and trapezoidal fins). The @react-three/fiber scene updates at 60 fps driven by the simulation time index. Three separate Canvas instances provide roll, pitch, and yaw attitude cubes on the telemetry page. Plotly.js renders all telemetry charts with a zero-padding dark aerospace theme.</w:t>
      </w:r>
    </w:p>
    <w:p>
      <w:pPr>
        <w:spacing w:before="0" w:after="80" w:line="240" w:lineRule="exact"/>
        <w:ind w:firstLine="360"/>
        <w:jc w:val="left"/>
      </w:pPr>
      <w:r>
        <w:rPr>
          <w:rFonts w:ascii="Times New Roman" w:hAnsi="Times New Roman"/>
          <w:b w:val="0"/>
          <w:i w:val="0"/>
          <w:sz w:val="20"/>
        </w:rPr>
        <w:t>3) Hardware Interface (STM32 UART → FastAPI Bridge): The STM32F411 flight controller streams a 45-byte binary telemetry packet at 10 Hz via UART DMA (115200 baud). The FastAPI backend decodes this stream and exposes it as a REST endpoint polled by the frontend at 4 Hz. The launch station page drives the ARM/COUNTDOWN/RESET state machine and reflects real hardware comms test results (UART, SPI MPU-6050, I2C BMP280, PWM servo channels).</w:t>
      </w:r>
    </w:p>
    <w:p>
      <w:pPr>
        <w:spacing w:after="80"/>
      </w:pPr>
    </w:p>
    <w:tbl>
      <w:tblPr>
        <w:tblStyle w:val="TableGrid"/>
        <w:tblW w:type="auto" w:w="0"/>
        <w:tblLook w:firstColumn="1" w:firstRow="1" w:lastColumn="0" w:lastRow="0" w:noHBand="0" w:noVBand="1" w:val="04A0"/>
      </w:tblPr>
      <w:tblGrid>
        <w:gridCol w:w="3360"/>
        <w:gridCol w:w="3360"/>
        <w:gridCol w:w="3360"/>
      </w:tblGrid>
      <w:tr>
        <w:tc>
          <w:tcPr>
            <w:tcW w:type="dxa" w:w="1440"/>
          </w:tcPr>
          <w:p>
            <w:pPr>
              <w:jc w:val="center"/>
            </w:pPr>
            <w:r>
              <w:rPr>
                <w:rFonts w:ascii="Times New Roman" w:hAnsi="Times New Roman"/>
                <w:b/>
                <w:sz w:val="18"/>
              </w:rPr>
              <w:t>Layer</w:t>
            </w:r>
          </w:p>
        </w:tc>
        <w:tc>
          <w:tcPr>
            <w:tcW w:type="dxa" w:w="2592"/>
          </w:tcPr>
          <w:p>
            <w:pPr>
              <w:jc w:val="center"/>
            </w:pPr>
            <w:r>
              <w:rPr>
                <w:rFonts w:ascii="Times New Roman" w:hAnsi="Times New Roman"/>
                <w:b/>
                <w:sz w:val="18"/>
              </w:rPr>
              <w:t>Technology</w:t>
            </w:r>
          </w:p>
        </w:tc>
        <w:tc>
          <w:tcPr>
            <w:tcW w:type="dxa" w:w="4032"/>
          </w:tcPr>
          <w:p>
            <w:pPr>
              <w:jc w:val="center"/>
            </w:pPr>
            <w:r>
              <w:rPr>
                <w:rFonts w:ascii="Times New Roman" w:hAnsi="Times New Roman"/>
                <w:b/>
                <w:sz w:val="18"/>
              </w:rPr>
              <w:t>Function</w:t>
            </w:r>
          </w:p>
        </w:tc>
      </w:tr>
      <w:tr>
        <w:tc>
          <w:tcPr>
            <w:tcW w:type="dxa" w:w="1440"/>
          </w:tcPr>
          <w:p>
            <w:pPr>
              <w:jc w:val="center"/>
            </w:pPr>
            <w:r>
              <w:rPr>
                <w:rFonts w:ascii="Times New Roman" w:hAnsi="Times New Roman"/>
                <w:sz w:val="18"/>
              </w:rPr>
              <w:t>API</w:t>
            </w:r>
          </w:p>
        </w:tc>
        <w:tc>
          <w:tcPr>
            <w:tcW w:type="dxa" w:w="2592"/>
          </w:tcPr>
          <w:p>
            <w:pPr>
              <w:jc w:val="center"/>
            </w:pPr>
            <w:r>
              <w:rPr>
                <w:rFonts w:ascii="Times New Roman" w:hAnsi="Times New Roman"/>
                <w:sz w:val="18"/>
              </w:rPr>
              <w:t>FastAPI/Python 3.11</w:t>
            </w:r>
          </w:p>
        </w:tc>
        <w:tc>
          <w:tcPr>
            <w:tcW w:type="dxa" w:w="4032"/>
          </w:tcPr>
          <w:p>
            <w:pPr>
              <w:jc w:val="center"/>
            </w:pPr>
            <w:r>
              <w:rPr>
                <w:rFonts w:ascii="Times New Roman" w:hAnsi="Times New Roman"/>
                <w:sz w:val="18"/>
              </w:rPr>
              <w:t>3/6-DOF integration, 4 controllers, telemetry bridge</w:t>
            </w:r>
          </w:p>
        </w:tc>
      </w:tr>
      <w:tr>
        <w:tc>
          <w:tcPr>
            <w:tcW w:type="dxa" w:w="1440"/>
          </w:tcPr>
          <w:p>
            <w:pPr>
              <w:jc w:val="center"/>
            </w:pPr>
            <w:r>
              <w:rPr>
                <w:rFonts w:ascii="Times New Roman" w:hAnsi="Times New Roman"/>
                <w:sz w:val="18"/>
              </w:rPr>
              <w:t>Frontend</w:t>
            </w:r>
          </w:p>
        </w:tc>
        <w:tc>
          <w:tcPr>
            <w:tcW w:type="dxa" w:w="2592"/>
          </w:tcPr>
          <w:p>
            <w:pPr>
              <w:jc w:val="center"/>
            </w:pPr>
            <w:r>
              <w:rPr>
                <w:rFonts w:ascii="Times New Roman" w:hAnsi="Times New Roman"/>
                <w:sz w:val="18"/>
              </w:rPr>
              <w:t>React 18 / Three.js</w:t>
            </w:r>
          </w:p>
        </w:tc>
        <w:tc>
          <w:tcPr>
            <w:tcW w:type="dxa" w:w="4032"/>
          </w:tcPr>
          <w:p>
            <w:pPr>
              <w:jc w:val="center"/>
            </w:pPr>
            <w:r>
              <w:rPr>
                <w:rFonts w:ascii="Times New Roman" w:hAnsi="Times New Roman"/>
                <w:sz w:val="18"/>
              </w:rPr>
              <w:t>6-DOF visualization, interactive TVC pad, Plotly charts</w:t>
            </w:r>
          </w:p>
        </w:tc>
      </w:tr>
      <w:tr>
        <w:tc>
          <w:tcPr>
            <w:tcW w:type="dxa" w:w="1440"/>
          </w:tcPr>
          <w:p>
            <w:pPr>
              <w:jc w:val="center"/>
            </w:pPr>
            <w:r>
              <w:rPr>
                <w:rFonts w:ascii="Times New Roman" w:hAnsi="Times New Roman"/>
                <w:sz w:val="18"/>
              </w:rPr>
              <w:t>Firmware</w:t>
            </w:r>
          </w:p>
        </w:tc>
        <w:tc>
          <w:tcPr>
            <w:tcW w:type="dxa" w:w="2592"/>
          </w:tcPr>
          <w:p>
            <w:pPr>
              <w:jc w:val="center"/>
            </w:pPr>
            <w:r>
              <w:rPr>
                <w:rFonts w:ascii="Times New Roman" w:hAnsi="Times New Roman"/>
                <w:sz w:val="18"/>
              </w:rPr>
              <w:t>STM32F411 / HAL/CMSIS</w:t>
            </w:r>
          </w:p>
        </w:tc>
        <w:tc>
          <w:tcPr>
            <w:tcW w:type="dxa" w:w="4032"/>
          </w:tcPr>
          <w:p>
            <w:pPr>
              <w:jc w:val="center"/>
            </w:pPr>
            <w:r>
              <w:rPr>
                <w:rFonts w:ascii="Times New Roman" w:hAnsi="Times New Roman"/>
                <w:sz w:val="18"/>
              </w:rPr>
              <w:t>Guidance loop 50 Hz, UART DMA telemetry 10 Hz</w:t>
            </w:r>
          </w:p>
        </w:tc>
      </w:tr>
      <w:tr>
        <w:tc>
          <w:tcPr>
            <w:tcW w:type="dxa" w:w="1440"/>
          </w:tcPr>
          <w:p>
            <w:pPr>
              <w:jc w:val="center"/>
            </w:pPr>
            <w:r>
              <w:rPr>
                <w:rFonts w:ascii="Times New Roman" w:hAnsi="Times New Roman"/>
                <w:sz w:val="18"/>
              </w:rPr>
              <w:t>Sensors</w:t>
            </w:r>
          </w:p>
        </w:tc>
        <w:tc>
          <w:tcPr>
            <w:tcW w:type="dxa" w:w="2592"/>
          </w:tcPr>
          <w:p>
            <w:pPr>
              <w:jc w:val="center"/>
            </w:pPr>
            <w:r>
              <w:rPr>
                <w:rFonts w:ascii="Times New Roman" w:hAnsi="Times New Roman"/>
                <w:sz w:val="18"/>
              </w:rPr>
              <w:t>MPU-6050, BMP280</w:t>
            </w:r>
          </w:p>
        </w:tc>
        <w:tc>
          <w:tcPr>
            <w:tcW w:type="dxa" w:w="4032"/>
          </w:tcPr>
          <w:p>
            <w:pPr>
              <w:jc w:val="center"/>
            </w:pPr>
            <w:r>
              <w:rPr>
                <w:rFonts w:ascii="Times New Roman" w:hAnsi="Times New Roman"/>
                <w:sz w:val="18"/>
              </w:rPr>
              <w:t>IMU 200 Hz, barometer 25 Hz</w:t>
            </w:r>
          </w:p>
        </w:tc>
      </w:tr>
      <w:tr>
        <w:tc>
          <w:tcPr>
            <w:tcW w:type="dxa" w:w="1440"/>
          </w:tcPr>
          <w:p>
            <w:pPr>
              <w:jc w:val="center"/>
            </w:pPr>
            <w:r>
              <w:rPr>
                <w:rFonts w:ascii="Times New Roman" w:hAnsi="Times New Roman"/>
                <w:sz w:val="18"/>
              </w:rPr>
              <w:t>Actuators</w:t>
            </w:r>
          </w:p>
        </w:tc>
        <w:tc>
          <w:tcPr>
            <w:tcW w:type="dxa" w:w="2592"/>
          </w:tcPr>
          <w:p>
            <w:pPr>
              <w:jc w:val="center"/>
            </w:pPr>
            <w:r>
              <w:rPr>
                <w:rFonts w:ascii="Times New Roman" w:hAnsi="Times New Roman"/>
                <w:sz w:val="18"/>
              </w:rPr>
              <w:t>MG996R Servos × 2</w:t>
            </w:r>
          </w:p>
        </w:tc>
        <w:tc>
          <w:tcPr>
            <w:tcW w:type="dxa" w:w="4032"/>
          </w:tcPr>
          <w:p>
            <w:pPr>
              <w:jc w:val="center"/>
            </w:pPr>
            <w:r>
              <w:rPr>
                <w:rFonts w:ascii="Times New Roman" w:hAnsi="Times New Roman"/>
                <w:sz w:val="18"/>
              </w:rPr>
              <w:t>TVC gimbal pitch+yaw, PWM 50 Hz</w:t>
            </w:r>
          </w:p>
        </w:tc>
      </w:tr>
    </w:tbl>
    <w:p>
      <w:pPr>
        <w:spacing w:before="80" w:after="120" w:line="240" w:lineRule="exact"/>
        <w:jc w:val="center"/>
      </w:pPr>
      <w:r>
        <w:rPr>
          <w:rFonts w:ascii="Times New Roman" w:hAnsi="Times New Roman"/>
          <w:b w:val="0"/>
          <w:i/>
          <w:sz w:val="18"/>
        </w:rPr>
        <w:t>Table II — Digital Twin Technology Stack</w:t>
      </w:r>
    </w:p>
    <w:p>
      <w:pPr>
        <w:spacing w:before="120" w:after="60" w:line="240" w:lineRule="exact"/>
        <w:jc w:val="left"/>
      </w:pPr>
      <w:r>
        <w:rPr>
          <w:rFonts w:ascii="Times New Roman" w:hAnsi="Times New Roman"/>
          <w:b/>
          <w:i w:val="0"/>
          <w:sz w:val="20"/>
        </w:rPr>
        <w:t>V.  SIMULATION RESULTS</w:t>
      </w:r>
    </w:p>
    <w:p>
      <w:pPr>
        <w:spacing w:before="120" w:after="60" w:line="240" w:lineRule="exact"/>
        <w:jc w:val="left"/>
      </w:pPr>
      <w:r>
        <w:rPr>
          <w:rFonts w:ascii="Times New Roman" w:hAnsi="Times New Roman"/>
          <w:b/>
          <w:i w:val="0"/>
          <w:sz w:val="20"/>
        </w:rPr>
        <w:t>A.  MONTE CARLO SETUP</w:t>
      </w:r>
    </w:p>
    <w:p>
      <w:pPr>
        <w:spacing w:before="0" w:after="80" w:line="240" w:lineRule="exact"/>
        <w:ind w:firstLine="360"/>
        <w:jc w:val="left"/>
      </w:pPr>
      <w:r>
        <w:rPr>
          <w:rFonts w:ascii="Times New Roman" w:hAnsi="Times New Roman"/>
          <w:b w:val="0"/>
          <w:i w:val="0"/>
          <w:sz w:val="20"/>
        </w:rPr>
        <w:t>N = 500 independent runs are executed for each controller under three scenarios: (1) Nominal — all parameters at design values; (2) Wind Gust — sinusoidal side-force 1.5 sin(4t) exp(-0.8t) N·m applied in roll; (3) Mass Uncertainty — wet mass ±5% Gaussian, CG position ±8 mm Gaussian. Random seeds are drawn from a fixed sequence to ensure reproducibility across controller comparisons.</w:t>
      </w:r>
    </w:p>
    <w:p>
      <w:pPr>
        <w:spacing w:before="120" w:after="60" w:line="240" w:lineRule="exact"/>
        <w:jc w:val="left"/>
      </w:pPr>
      <w:r>
        <w:rPr>
          <w:rFonts w:ascii="Times New Roman" w:hAnsi="Times New Roman"/>
          <w:b/>
          <w:i w:val="0"/>
          <w:sz w:val="20"/>
        </w:rPr>
        <w:t>B.  CONTROLLER PERFORMANCE</w:t>
      </w:r>
    </w:p>
    <w:p>
      <w:pPr>
        <w:spacing w:before="0" w:after="80" w:line="240" w:lineRule="exact"/>
        <w:ind w:firstLine="360"/>
        <w:jc w:val="left"/>
      </w:pPr>
      <w:r>
        <w:rPr>
          <w:rFonts w:ascii="Times New Roman" w:hAnsi="Times New Roman"/>
          <w:b w:val="0"/>
          <w:i w:val="0"/>
          <w:sz w:val="20"/>
        </w:rPr>
        <w:t>Table III summarizes the key metrics averaged over all 500 runs.</w:t>
      </w:r>
    </w:p>
    <w:p>
      <w:pPr>
        <w:spacing w:after="80"/>
      </w:pP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152"/>
          </w:tcPr>
          <w:p>
            <w:pPr>
              <w:jc w:val="center"/>
            </w:pPr>
            <w:r>
              <w:rPr>
                <w:rFonts w:ascii="Times New Roman" w:hAnsi="Times New Roman"/>
                <w:b/>
                <w:sz w:val="18"/>
              </w:rPr>
              <w:t>Controller</w:t>
            </w:r>
          </w:p>
        </w:tc>
        <w:tc>
          <w:tcPr>
            <w:tcW w:type="dxa" w:w="1440"/>
          </w:tcPr>
          <w:p>
            <w:pPr>
              <w:jc w:val="center"/>
            </w:pPr>
            <w:r>
              <w:rPr>
                <w:rFonts w:ascii="Times New Roman" w:hAnsi="Times New Roman"/>
                <w:b/>
                <w:sz w:val="18"/>
              </w:rPr>
              <w:t>Class</w:t>
            </w:r>
          </w:p>
        </w:tc>
        <w:tc>
          <w:tcPr>
            <w:tcW w:type="dxa" w:w="1440"/>
          </w:tcPr>
          <w:p>
            <w:pPr>
              <w:jc w:val="center"/>
            </w:pPr>
            <w:r>
              <w:rPr>
                <w:rFonts w:ascii="Times New Roman" w:hAnsi="Times New Roman"/>
                <w:b/>
                <w:sz w:val="18"/>
              </w:rPr>
              <w:t>Mean RMSE θ</w:t>
            </w:r>
          </w:p>
        </w:tc>
        <w:tc>
          <w:tcPr>
            <w:tcW w:type="dxa" w:w="1296"/>
          </w:tcPr>
          <w:p>
            <w:pPr>
              <w:jc w:val="center"/>
            </w:pPr>
            <w:r>
              <w:rPr>
                <w:rFonts w:ascii="Times New Roman" w:hAnsi="Times New Roman"/>
                <w:b/>
                <w:sz w:val="18"/>
              </w:rPr>
              <w:t>Overshoot</w:t>
            </w:r>
          </w:p>
        </w:tc>
        <w:tc>
          <w:tcPr>
            <w:tcW w:type="dxa" w:w="1296"/>
          </w:tcPr>
          <w:p>
            <w:pPr>
              <w:jc w:val="center"/>
            </w:pPr>
            <w:r>
              <w:rPr>
                <w:rFonts w:ascii="Times New Roman" w:hAnsi="Times New Roman"/>
                <w:b/>
                <w:sz w:val="18"/>
              </w:rPr>
              <w:t>Settle Time</w:t>
            </w:r>
          </w:p>
        </w:tc>
        <w:tc>
          <w:tcPr>
            <w:tcW w:type="dxa" w:w="1440"/>
          </w:tcPr>
          <w:p>
            <w:pPr>
              <w:jc w:val="center"/>
            </w:pPr>
            <w:r>
              <w:rPr>
                <w:rFonts w:ascii="Times New Roman" w:hAnsi="Times New Roman"/>
                <w:b/>
                <w:sz w:val="18"/>
              </w:rPr>
              <w:t>Peak Gimbal</w:t>
            </w:r>
          </w:p>
        </w:tc>
        <w:tc>
          <w:tcPr>
            <w:tcW w:type="dxa" w:w="1296"/>
          </w:tcPr>
          <w:p>
            <w:pPr>
              <w:jc w:val="center"/>
            </w:pPr>
            <w:r>
              <w:rPr>
                <w:rFonts w:ascii="Times New Roman" w:hAnsi="Times New Roman"/>
                <w:b/>
                <w:sz w:val="18"/>
              </w:rPr>
              <w:t>Success Rate</w:t>
            </w:r>
          </w:p>
        </w:tc>
      </w:tr>
      <w:tr>
        <w:tc>
          <w:tcPr>
            <w:tcW w:type="dxa" w:w="1152"/>
          </w:tcPr>
          <w:p>
            <w:pPr>
              <w:jc w:val="center"/>
            </w:pPr>
            <w:r>
              <w:rPr>
                <w:rFonts w:ascii="Times New Roman" w:hAnsi="Times New Roman"/>
                <w:sz w:val="18"/>
              </w:rPr>
              <w:t>PID</w:t>
            </w:r>
          </w:p>
        </w:tc>
        <w:tc>
          <w:tcPr>
            <w:tcW w:type="dxa" w:w="1440"/>
          </w:tcPr>
          <w:p>
            <w:pPr>
              <w:jc w:val="center"/>
            </w:pPr>
            <w:r>
              <w:rPr>
                <w:rFonts w:ascii="Times New Roman" w:hAnsi="Times New Roman"/>
                <w:sz w:val="18"/>
              </w:rPr>
              <w:t>Classic</w:t>
            </w:r>
          </w:p>
        </w:tc>
        <w:tc>
          <w:tcPr>
            <w:tcW w:type="dxa" w:w="1440"/>
          </w:tcPr>
          <w:p>
            <w:pPr>
              <w:jc w:val="center"/>
            </w:pPr>
            <w:r>
              <w:rPr>
                <w:rFonts w:ascii="Times New Roman" w:hAnsi="Times New Roman"/>
                <w:sz w:val="18"/>
              </w:rPr>
              <w:t>1.98 deg</w:t>
            </w:r>
          </w:p>
        </w:tc>
        <w:tc>
          <w:tcPr>
            <w:tcW w:type="dxa" w:w="1296"/>
          </w:tcPr>
          <w:p>
            <w:pPr>
              <w:jc w:val="center"/>
            </w:pPr>
            <w:r>
              <w:rPr>
                <w:rFonts w:ascii="Times New Roman" w:hAnsi="Times New Roman"/>
                <w:sz w:val="18"/>
              </w:rPr>
              <w:t>5.0%</w:t>
            </w:r>
          </w:p>
        </w:tc>
        <w:tc>
          <w:tcPr>
            <w:tcW w:type="dxa" w:w="1296"/>
          </w:tcPr>
          <w:p>
            <w:pPr>
              <w:jc w:val="center"/>
            </w:pPr>
            <w:r>
              <w:rPr>
                <w:rFonts w:ascii="Times New Roman" w:hAnsi="Times New Roman"/>
                <w:sz w:val="18"/>
              </w:rPr>
              <w:t>0.35 s</w:t>
            </w:r>
          </w:p>
        </w:tc>
        <w:tc>
          <w:tcPr>
            <w:tcW w:type="dxa" w:w="1440"/>
          </w:tcPr>
          <w:p>
            <w:pPr>
              <w:jc w:val="center"/>
            </w:pPr>
            <w:r>
              <w:rPr>
                <w:rFonts w:ascii="Times New Roman" w:hAnsi="Times New Roman"/>
                <w:sz w:val="18"/>
              </w:rPr>
              <w:t>3.8 deg</w:t>
            </w:r>
          </w:p>
        </w:tc>
        <w:tc>
          <w:tcPr>
            <w:tcW w:type="dxa" w:w="1296"/>
          </w:tcPr>
          <w:p>
            <w:pPr>
              <w:jc w:val="center"/>
            </w:pPr>
            <w:r>
              <w:rPr>
                <w:rFonts w:ascii="Times New Roman" w:hAnsi="Times New Roman"/>
                <w:sz w:val="18"/>
              </w:rPr>
              <w:t>98.2%</w:t>
            </w:r>
          </w:p>
        </w:tc>
      </w:tr>
      <w:tr>
        <w:tc>
          <w:tcPr>
            <w:tcW w:type="dxa" w:w="1152"/>
          </w:tcPr>
          <w:p>
            <w:pPr>
              <w:jc w:val="center"/>
            </w:pPr>
            <w:r>
              <w:rPr>
                <w:rFonts w:ascii="Times New Roman" w:hAnsi="Times New Roman"/>
                <w:sz w:val="18"/>
              </w:rPr>
              <w:t>LQI</w:t>
            </w:r>
          </w:p>
        </w:tc>
        <w:tc>
          <w:tcPr>
            <w:tcW w:type="dxa" w:w="1440"/>
          </w:tcPr>
          <w:p>
            <w:pPr>
              <w:jc w:val="center"/>
            </w:pPr>
            <w:r>
              <w:rPr>
                <w:rFonts w:ascii="Times New Roman" w:hAnsi="Times New Roman"/>
                <w:sz w:val="18"/>
              </w:rPr>
              <w:t>Optimal</w:t>
            </w:r>
          </w:p>
        </w:tc>
        <w:tc>
          <w:tcPr>
            <w:tcW w:type="dxa" w:w="1440"/>
          </w:tcPr>
          <w:p>
            <w:pPr>
              <w:jc w:val="center"/>
            </w:pPr>
            <w:r>
              <w:rPr>
                <w:rFonts w:ascii="Times New Roman" w:hAnsi="Times New Roman"/>
                <w:sz w:val="18"/>
              </w:rPr>
              <w:t>1.89 deg</w:t>
            </w:r>
          </w:p>
        </w:tc>
        <w:tc>
          <w:tcPr>
            <w:tcW w:type="dxa" w:w="1296"/>
          </w:tcPr>
          <w:p>
            <w:pPr>
              <w:jc w:val="center"/>
            </w:pPr>
            <w:r>
              <w:rPr>
                <w:rFonts w:ascii="Times New Roman" w:hAnsi="Times New Roman"/>
                <w:sz w:val="18"/>
              </w:rPr>
              <w:t>7.8%</w:t>
            </w:r>
          </w:p>
        </w:tc>
        <w:tc>
          <w:tcPr>
            <w:tcW w:type="dxa" w:w="1296"/>
          </w:tcPr>
          <w:p>
            <w:pPr>
              <w:jc w:val="center"/>
            </w:pPr>
            <w:r>
              <w:rPr>
                <w:rFonts w:ascii="Times New Roman" w:hAnsi="Times New Roman"/>
                <w:sz w:val="18"/>
              </w:rPr>
              <w:t>0.28 s</w:t>
            </w:r>
          </w:p>
        </w:tc>
        <w:tc>
          <w:tcPr>
            <w:tcW w:type="dxa" w:w="1440"/>
          </w:tcPr>
          <w:p>
            <w:pPr>
              <w:jc w:val="center"/>
            </w:pPr>
            <w:r>
              <w:rPr>
                <w:rFonts w:ascii="Times New Roman" w:hAnsi="Times New Roman"/>
                <w:sz w:val="18"/>
              </w:rPr>
              <w:t>4.1 deg</w:t>
            </w:r>
          </w:p>
        </w:tc>
        <w:tc>
          <w:tcPr>
            <w:tcW w:type="dxa" w:w="1296"/>
          </w:tcPr>
          <w:p>
            <w:pPr>
              <w:jc w:val="center"/>
            </w:pPr>
            <w:r>
              <w:rPr>
                <w:rFonts w:ascii="Times New Roman" w:hAnsi="Times New Roman"/>
                <w:sz w:val="18"/>
              </w:rPr>
              <w:t>99.1%</w:t>
            </w:r>
          </w:p>
        </w:tc>
      </w:tr>
      <w:tr>
        <w:tc>
          <w:tcPr>
            <w:tcW w:type="dxa" w:w="1152"/>
          </w:tcPr>
          <w:p>
            <w:pPr>
              <w:jc w:val="center"/>
            </w:pPr>
            <w:r>
              <w:rPr>
                <w:rFonts w:ascii="Times New Roman" w:hAnsi="Times New Roman"/>
                <w:sz w:val="18"/>
              </w:rPr>
              <w:t>MRAC</w:t>
            </w:r>
          </w:p>
        </w:tc>
        <w:tc>
          <w:tcPr>
            <w:tcW w:type="dxa" w:w="1440"/>
          </w:tcPr>
          <w:p>
            <w:pPr>
              <w:jc w:val="center"/>
            </w:pPr>
            <w:r>
              <w:rPr>
                <w:rFonts w:ascii="Times New Roman" w:hAnsi="Times New Roman"/>
                <w:sz w:val="18"/>
              </w:rPr>
              <w:t>Adaptive</w:t>
            </w:r>
          </w:p>
        </w:tc>
        <w:tc>
          <w:tcPr>
            <w:tcW w:type="dxa" w:w="1440"/>
          </w:tcPr>
          <w:p>
            <w:pPr>
              <w:jc w:val="center"/>
            </w:pPr>
            <w:r>
              <w:rPr>
                <w:rFonts w:ascii="Times New Roman" w:hAnsi="Times New Roman"/>
                <w:sz w:val="18"/>
              </w:rPr>
              <w:t>1.98 deg</w:t>
            </w:r>
          </w:p>
        </w:tc>
        <w:tc>
          <w:tcPr>
            <w:tcW w:type="dxa" w:w="1296"/>
          </w:tcPr>
          <w:p>
            <w:pPr>
              <w:jc w:val="center"/>
            </w:pPr>
            <w:r>
              <w:rPr>
                <w:rFonts w:ascii="Times New Roman" w:hAnsi="Times New Roman"/>
                <w:sz w:val="18"/>
              </w:rPr>
              <w:t>30.4%</w:t>
            </w:r>
          </w:p>
        </w:tc>
        <w:tc>
          <w:tcPr>
            <w:tcW w:type="dxa" w:w="1296"/>
          </w:tcPr>
          <w:p>
            <w:pPr>
              <w:jc w:val="center"/>
            </w:pPr>
            <w:r>
              <w:rPr>
                <w:rFonts w:ascii="Times New Roman" w:hAnsi="Times New Roman"/>
                <w:sz w:val="18"/>
              </w:rPr>
              <w:t>0.55 s</w:t>
            </w:r>
          </w:p>
        </w:tc>
        <w:tc>
          <w:tcPr>
            <w:tcW w:type="dxa" w:w="1440"/>
          </w:tcPr>
          <w:p>
            <w:pPr>
              <w:jc w:val="center"/>
            </w:pPr>
            <w:r>
              <w:rPr>
                <w:rFonts w:ascii="Times New Roman" w:hAnsi="Times New Roman"/>
                <w:sz w:val="18"/>
              </w:rPr>
              <w:t>4.9 deg</w:t>
            </w:r>
          </w:p>
        </w:tc>
        <w:tc>
          <w:tcPr>
            <w:tcW w:type="dxa" w:w="1296"/>
          </w:tcPr>
          <w:p>
            <w:pPr>
              <w:jc w:val="center"/>
            </w:pPr>
            <w:r>
              <w:rPr>
                <w:rFonts w:ascii="Times New Roman" w:hAnsi="Times New Roman"/>
                <w:sz w:val="18"/>
              </w:rPr>
              <w:t>95.4%</w:t>
            </w:r>
          </w:p>
        </w:tc>
      </w:tr>
      <w:tr>
        <w:tc>
          <w:tcPr>
            <w:tcW w:type="dxa" w:w="1152"/>
          </w:tcPr>
          <w:p>
            <w:pPr>
              <w:jc w:val="center"/>
            </w:pPr>
            <w:r>
              <w:rPr>
                <w:rFonts w:ascii="Times New Roman" w:hAnsi="Times New Roman"/>
                <w:sz w:val="18"/>
              </w:rPr>
              <w:t>ADRC</w:t>
            </w:r>
          </w:p>
        </w:tc>
        <w:tc>
          <w:tcPr>
            <w:tcW w:type="dxa" w:w="1440"/>
          </w:tcPr>
          <w:p>
            <w:pPr>
              <w:jc w:val="center"/>
            </w:pPr>
            <w:r>
              <w:rPr>
                <w:rFonts w:ascii="Times New Roman" w:hAnsi="Times New Roman"/>
                <w:sz w:val="18"/>
              </w:rPr>
              <w:t>ESO Robust</w:t>
            </w:r>
          </w:p>
        </w:tc>
        <w:tc>
          <w:tcPr>
            <w:tcW w:type="dxa" w:w="1440"/>
          </w:tcPr>
          <w:p>
            <w:pPr>
              <w:jc w:val="center"/>
            </w:pPr>
            <w:r>
              <w:rPr>
                <w:rFonts w:ascii="Times New Roman" w:hAnsi="Times New Roman"/>
                <w:sz w:val="18"/>
              </w:rPr>
              <w:t>2.26 deg</w:t>
            </w:r>
          </w:p>
        </w:tc>
        <w:tc>
          <w:tcPr>
            <w:tcW w:type="dxa" w:w="1296"/>
          </w:tcPr>
          <w:p>
            <w:pPr>
              <w:jc w:val="center"/>
            </w:pPr>
            <w:r>
              <w:rPr>
                <w:rFonts w:ascii="Times New Roman" w:hAnsi="Times New Roman"/>
                <w:sz w:val="18"/>
              </w:rPr>
              <w:t>0.0%</w:t>
            </w:r>
          </w:p>
        </w:tc>
        <w:tc>
          <w:tcPr>
            <w:tcW w:type="dxa" w:w="1296"/>
          </w:tcPr>
          <w:p>
            <w:pPr>
              <w:jc w:val="center"/>
            </w:pPr>
            <w:r>
              <w:rPr>
                <w:rFonts w:ascii="Times New Roman" w:hAnsi="Times New Roman"/>
                <w:sz w:val="18"/>
              </w:rPr>
              <w:t>0.31 s</w:t>
            </w:r>
          </w:p>
        </w:tc>
        <w:tc>
          <w:tcPr>
            <w:tcW w:type="dxa" w:w="1440"/>
          </w:tcPr>
          <w:p>
            <w:pPr>
              <w:jc w:val="center"/>
            </w:pPr>
            <w:r>
              <w:rPr>
                <w:rFonts w:ascii="Times New Roman" w:hAnsi="Times New Roman"/>
                <w:sz w:val="18"/>
              </w:rPr>
              <w:t>3.2 deg</w:t>
            </w:r>
          </w:p>
        </w:tc>
        <w:tc>
          <w:tcPr>
            <w:tcW w:type="dxa" w:w="1296"/>
          </w:tcPr>
          <w:p>
            <w:pPr>
              <w:jc w:val="center"/>
            </w:pPr>
            <w:r>
              <w:rPr>
                <w:rFonts w:ascii="Times New Roman" w:hAnsi="Times New Roman"/>
                <w:sz w:val="18"/>
              </w:rPr>
              <w:t>99.8%</w:t>
            </w:r>
          </w:p>
        </w:tc>
      </w:tr>
    </w:tbl>
    <w:p>
      <w:pPr>
        <w:spacing w:before="80" w:after="120" w:line="240" w:lineRule="exact"/>
        <w:jc w:val="center"/>
      </w:pPr>
      <w:r>
        <w:rPr>
          <w:rFonts w:ascii="Times New Roman" w:hAnsi="Times New Roman"/>
          <w:b w:val="0"/>
          <w:i/>
          <w:sz w:val="18"/>
        </w:rPr>
        <w:t>Table III — Monte Carlo Benchmark Results (N=500)</w:t>
      </w:r>
    </w:p>
    <w:p>
      <w:pPr>
        <w:spacing w:before="0" w:after="80" w:line="240" w:lineRule="exact"/>
        <w:ind w:firstLine="360"/>
        <w:jc w:val="left"/>
      </w:pPr>
      <w:r>
        <w:rPr>
          <w:rFonts w:ascii="Times New Roman" w:hAnsi="Times New Roman"/>
          <w:b w:val="0"/>
          <w:i w:val="0"/>
          <w:sz w:val="20"/>
        </w:rPr>
        <w:t>LQI achieves the lowest mean RMSE (1.89 deg) but produces 7.8% overshoot, corresponding to a transient angular exceedance of 0.39 deg beyond the 5 deg reference. Under maximum dynamic pressure (q_dyn ≈ 180 Pa at t = 0.4 s), this overshoot induces a structural bending moment increase of approximately 12% relative to nominal. MRAC shows the highest overshoot (30.4%) during the adaptation transient and the lowest success rate under mass uncertainty scenarios.</w:t>
      </w:r>
    </w:p>
    <w:p>
      <w:pPr>
        <w:spacing w:before="0" w:after="80" w:line="240" w:lineRule="exact"/>
        <w:ind w:firstLine="360"/>
        <w:jc w:val="left"/>
      </w:pPr>
      <w:r>
        <w:rPr>
          <w:rFonts w:ascii="Times New Roman" w:hAnsi="Times New Roman"/>
          <w:b w:val="0"/>
          <w:i w:val="0"/>
          <w:sz w:val="20"/>
        </w:rPr>
        <w:t>ADRC eliminates overshoot entirely across all 500 runs in all three scenarios. The higher mean RMSE (2.26 deg, +0.37 deg vs LQI) reflects a slower initial response due to ESO convergence delay (~0.05 s) but is well within the 5 deg gimbal authority budget. The 99.8% success rate represents the best performance of any tested architecture.</w:t>
      </w:r>
    </w:p>
    <w:p>
      <w:pPr>
        <w:spacing w:before="120" w:after="60" w:line="240" w:lineRule="exact"/>
        <w:jc w:val="left"/>
      </w:pPr>
      <w:r>
        <w:rPr>
          <w:rFonts w:ascii="Times New Roman" w:hAnsi="Times New Roman"/>
          <w:b/>
          <w:i w:val="0"/>
          <w:sz w:val="20"/>
        </w:rPr>
        <w:t>C.  6-DOF CROSS-COUPLING ANALYSIS</w:t>
      </w:r>
    </w:p>
    <w:p>
      <w:pPr>
        <w:spacing w:before="0" w:after="80" w:line="240" w:lineRule="exact"/>
        <w:ind w:firstLine="360"/>
        <w:jc w:val="left"/>
      </w:pPr>
      <w:r>
        <w:rPr>
          <w:rFonts w:ascii="Times New Roman" w:hAnsi="Times New Roman"/>
          <w:b w:val="0"/>
          <w:i w:val="0"/>
          <w:sz w:val="20"/>
        </w:rPr>
        <w:t>The 6-DOF model reveals roll excitation under the wind gust scenario. With zero roll control authority (single-axis TVC only), the roll angle φ accumulates at 0.8 deg/s during the 1.2 s burn, reaching φ_max = 0.96 deg at burnout. This is within the structural limit but confirms that a roll reaction control system would benefit trajectory accuracy beyond approximately 400 m altitude. The yaw channel is stable with ADRC, showing peak yaw rate below 0.4 deg/s.</w:t>
      </w:r>
    </w:p>
    <w:p>
      <w:pPr>
        <w:spacing w:before="120" w:after="60" w:line="240" w:lineRule="exact"/>
        <w:jc w:val="left"/>
      </w:pPr>
      <w:r>
        <w:rPr>
          <w:rFonts w:ascii="Times New Roman" w:hAnsi="Times New Roman"/>
          <w:b/>
          <w:i w:val="0"/>
          <w:sz w:val="20"/>
        </w:rPr>
        <w:t>VI.  HARDWARE IMPLEMENTATION</w:t>
      </w:r>
    </w:p>
    <w:p>
      <w:pPr>
        <w:spacing w:before="0" w:after="80" w:line="240" w:lineRule="exact"/>
        <w:ind w:firstLine="360"/>
        <w:jc w:val="left"/>
      </w:pPr>
      <w:r>
        <w:rPr>
          <w:rFonts w:ascii="Times New Roman" w:hAnsi="Times New Roman"/>
          <w:b w:val="0"/>
          <w:i w:val="0"/>
          <w:sz w:val="20"/>
        </w:rPr>
        <w:t>The flight computer is an STM32F411CEU6 (ARM Cortex-M4F, 100 MHz, 512 kB Flash, 128 kB SRAM) running bare-metal HAL/CMSIS firmware. The guidance loop executes as a TIM2 interrupt service routine at exactly 50 Hz (20 ms period). Loop budget allocation:</w:t>
      </w:r>
    </w:p>
    <w:p>
      <w:pPr>
        <w:spacing w:before="0" w:after="80" w:line="240" w:lineRule="exact"/>
        <w:ind w:firstLine="360"/>
        <w:jc w:val="left"/>
      </w:pPr>
      <w:r>
        <w:rPr>
          <w:rFonts w:ascii="Times New Roman" w:hAnsi="Times New Roman"/>
          <w:b w:val="0"/>
          <w:i w:val="0"/>
          <w:sz w:val="20"/>
        </w:rPr>
        <w:t>— IMU read (I2C DMA, MPU-6050): 0.8 ms | — Complementary filter: 0.2 ms | — Controller computation: 0.3 ms | — Servo PWM update (TIM3/TIM4): 0.1 ms | — Telemetry pack/transmit (UART DMA): 0.4 ms | — Total: 1.8 ms (9% duty cycle)</w:t>
      </w:r>
    </w:p>
    <w:p>
      <w:pPr>
        <w:spacing w:before="0" w:after="80" w:line="240" w:lineRule="exact"/>
        <w:ind w:firstLine="360"/>
        <w:jc w:val="left"/>
      </w:pPr>
      <w:r>
        <w:rPr>
          <w:rFonts w:ascii="Times New Roman" w:hAnsi="Times New Roman"/>
          <w:b w:val="0"/>
          <w:i w:val="0"/>
          <w:sz w:val="20"/>
        </w:rPr>
        <w:t>Attitude estimation uses a complementary filter fusing MPU-6050 gyroscope (200 Hz, 0.005 deg/s noise floor) and accelerometer data with cross-over frequency f_c = 0.5 Hz. Barometric altitude from BMP280 (25 Hz, 0.12 m noise) is low-pass filtered at 5 Hz. Servo commands are output as 50 Hz PWM with 900–2100 μs pulse width, mapped linearly to ±5 deg gimbal deflection.</w:t>
      </w:r>
    </w:p>
    <w:p>
      <w:pPr>
        <w:spacing w:before="0" w:after="80" w:line="240" w:lineRule="exact"/>
        <w:ind w:firstLine="360"/>
        <w:jc w:val="left"/>
      </w:pPr>
      <w:r>
        <w:rPr>
          <w:rFonts w:ascii="Times New Roman" w:hAnsi="Times New Roman"/>
          <w:b w:val="0"/>
          <w:i w:val="0"/>
          <w:sz w:val="20"/>
        </w:rPr>
        <w:t>The UART DMA telemetry packet (45 bytes, 10 Hz) encodes: packet ID (4 B), timestamp_ms (4 B), quaternion attitude (16 B), raw gyro + accel (12 B), servo PWM feedback (4 B), battery voltage (2 B), RSSI (1 B), CRC-16 (2 B). The FastAPI bridge receives this packet and exposes it as a JSON REST endpoint polled by the digital twin frontend.</w:t>
      </w:r>
    </w:p>
    <w:p>
      <w:pPr>
        <w:spacing w:before="120" w:after="60" w:line="240" w:lineRule="exact"/>
        <w:jc w:val="left"/>
      </w:pPr>
      <w:r>
        <w:rPr>
          <w:rFonts w:ascii="Times New Roman" w:hAnsi="Times New Roman"/>
          <w:b/>
          <w:i w:val="0"/>
          <w:sz w:val="20"/>
        </w:rPr>
        <w:t>VII.  DISCUSSION</w:t>
      </w:r>
    </w:p>
    <w:p>
      <w:pPr>
        <w:spacing w:before="0" w:after="80" w:line="240" w:lineRule="exact"/>
        <w:ind w:firstLine="360"/>
        <w:jc w:val="left"/>
      </w:pPr>
      <w:r>
        <w:rPr>
          <w:rFonts w:ascii="Times New Roman" w:hAnsi="Times New Roman"/>
          <w:b w:val="0"/>
          <w:i w:val="0"/>
          <w:sz w:val="20"/>
        </w:rPr>
        <w:t>The digital twin paradigm closes the gap between paper-based control design and physical flight testing. By integrating the numerical simulation with the live hardware telemetry stream in a single web dashboard, the engineer can validate guidance algorithm behavior under real sensor noise and actuator nonlinearity before committing to a flight. The interactive TVC joystick pad enables manual gimbal deflection in the 3D scene, providing intuitive insight into how small nozzle angles produce corrective moments during powered ascent.</w:t>
      </w:r>
    </w:p>
    <w:p>
      <w:pPr>
        <w:spacing w:before="0" w:after="80" w:line="240" w:lineRule="exact"/>
        <w:ind w:firstLine="360"/>
        <w:jc w:val="left"/>
      </w:pPr>
      <w:r>
        <w:rPr>
          <w:rFonts w:ascii="Times New Roman" w:hAnsi="Times New Roman"/>
          <w:b w:val="0"/>
          <w:i w:val="0"/>
          <w:sz w:val="20"/>
        </w:rPr>
        <w:t>ADRC is recommended as the primary flight controller for Project Neal for three reasons: (1) zero overshoot eliminates structural risk at maximum dynamic pressure; (2) the ESO-based architecture is inherently robust to CG migration without gain scheduling; (3) only one parameter (b₀ ≈ F_t/I_yy) requires physical knowledge, simplifying in-field commissioning.</w:t>
      </w:r>
    </w:p>
    <w:p>
      <w:pPr>
        <w:spacing w:before="0" w:after="80" w:line="240" w:lineRule="exact"/>
        <w:ind w:firstLine="360"/>
        <w:jc w:val="left"/>
      </w:pPr>
      <w:r>
        <w:rPr>
          <w:rFonts w:ascii="Times New Roman" w:hAnsi="Times New Roman"/>
          <w:b w:val="0"/>
          <w:i w:val="0"/>
          <w:sz w:val="20"/>
        </w:rPr>
        <w:t>MRAC is not recommended for this rocket class. The adaptation transient of 0.55 s exceeds the 1.2 s total burn time, meaning the controller never reaches steady-state adaptation. The 30.4% overshoot observed in simulation would correspond to a pitch exceedance of 1.52 deg, risking launch rail departure.</w:t>
      </w:r>
    </w:p>
    <w:p>
      <w:pPr>
        <w:spacing w:before="120" w:after="60" w:line="240" w:lineRule="exact"/>
        <w:jc w:val="left"/>
      </w:pPr>
      <w:r>
        <w:rPr>
          <w:rFonts w:ascii="Times New Roman" w:hAnsi="Times New Roman"/>
          <w:b/>
          <w:i w:val="0"/>
          <w:sz w:val="20"/>
        </w:rPr>
        <w:t>VIII.  CONCLUSION</w:t>
      </w:r>
    </w:p>
    <w:p>
      <w:pPr>
        <w:spacing w:before="0" w:after="80" w:line="240" w:lineRule="exact"/>
        <w:ind w:firstLine="360"/>
        <w:jc w:val="left"/>
      </w:pPr>
      <w:r>
        <w:rPr>
          <w:rFonts w:ascii="Times New Roman" w:hAnsi="Times New Roman"/>
          <w:b w:val="0"/>
          <w:i w:val="0"/>
          <w:sz w:val="20"/>
        </w:rPr>
        <w:t>A complete hardware-in-the-loop digital twin for the Project Neal sounding rocket has been developed and validated. Four control architectures were benchmarked under 500-run Monte Carlo campaigns covering mass uncertainty and wind gust perturbations. ADRC achieves zero overshoot and 99.8% mission success rate, outperforming PID, LQI, and MRAC on the critical stability metrics for propulsion-phase attitude control. The digital twin frontend provides real-time 6-DOF visualization, interactive TVC simulation, live sensor telemetry display, and a launch station countdown interface, all communicating with the physical STM32 flight computer. Future work will integrate GPS-aided Kalman filter state estimation, aerodynamic coefficient identification from flight data, and a second-axis roll control system for trajectory precision above 400 m.</w:t>
      </w:r>
    </w:p>
    <w:p>
      <w:pPr>
        <w:spacing w:before="80" w:after="80"/>
        <w:pBdr>
          <w:bottom w:val="single" w:sz="4" w:space="1" w:color="auto"/>
        </w:pBdr>
      </w:pPr>
    </w:p>
    <w:p>
      <w:pPr>
        <w:spacing w:before="120" w:after="60" w:line="240" w:lineRule="exact"/>
        <w:jc w:val="center"/>
      </w:pPr>
      <w:r>
        <w:rPr>
          <w:rFonts w:ascii="Times New Roman" w:hAnsi="Times New Roman"/>
          <w:b/>
          <w:i w:val="0"/>
          <w:sz w:val="20"/>
        </w:rPr>
        <w:t>REFERENCES</w:t>
      </w:r>
    </w:p>
    <w:p>
      <w:pPr>
        <w:spacing w:before="20" w:after="20"/>
        <w:ind w:left="360" w:hanging="360"/>
      </w:pPr>
      <w:r>
        <w:rPr>
          <w:rFonts w:ascii="Times New Roman" w:hAnsi="Times New Roman"/>
          <w:b w:val="0"/>
          <w:i w:val="0"/>
          <w:sz w:val="18"/>
        </w:rPr>
        <w:t>[1] J. Han, "From PID to Active Disturbance Rejection Control," IEEE Trans. Ind. Electron., vol. 56, no. 3, pp. 900–906, Mar. 2009.</w:t>
      </w:r>
    </w:p>
    <w:p>
      <w:pPr>
        <w:spacing w:before="20" w:after="20"/>
        <w:ind w:left="360" w:hanging="360"/>
      </w:pPr>
      <w:r>
        <w:rPr>
          <w:rFonts w:ascii="Times New Roman" w:hAnsi="Times New Roman"/>
          <w:b w:val="0"/>
          <w:i w:val="0"/>
          <w:sz w:val="18"/>
        </w:rPr>
        <w:t>[2] Z. Gao, "Active Disturbance Rejection Control: A Paradigm Shift in Feedback Control System Design," Proc. American Control Conf. (ACC), Minneapolis, MN, pp. 2399–2405, 2006.</w:t>
      </w:r>
    </w:p>
    <w:p>
      <w:pPr>
        <w:spacing w:before="20" w:after="20"/>
        <w:ind w:left="360" w:hanging="360"/>
      </w:pPr>
      <w:r>
        <w:rPr>
          <w:rFonts w:ascii="Times New Roman" w:hAnsi="Times New Roman"/>
          <w:b w:val="0"/>
          <w:i w:val="0"/>
          <w:sz w:val="18"/>
        </w:rPr>
        <w:t>[3] B. L. Stevens, F. L. Lewis, and E. N. Johnson, Aircraft Control and Simulation: Dynamics, Controls Design, and Autonomous Systems, 3rd ed. Hoboken, NJ: Wiley, 2015.</w:t>
      </w:r>
    </w:p>
    <w:p>
      <w:pPr>
        <w:spacing w:before="20" w:after="20"/>
        <w:ind w:left="360" w:hanging="360"/>
      </w:pPr>
      <w:r>
        <w:rPr>
          <w:rFonts w:ascii="Times New Roman" w:hAnsi="Times New Roman"/>
          <w:b w:val="0"/>
          <w:i w:val="0"/>
          <w:sz w:val="18"/>
        </w:rPr>
        <w:t>[4] S. Skogestad and I. Postlethwaite, Multivariable Feedback Control: Analysis and Design, 2nd ed. Chichester, UK: Wiley, 2005.</w:t>
      </w:r>
    </w:p>
    <w:p>
      <w:pPr>
        <w:spacing w:before="20" w:after="20"/>
        <w:ind w:left="360" w:hanging="360"/>
      </w:pPr>
      <w:r>
        <w:rPr>
          <w:rFonts w:ascii="Times New Roman" w:hAnsi="Times New Roman"/>
          <w:b w:val="0"/>
          <w:i w:val="0"/>
          <w:sz w:val="18"/>
        </w:rPr>
        <w:t>[5] K. J. Åström and T. Hägglund, Advanced PID Control. Research Triangle Park, NC: ISA, 2006.</w:t>
      </w:r>
    </w:p>
    <w:p>
      <w:pPr>
        <w:spacing w:before="20" w:after="20"/>
        <w:ind w:left="360" w:hanging="360"/>
      </w:pPr>
      <w:r>
        <w:rPr>
          <w:rFonts w:ascii="Times New Roman" w:hAnsi="Times New Roman"/>
          <w:b w:val="0"/>
          <w:i w:val="0"/>
          <w:sz w:val="18"/>
        </w:rPr>
        <w:t>[6] P. A. Ioannou and J. Sun, Robust Adaptive Control. Upper Saddle River, NJ: Prentice Hall, 1996.</w:t>
      </w:r>
    </w:p>
    <w:p>
      <w:pPr>
        <w:spacing w:before="20" w:after="20"/>
        <w:ind w:left="360" w:hanging="360"/>
      </w:pPr>
      <w:r>
        <w:rPr>
          <w:rFonts w:ascii="Times New Roman" w:hAnsi="Times New Roman"/>
          <w:b w:val="0"/>
          <w:i w:val="0"/>
          <w:sz w:val="18"/>
        </w:rPr>
        <w:t>[7] STMicroelectronics, "STM32F411xC/E Advanced ARM-based 32-bit MCU Reference Manual," RM0383 Rev. 3, Geneva, Switzerland, 2023.</w:t>
      </w:r>
    </w:p>
    <w:p>
      <w:pPr>
        <w:spacing w:before="20" w:after="20"/>
        <w:ind w:left="360" w:hanging="360"/>
      </w:pPr>
      <w:r>
        <w:rPr>
          <w:rFonts w:ascii="Times New Roman" w:hAnsi="Times New Roman"/>
          <w:b w:val="0"/>
          <w:i w:val="0"/>
          <w:sz w:val="18"/>
        </w:rPr>
        <w:t>[8] InvenSense, "MPU-6000 and MPU-6050 Product Specification," Rev. 3.4, San Jose, CA, 2013.</w:t>
      </w:r>
    </w:p>
    <w:p>
      <w:pPr>
        <w:spacing w:before="20" w:after="20"/>
        <w:ind w:left="360" w:hanging="360"/>
      </w:pPr>
      <w:r>
        <w:rPr>
          <w:rFonts w:ascii="Times New Roman" w:hAnsi="Times New Roman"/>
          <w:b w:val="0"/>
          <w:i w:val="0"/>
          <w:sz w:val="18"/>
        </w:rPr>
        <w:t>[9] Bosch Sensortec, "BMP280 Digital Pressure Sensor Data Sheet," Rev. 1.14, Reutlingen, Germany, 2015.</w:t>
      </w:r>
    </w:p>
    <w:p>
      <w:pPr>
        <w:spacing w:before="20" w:after="20"/>
        <w:ind w:left="360" w:hanging="360"/>
      </w:pPr>
      <w:r>
        <w:rPr>
          <w:rFonts w:ascii="Times New Roman" w:hAnsi="Times New Roman"/>
          <w:b w:val="0"/>
          <w:i w:val="0"/>
          <w:sz w:val="18"/>
        </w:rPr>
        <w:t>[10] R. C. Nelson, Flight Stability and Automatic Control, 2nd ed. New York, NY: McGraw-Hill, 1998.</w:t>
      </w:r>
    </w:p>
    <w:p>
      <w:pPr>
        <w:spacing w:before="20" w:after="20"/>
        <w:ind w:left="360" w:hanging="360"/>
      </w:pPr>
      <w:r>
        <w:rPr>
          <w:rFonts w:ascii="Times New Roman" w:hAnsi="Times New Roman"/>
          <w:b w:val="0"/>
          <w:i w:val="0"/>
          <w:sz w:val="18"/>
        </w:rPr>
        <w:t>[11] M. J. L. de Oliveira et al., "Nonlinear Six-Degree-of-Freedom Trajectory Simulation of Sounding Rockets," J. Aerosp. Technol. Manag., vol. 11, 2019.</w:t>
      </w:r>
    </w:p>
    <w:p>
      <w:pPr>
        <w:spacing w:before="20" w:after="20"/>
        <w:ind w:left="360" w:hanging="360"/>
      </w:pPr>
      <w:r>
        <w:rPr>
          <w:rFonts w:ascii="Times New Roman" w:hAnsi="Times New Roman"/>
          <w:b w:val="0"/>
          <w:i w:val="0"/>
          <w:sz w:val="18"/>
        </w:rPr>
        <w:t>[12] G. Huang et al., "Active Disturbance Rejection Control for a Quadrotor," IEEE Trans. Control Syst. Technol., vol. 23, no. 6, pp. 2376–2383, 2015.</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