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 potrzeby zaprezentowania dzia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łania modelu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MVVM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stworzymy aplikację,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óra w czasie rzeczywistym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ędzie przesyłać dane z jednego fragmentu do drugiego. W modelu MVVM mamy 3 gł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ówne komponenty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View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Rep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reprezentuje interfejs u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żytkownika pozbawiony logiki aplikacji.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ViewModel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Łącze miedzy modelem a view. Odpowiada za przekształcenie danych z modelu oraz zapewnia strumieniowanie danych do view.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Model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Zawiera dane i nie mo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że bezpośrednio komunikować się z view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W pierwszej kolejno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ści należy dokonać implementacji w pliku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build.gradle (:app)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. Definiujemy zmienną z aktualną wersją implementacji.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7693" w:dyaOrig="769">
          <v:rect xmlns:o="urn:schemas-microsoft-com:office:office" xmlns:v="urn:schemas-microsoft-com:vml" id="rectole0000000000" style="width:384.650000pt;height:38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2.Nast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ępnie toworzymy dwa fragmenty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Fragment1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i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Fragment2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kt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óre b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ędą naszym modelem Layout fragmentu pierwszego będzie to pole typu EditText, w kt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órym b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ędziemy wpisywać nasz tekst, natomiast layout fragmentu drugiego będzie typu TextView i będzie wyświetlał to co wpiszemy we fragmencie pierwszym.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4333" w:dyaOrig="2369">
          <v:rect xmlns:o="urn:schemas-microsoft-com:office:office" xmlns:v="urn:schemas-microsoft-com:vml" id="rectole0000000001" style="width:216.650000pt;height:118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  <w:r>
        <w:object w:dxaOrig="4170" w:dyaOrig="1660">
          <v:rect xmlns:o="urn:schemas-microsoft-com:office:office" xmlns:v="urn:schemas-microsoft-com:vml" id="rectole0000000002" style="width:208.500000pt;height:83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3. Nasze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activity_main.xml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zawiera dwa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frame layouty, które dziel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ekran na dwie części i odnoszą się do naszch fragment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122" w:dyaOrig="4454">
          <v:rect xmlns:o="urn:schemas-microsoft-com:office:office" xmlns:v="urn:schemas-microsoft-com:vml" id="rectole0000000003" style="width:256.100000pt;height:222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W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MainActivity.kt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które odpowiada naszemu view,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chcemy ustawi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ć nasze fragmenty w odpowiednich miejscach oraz je rozdmuchać.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7349" w:dyaOrig="3583">
          <v:rect xmlns:o="urn:schemas-microsoft-com:office:office" xmlns:v="urn:schemas-microsoft-com:vml" id="rectole0000000004" style="width:367.450000pt;height:179.1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5. W kolejnym etapie tworzymy klas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ę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FragmentViewModel.kt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kt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óry b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ędzie odpowiadał naszemu ViewModelowi. Usatwiamy LiveData oraz funkcje, kt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óre ustawi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ą aktualny status LiveData i zwr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óc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ą go.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5648" w:dyaOrig="3239">
          <v:rect xmlns:o="urn:schemas-microsoft-com:office:office" xmlns:v="urn:schemas-microsoft-com:vml" id="rectole0000000005" style="width:282.400000pt;height:161.9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6. Przechodzimy do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Fragment1.kt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tworzymy i ustawiamy fragmentViewModel.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977" w:dyaOrig="4616">
          <v:rect xmlns:o="urn:schemas-microsoft-com:office:office" xmlns:v="urn:schemas-microsoft-com:vml" id="rectole0000000006" style="width:398.850000pt;height:230.8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Poni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żej ustawiamy by za każdym razem gdy dokonamy zmiany ta zmiana została wysłana do ViewModel a następnie do fragmentu drugiego.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3766">
          <v:rect xmlns:o="urn:schemas-microsoft-com:office:office" xmlns:v="urn:schemas-microsoft-com:vml" id="rectole0000000007" style="width:437.350000pt;height:188.3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We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Fragment2.kt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ustawiamy teraz pobieranie.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7876" w:dyaOrig="2814">
          <v:rect xmlns:o="urn:schemas-microsoft-com:office:office" xmlns:v="urn:schemas-microsoft-com:vml" id="rectole0000000008" style="width:393.800000pt;height:140.7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7937" w:dyaOrig="2510">
          <v:rect xmlns:o="urn:schemas-microsoft-com:office:office" xmlns:v="urn:schemas-microsoft-com:vml" id="rectole0000000009" style="width:396.850000pt;height:125.5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styles.xml" Id="docRId21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numbering.xml" Id="docRId20" Type="http://schemas.openxmlformats.org/officeDocument/2006/relationships/numbering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