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5C43"/>
          <w:sz w:val="40"/>
          <w:szCs w:val="40"/>
        </w:rPr>
        <w:t xml:space="preserve">Lintel</w:t>
      </w:r>
    </w:p>
    <w:p>
      <w:pPr>
        <w:spacing w:after="240"/>
      </w:pPr>
      <w:r>
        <w:rPr>
          <w:color w:val="5B6470"/>
          <w:sz w:val="24"/>
          <w:szCs w:val="24"/>
        </w:rPr>
        <w:t xml:space="preserve">Accountant &amp; tax adviser questionnaire — SA105 mapping and MTD ITSA recognition</w:t>
      </w:r>
    </w:p>
    <w:p>
      <w:pPr>
        <w:spacing w:after="120"/>
      </w:pPr>
      <w:r>
        <w:rPr>
          <w:i w:val="false"/>
          <w:iCs w:val="false"/>
          <w:color w:val="14181F"/>
        </w:rPr>
        <w:t xml:space="preserve">Lintel is a Making Tax Digital (MTD) record-keeping platform for UK landlords. Before we expose any “file to HMRC” feature, we want a qualified accountant to (a) validate how we map landlord income and expenses to SA105 and the HMRC MTD ITSA UK Property API, and (b) advise on sponsoring our application for HMRC software recognition. Your answers will directly shape the product. Where a question has options, please mark the correct one and add notes.</w:t>
      </w:r>
    </w:p>
    <w:p>
      <w:pPr>
        <w:spacing w:after="120"/>
      </w:pPr>
      <w:r>
        <w:rPr>
          <w:i/>
          <w:iCs/>
          <w:color w:val="5B6470"/>
        </w:rPr>
        <w:t xml:space="preserve">Throughout, Lintel treats finance costs under Section 24 as a basic-rate (20%) tax reducer, not an allowable deduction. Please correct us anywhere this is wrong.</w:t>
      </w:r>
    </w:p>
    <w:p>
      <w:pPr>
        <w:pStyle w:val="Heading1"/>
      </w:pPr>
      <w:r>
        <w:t xml:space="preserve">1. SA105 to HMRC field mapping</w:t>
      </w:r>
    </w:p>
    <w:p>
      <w:pPr>
        <w:spacing w:after="120"/>
      </w:pPr>
      <w:r>
        <w:rPr>
          <w:i w:val="false"/>
          <w:iCs w:val="false"/>
          <w:color w:val="14181F"/>
        </w:rPr>
        <w:t xml:space="preserve">Please confirm the mapping below is correct for a standard residential UK property business, and flag any box that should map elsewhere.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EAF3EF" w:val="clear"/>
            <w:tcMar>
              <w:top w:type="dxa" w:w="80"/>
              <w:left w:type="dxa" w:w="120"/>
              <w:bottom w:type="dxa" w:w="80"/>
              <w:right w:type="dxa" w:w="120"/>
            </w:tcMar>
          </w:tcPr>
          <w:p>
            <w:r>
              <w:rPr>
                <w:b/>
                <w:bCs/>
                <w:color w:val="0E5C43"/>
              </w:rPr>
              <w:t xml:space="preserve">Lintel category</w:t>
            </w:r>
          </w:p>
        </w:tc>
        <w:tc>
          <w:tcPr>
            <w:tcW w:type="dxa" w:w="3313"/>
            <w:tcBorders>
              <w:top w:val="single" w:color="CCCCCC" w:sz="1"/>
              <w:left w:val="single" w:color="CCCCCC" w:sz="1"/>
              <w:bottom w:val="single" w:color="CCCCCC" w:sz="1"/>
              <w:right w:val="single" w:color="CCCCCC" w:sz="1"/>
            </w:tcBorders>
            <w:shd w:fill="EAF3EF" w:val="clear"/>
            <w:tcMar>
              <w:top w:type="dxa" w:w="80"/>
              <w:left w:type="dxa" w:w="120"/>
              <w:bottom w:type="dxa" w:w="80"/>
              <w:right w:type="dxa" w:w="120"/>
            </w:tcMar>
          </w:tcPr>
          <w:p>
            <w:r>
              <w:rPr>
                <w:b/>
                <w:bCs/>
                <w:color w:val="0E5C43"/>
              </w:rPr>
              <w:t xml:space="preserve">SA105 box (paper return)</w:t>
            </w:r>
          </w:p>
        </w:tc>
        <w:tc>
          <w:tcPr>
            <w:tcW w:type="dxa" w:w="3313"/>
            <w:tcBorders>
              <w:top w:val="single" w:color="CCCCCC" w:sz="1"/>
              <w:left w:val="single" w:color="CCCCCC" w:sz="1"/>
              <w:bottom w:val="single" w:color="CCCCCC" w:sz="1"/>
              <w:right w:val="single" w:color="CCCCCC" w:sz="1"/>
            </w:tcBorders>
            <w:shd w:fill="EAF3EF" w:val="clear"/>
            <w:tcMar>
              <w:top w:type="dxa" w:w="80"/>
              <w:left w:type="dxa" w:w="120"/>
              <w:bottom w:type="dxa" w:w="80"/>
              <w:right w:type="dxa" w:w="120"/>
            </w:tcMar>
          </w:tcPr>
          <w:p>
            <w:r>
              <w:rPr>
                <w:b/>
                <w:bCs/>
                <w:color w:val="0E5C43"/>
              </w:rPr>
              <w:t xml:space="preserve">HMRC API field (UK property)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Rents &amp; other income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20 — Total rents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ukProperty.income.periodAmount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Lease premiums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22 — Premiums for the grant of a lease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income.premiumsOfLeaseGrant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Other property income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21/24 — Other income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income.otherIncome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Rent, rates, insurance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24 — Rent, rates, insurance, ground rents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expenses.premisesRunningCosts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Repairs &amp; maintenance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25 — Property repairs and maintenance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expenses.repairsAndMaintenance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Loan interest &amp; finance</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26 — Loan interest and other financial costs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expenses.residentialFinancialCost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Legal/management/professional</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27 — Legal, management and other professional fees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expenses.professionalFees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Costs of services provided</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28 — Costs of services provided, including wages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expenses.costOfServices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Other allowable expenses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Box 29 — Other allowable property expenses</w:t>
            </w:r>
          </w:p>
        </w:tc>
        <w:tc>
          <w:tcPr>
            <w:tcW w:type="dxa" w:w="3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4181F"/>
              </w:rPr>
              <w:t xml:space="preserve">expenses.other</w:t>
            </w:r>
          </w:p>
        </w:tc>
      </w:tr>
    </w:tbl>
    <w:p>
      <w:pPr>
        <w:spacing w:after="120"/>
      </w:pPr>
    </w:p>
    <w:p>
      <w:pPr>
        <w:pStyle w:val="ListParagraph"/>
        <w:numPr>
          <w:ilvl w:val="0"/>
          <w:numId w:val="2"/>
        </w:numPr>
        <w:spacing w:after="80"/>
      </w:pPr>
      <w:r>
        <w:t xml:space="preserve">Is the mapping above correct for residential lettings? If not, which rows need changing, and to what?</w:t>
      </w:r>
    </w:p>
    <w:p>
      <w:pPr>
        <w:pStyle w:val="ListParagraph"/>
        <w:numPr>
          <w:ilvl w:val="0"/>
          <w:numId w:val="2"/>
        </w:numPr>
        <w:spacing w:after="80"/>
      </w:pPr>
      <w:r>
        <w:t xml:space="preserve">We map mortgage/loan interest to expenses.residentialFinancialCost (not financialCosts). Is that the correct field for residential property finance costs under the UK Property API?</w:t>
      </w:r>
    </w:p>
    <w:p>
      <w:pPr>
        <w:pStyle w:val="ListParagraph"/>
        <w:numPr>
          <w:ilvl w:val="0"/>
          <w:numId w:val="2"/>
        </w:numPr>
        <w:spacing w:after="80"/>
      </w:pPr>
      <w:r>
        <w:t xml:space="preserve">For mixed residential/commercial portfolios, should finance costs split between residentialFinancialCost and financialCosts? How should we determine the split?</w:t>
      </w:r>
    </w:p>
    <w:p>
      <w:pPr>
        <w:pStyle w:val="ListParagraph"/>
        <w:numPr>
          <w:ilvl w:val="0"/>
          <w:numId w:val="2"/>
        </w:numPr>
        <w:spacing w:after="80"/>
      </w:pPr>
      <w:r>
        <w:t xml:space="preserve">Where should lease premiums and reverse premiums sit, and are there thresholds or apportionment rules we should apply automatically?</w:t>
      </w:r>
    </w:p>
    <w:p>
      <w:pPr>
        <w:pStyle w:val="Heading1"/>
      </w:pPr>
      <w:r>
        <w:t xml:space="preserve">2. Section 24 and finance cost relief</w:t>
      </w:r>
    </w:p>
    <w:p>
      <w:pPr>
        <w:pStyle w:val="ListParagraph"/>
        <w:numPr>
          <w:ilvl w:val="0"/>
          <w:numId w:val="2"/>
        </w:numPr>
        <w:spacing w:after="80"/>
      </w:pPr>
      <w:r>
        <w:t xml:space="preserve">Confirm our treatment: residential finance costs are reported to HMRC but excluded from the profit calculation, with a 20% basic-rate reducer applied at the tax-computation stage. Correct?</w:t>
      </w:r>
    </w:p>
    <w:p>
      <w:pPr>
        <w:pStyle w:val="ListParagraph"/>
        <w:numPr>
          <w:ilvl w:val="0"/>
          <w:numId w:val="2"/>
        </w:numPr>
        <w:spacing w:after="80"/>
      </w:pPr>
      <w:r>
        <w:t xml:space="preserve">Does the landlord enter the finance-cost figure as an expense in the quarterly update, with HMRC applying the reducer at final declaration — or is it handled differently for MTD?</w:t>
      </w:r>
    </w:p>
    <w:p>
      <w:pPr>
        <w:pStyle w:val="ListParagraph"/>
        <w:numPr>
          <w:ilvl w:val="0"/>
          <w:numId w:val="2"/>
        </w:numPr>
        <w:spacing w:after="80"/>
      </w:pPr>
      <w:r>
        <w:t xml:space="preserve">Are there carry-forward situations (e.g. unused finance-cost reducer) we should track and surface to the landlord?</w:t>
      </w:r>
    </w:p>
    <w:p>
      <w:pPr>
        <w:pStyle w:val="Heading1"/>
      </w:pPr>
      <w:r>
        <w:t xml:space="preserve">3. Basis of accounting, allowances and reliefs</w:t>
      </w:r>
    </w:p>
    <w:p>
      <w:pPr>
        <w:pStyle w:val="ListParagraph"/>
        <w:numPr>
          <w:ilvl w:val="0"/>
          <w:numId w:val="2"/>
        </w:numPr>
        <w:spacing w:after="80"/>
      </w:pPr>
      <w:r>
        <w:t xml:space="preserve">The cash basis is now the default for most unincorporated property businesses. Should Lintel default to cash basis, and how should we let landlords elect for the accruals basis?</w:t>
      </w:r>
    </w:p>
    <w:p>
      <w:pPr>
        <w:pStyle w:val="ListParagraph"/>
        <w:numPr>
          <w:ilvl w:val="0"/>
          <w:numId w:val="2"/>
        </w:numPr>
        <w:spacing w:after="80"/>
      </w:pPr>
      <w:r>
        <w:t xml:space="preserve">How should we handle the £1,000 property income allowance — detect eligibility automatically, and when is it better than deducting actual expenses?</w:t>
      </w:r>
    </w:p>
    <w:p>
      <w:pPr>
        <w:pStyle w:val="ListParagraph"/>
        <w:numPr>
          <w:ilvl w:val="0"/>
          <w:numId w:val="2"/>
        </w:numPr>
        <w:spacing w:after="80"/>
      </w:pPr>
      <w:r>
        <w:t xml:space="preserve">How should Rent-a-Room relief be presented and mapped (the API has a rentARoom object)?</w:t>
      </w:r>
    </w:p>
    <w:p>
      <w:pPr>
        <w:pStyle w:val="ListParagraph"/>
        <w:numPr>
          <w:ilvl w:val="0"/>
          <w:numId w:val="2"/>
        </w:numPr>
        <w:spacing w:after="80"/>
      </w:pPr>
      <w:r>
        <w:t xml:space="preserve">Replacement of Domestic Items Relief: which expenses qualify, and how should we tag them so they are reported correctly (vs. disallowed capital)?</w:t>
      </w:r>
    </w:p>
    <w:p>
      <w:pPr>
        <w:pStyle w:val="Heading1"/>
      </w:pPr>
      <w:r>
        <w:t xml:space="preserve">4. Allowable vs disallowable expenses</w:t>
      </w:r>
    </w:p>
    <w:p>
      <w:pPr>
        <w:pStyle w:val="ListParagraph"/>
        <w:numPr>
          <w:ilvl w:val="0"/>
          <w:numId w:val="2"/>
        </w:numPr>
        <w:spacing w:after="80"/>
      </w:pPr>
      <w:r>
        <w:t xml:space="preserve">Where is the capital/revenue line for common landlord costs (e.g. new kitchen vs. like-for-like replacement, boiler replacement, extensions)? Any rules of thumb we can encode?</w:t>
      </w:r>
    </w:p>
    <w:p>
      <w:pPr>
        <w:pStyle w:val="ListParagraph"/>
        <w:numPr>
          <w:ilvl w:val="0"/>
          <w:numId w:val="2"/>
        </w:numPr>
        <w:spacing w:after="80"/>
      </w:pPr>
      <w:r>
        <w:t xml:space="preserve">Mileage: can landlords use HMRC approved mileage rates (45p/25p), and are there conditions (e.g. number of properties) we should enforce?</w:t>
      </w:r>
    </w:p>
    <w:p>
      <w:pPr>
        <w:pStyle w:val="ListParagraph"/>
        <w:numPr>
          <w:ilvl w:val="0"/>
          <w:numId w:val="2"/>
        </w:numPr>
        <w:spacing w:after="80"/>
      </w:pPr>
      <w:r>
        <w:t xml:space="preserve">Which costs do landlords most commonly mis-categorise, and how would you like Lintel to warn them?</w:t>
      </w:r>
    </w:p>
    <w:p>
      <w:pPr>
        <w:pStyle w:val="Heading1"/>
      </w:pPr>
      <w:r>
        <w:t xml:space="preserve">5. Property business structure</w:t>
      </w:r>
    </w:p>
    <w:p>
      <w:pPr>
        <w:pStyle w:val="ListParagraph"/>
        <w:numPr>
          <w:ilvl w:val="0"/>
          <w:numId w:val="2"/>
        </w:numPr>
        <w:spacing w:after="80"/>
      </w:pPr>
      <w:r>
        <w:t xml:space="preserve">For a portfolio, does HMRC treat all UK residential properties as a single UK property business (one businessId), with separate accounting for furnished holiday lets and overseas property?</w:t>
      </w:r>
    </w:p>
    <w:p>
      <w:pPr>
        <w:pStyle w:val="ListParagraph"/>
        <w:numPr>
          <w:ilvl w:val="0"/>
          <w:numId w:val="2"/>
        </w:numPr>
        <w:spacing w:after="80"/>
      </w:pPr>
      <w:r>
        <w:t xml:space="preserve">Joint ownership: how should we apportion income and expenses between owners, and what is reported per individual?</w:t>
      </w:r>
    </w:p>
    <w:p>
      <w:pPr>
        <w:pStyle w:val="ListParagraph"/>
        <w:numPr>
          <w:ilvl w:val="0"/>
          <w:numId w:val="2"/>
        </w:numPr>
        <w:spacing w:after="80"/>
      </w:pPr>
      <w:r>
        <w:t xml:space="preserve">How is the property businessId obtained and confirmed for a given taxpayer (NINO)? Should we retrieve it via the API or have the landlord enter it?</w:t>
      </w:r>
    </w:p>
    <w:p>
      <w:pPr>
        <w:pStyle w:val="Heading1"/>
      </w:pPr>
      <w:r>
        <w:t xml:space="preserve">6. Quarterly updates, EOPS and final declaration</w:t>
      </w:r>
    </w:p>
    <w:p>
      <w:pPr>
        <w:pStyle w:val="ListParagraph"/>
        <w:numPr>
          <w:ilvl w:val="0"/>
          <w:numId w:val="2"/>
        </w:numPr>
        <w:spacing w:after="80"/>
      </w:pPr>
      <w:r>
        <w:t xml:space="preserve">Does the UK Property API expect cumulative period-to-date figures or discrete period figures for each quarterly update? Our mapping currently submits per-period totals — please confirm.</w:t>
      </w:r>
    </w:p>
    <w:p>
      <w:pPr>
        <w:pStyle w:val="ListParagraph"/>
        <w:numPr>
          <w:ilvl w:val="0"/>
          <w:numId w:val="2"/>
        </w:numPr>
        <w:spacing w:after="80"/>
      </w:pPr>
      <w:r>
        <w:t xml:space="preserve">What are the submission deadlines and the standard quarterly period dates we should track (we use periods ending 5 Jul, 5 Oct, 5 Jan, 5 Apr)? Are calendar-quarter elections relevant?</w:t>
      </w:r>
    </w:p>
    <w:p>
      <w:pPr>
        <w:pStyle w:val="ListParagraph"/>
        <w:numPr>
          <w:ilvl w:val="0"/>
          <w:numId w:val="2"/>
        </w:numPr>
        <w:spacing w:after="80"/>
      </w:pPr>
      <w:r>
        <w:t xml:space="preserve">Walk us through the end-of-period statement / final declaration (crystallisation) sequence and what the software must submit at year end.</w:t>
      </w:r>
    </w:p>
    <w:p>
      <w:pPr>
        <w:pStyle w:val="ListParagraph"/>
        <w:numPr>
          <w:ilvl w:val="0"/>
          <w:numId w:val="2"/>
        </w:numPr>
        <w:spacing w:after="80"/>
      </w:pPr>
      <w:r>
        <w:t xml:space="preserve">What accounting adjustments (e.g. private use, balancing charges, capital allowances) typically happen at final declaration rather than in quarterly updates?</w:t>
      </w:r>
    </w:p>
    <w:p>
      <w:pPr>
        <w:pStyle w:val="Heading1"/>
      </w:pPr>
      <w:r>
        <w:t xml:space="preserve">7. Digital records, penalties and amendments</w:t>
      </w:r>
    </w:p>
    <w:p>
      <w:pPr>
        <w:pStyle w:val="ListParagraph"/>
        <w:numPr>
          <w:ilvl w:val="0"/>
          <w:numId w:val="2"/>
        </w:numPr>
        <w:spacing w:after="80"/>
      </w:pPr>
      <w:r>
        <w:t xml:space="preserve">What is the minimum set of digital records HMRC requires us to keep per transaction to be MTD-compliant?</w:t>
      </w:r>
    </w:p>
    <w:p>
      <w:pPr>
        <w:pStyle w:val="ListParagraph"/>
        <w:numPr>
          <w:ilvl w:val="0"/>
          <w:numId w:val="2"/>
        </w:numPr>
        <w:spacing w:after="80"/>
      </w:pPr>
      <w:r>
        <w:t xml:space="preserve">How does the points-based late submission/payment penalty regime work for ITSA, and what should we surface to landlords?</w:t>
      </w:r>
    </w:p>
    <w:p>
      <w:pPr>
        <w:pStyle w:val="ListParagraph"/>
        <w:numPr>
          <w:ilvl w:val="0"/>
          <w:numId w:val="2"/>
        </w:numPr>
        <w:spacing w:after="80"/>
      </w:pPr>
      <w:r>
        <w:t xml:space="preserve">How are corrections to a previously submitted quarter handled — amend-in-place, or correct in a later period?</w:t>
      </w:r>
    </w:p>
    <w:p>
      <w:pPr>
        <w:pStyle w:val="Heading1"/>
      </w:pPr>
      <w:r>
        <w:t xml:space="preserve">8. HMRC software recognition</w:t>
      </w:r>
    </w:p>
    <w:p>
      <w:pPr>
        <w:spacing w:after="120"/>
      </w:pPr>
      <w:r>
        <w:rPr>
          <w:i w:val="false"/>
          <w:iCs w:val="false"/>
          <w:color w:val="14181F"/>
        </w:rPr>
        <w:t xml:space="preserve">HMRC lists recognised MTD software. We need a tax professional/agent to help validate our submissions in the sandbox and support our recognition application.</w:t>
      </w:r>
    </w:p>
    <w:p>
      <w:pPr>
        <w:pStyle w:val="ListParagraph"/>
        <w:numPr>
          <w:ilvl w:val="0"/>
          <w:numId w:val="2"/>
        </w:numPr>
        <w:spacing w:after="80"/>
      </w:pPr>
      <w:r>
        <w:t xml:space="preserve">Would you be willing to act as our tax adviser/sponsor for HMRC recognition, including reviewing live sandbox submissions against real-world cases?</w:t>
      </w:r>
    </w:p>
    <w:p>
      <w:pPr>
        <w:pStyle w:val="ListParagraph"/>
        <w:numPr>
          <w:ilvl w:val="0"/>
          <w:numId w:val="2"/>
        </w:numPr>
        <w:spacing w:after="80"/>
      </w:pPr>
      <w:r>
        <w:t xml:space="preserve">Are there specific test scenarios (income types, reliefs, edge cases) you would want us to pass before going live?</w:t>
      </w:r>
    </w:p>
    <w:p>
      <w:pPr>
        <w:pStyle w:val="ListParagraph"/>
        <w:numPr>
          <w:ilvl w:val="0"/>
          <w:numId w:val="2"/>
        </w:numPr>
        <w:spacing w:after="80"/>
      </w:pPr>
      <w:r>
        <w:t xml:space="preserve">Do you have feedback on our fraud-prevention header implementation (Gov-Client-* / Gov-Vendor-*) and the data we collect from the landlord's browser to populate it?</w:t>
      </w:r>
    </w:p>
    <w:p>
      <w:pPr>
        <w:pStyle w:val="ListParagraph"/>
        <w:numPr>
          <w:ilvl w:val="0"/>
          <w:numId w:val="2"/>
        </w:numPr>
        <w:spacing w:after="80"/>
      </w:pPr>
      <w:r>
        <w:t xml:space="preserve">Anything else about UK property tax or MTD ITSA we have not asked about that you think could trip up landlords or our software?</w:t>
      </w:r>
    </w:p>
    <w:p>
      <w:pPr>
        <w:spacing w:before="280"/>
      </w:pPr>
      <w:r>
        <w:rPr>
          <w:i/>
          <w:iCs/>
          <w:color w:val="5B6470"/>
        </w:rPr>
        <w:t xml:space="preserve">Thank you. Please return with notes against each question; we will incorporate your guidance before enabling any HMRC submission feature.</w:t>
      </w:r>
    </w:p>
    <w:p>
      <w:pPr>
        <w:spacing w:before="200"/>
      </w:pPr>
      <w:r>
        <w:rPr>
          <w:color w:val="5B6470"/>
          <w:sz w:val="18"/>
          <w:szCs w:val="18"/>
        </w:rPr>
        <w:t xml:space="preserve">Lintel provides software tools, not tax advice. This questionnaire is to validate our implementation with a qualified professional.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620" w:hanging="36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E5C43"/>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418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2026-06-11T08:14:24.910Z</dcterms:created>
  <dcterms:modified xsi:type="dcterms:W3CDTF">2026-06-11T08:14:24.910Z</dcterms:modified>
</cp:coreProperties>
</file>

<file path=docProps/custom.xml><?xml version="1.0" encoding="utf-8"?>
<Properties xmlns="http://schemas.openxmlformats.org/officeDocument/2006/custom-properties" xmlns:vt="http://schemas.openxmlformats.org/officeDocument/2006/docPropsVTypes"/>
</file>