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Technology Statement</w:t>
      </w:r>
    </w:p>
    <w:p>
      <w:pPr>
        <w:spacing w:after="60"/>
        <w:jc w:val="center"/>
      </w:pPr>
      <w:r>
        <w:rPr>
          <w:i/>
          <w:iCs/>
          <w:color w:val="636e72"/>
          <w:sz w:val="22"/>
          <w:szCs w:val="22"/>
        </w:rPr>
        <w:t xml:space="preserve">Transparency Portal — Technical Architecture &amp; IBM Technology Integration</w:t>
      </w:r>
    </w:p>
    <w:p>
      <w:pPr>
        <w:spacing w:after="200"/>
      </w:pPr>
    </w:p>
    <w:p>
      <w:pPr>
        <w:pStyle w:val="Heading1"/>
      </w:pPr>
      <w:r>
        <w:t xml:space="preserve">IBM watsonx.ai — Core AI Engine</w:t>
      </w:r>
    </w:p>
    <w:p>
      <w:pPr>
        <w:spacing w:after="120"/>
      </w:pPr>
      <w:r>
        <w:t xml:space="preserve">The Transparency Portal is powered by </w:t>
      </w:r>
      <w:r>
        <w:rPr>
          <w:b/>
          <w:bCs/>
        </w:rPr>
        <w:t xml:space="preserve">IBM watsonx.ai</w:t>
      </w:r>
      <w:r>
        <w:t xml:space="preserve"> using </w:t>
      </w:r>
      <w:r>
        <w:rPr>
          <w:b/>
          <w:bCs/>
        </w:rPr>
        <w:t xml:space="preserve">IBM Granite foundation models</w:t>
      </w:r>
      <w:r>
        <w:t xml:space="preserve">. All four AI features—Summary, Chat, Anomaly Detection, and Predictive Insights—are driven by watsonx.ai inference via the watsonx.ai REST API. The integration follows a Backend-for-Frontend (BFF) pattern: the Next.js server acts as a secure proxy, constructing role-aware prompts enriched with real-time dashboard data before forwarding them to watsonx.ai. This ensures that API credentials never reach the browser and that every AI response is grounded in the customer’s actual infrastructure metrics.</w:t>
      </w:r>
    </w:p>
    <w:p>
      <w:pPr>
        <w:spacing w:after="120"/>
      </w:pPr>
      <w:r>
        <w:t xml:space="preserve">Specifically, watsonx.ai powers: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Summary Generation</w:t>
      </w:r>
      <w:r>
        <w:t xml:space="preserve"> — Role-tailored natural-language summaries of dashboard state, generated per request via the /api/ai/summary endpoint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Conversational Chat</w:t>
      </w:r>
      <w:r>
        <w:t xml:space="preserve"> — Multi-turn Q&amp;A about infrastructure data via the /api/ai/chat endpoint, with conversation history and metric context injected into each prompt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Anomaly Detection</w:t>
      </w:r>
      <w:r>
        <w:t xml:space="preserve"> — Identification of unusual metric patterns (CPU spikes, latency trends, error surges) via the /api/ai/insights endpoint, returning structured anomaly objects with severity classification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Predictive Insights</w:t>
      </w:r>
      <w:r>
        <w:t xml:space="preserve"> — Forward-looking forecasts for SLA breach risk, cost overruns, and capacity thresholds, with confidence levels and timeframes</w:t>
      </w:r>
    </w:p>
    <w:p>
      <w:pPr>
        <w:pStyle w:val="Heading1"/>
      </w:pPr>
      <w:r>
        <w:t xml:space="preserve">Application Architecture</w:t>
      </w:r>
    </w:p>
    <w:p>
      <w:pPr>
        <w:spacing w:after="120"/>
      </w:pPr>
      <w:r>
        <w:t xml:space="preserve">The portal is built on a modern full-stack JavaScript architecture: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Next.js 16</w:t>
      </w:r>
      <w:r>
        <w:t xml:space="preserve"> (React 19) — Full-stack framework providing server-side rendering, API routes (BFF layer), and optimized client hydration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TypeScript</w:t>
      </w:r>
      <w:r>
        <w:t xml:space="preserve"> — End-to-end type safety across client, server, and AI response parsing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CSS 4</w:t>
      </w:r>
      <w:r>
        <w:t xml:space="preserve"> — Utility-first styling with dark mode support and responsive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Tremor</w:t>
      </w:r>
      <w:r>
        <w:t xml:space="preserve"> — React charting library for interactive time-series visualizations, bar charts, donut charts, and KPI cards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Remix Icons</w:t>
      </w:r>
      <w:r>
        <w:t xml:space="preserve"> — Consistent iconography across all 44 widgets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Vercel</w:t>
      </w:r>
      <w:r>
        <w:t xml:space="preserve"> — Production deployment with edge network, serverless functions for API routes, and automatic preview deployments</w:t>
      </w:r>
    </w:p>
    <w:p>
      <w:pPr>
        <w:pStyle w:val="ListParagraph"/>
      </w:pPr>
      <w:r>
        <w:t>html2canvas + jsPDF — Client-side PDF export: html2canvas captures a pixel-perfect canvas snapshot of the dashboard; jsPDF embeds it into a downloadable PDF report</w:t>
      </w:r>
    </w:p>
    <w:p>
      <w:pPr>
        <w:pStyle w:val="ListParagraph"/>
      </w:pPr>
      <w:r>
        <w:t>@dnd-kit/core + @dnd-kit/sortable — Accessible drag-and-drop library enabling widget reordering; SortableWidget wrapper integrates with DndContext for smooth, keyboard-accessible reordering</w:t>
      </w:r>
    </w:p>
    <w:p>
      <w:pPr>
        <w:pStyle w:val="Heading1"/>
      </w:pPr>
      <w:r>
        <w:t xml:space="preserve">Data Flow &amp; AI Integration Pattern</w:t>
      </w:r>
    </w:p>
    <w:p>
      <w:pPr>
        <w:spacing w:after="120"/>
      </w:pPr>
      <w:r>
        <w:t xml:space="preserve">The AI integration uses a three-stage pipeline: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 Gathering</w:t>
      </w:r>
      <w:r>
        <w:t xml:space="preserve"> — The server collects current metrics from the customer’s dashboard data (resource utilization, latency, error rates, SLA status, costs) and assembles a structured context object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Construction</w:t>
      </w:r>
      <w:r>
        <w:t xml:space="preserve"> — Role-aware system prompts are built dynamically, incorporating the metric context and the user’s current view (C-Level, Business, or Technical) to ensure responses match audience expectations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watsonx.ai Inference</w:t>
      </w:r>
      <w:r>
        <w:t xml:space="preserve"> — The assembled messages are sent to IBM watsonx.ai via the REST API. Responses are parsed into typed structures (anomalies with severity, predictions with confidence/timeframe) and cached server-side for 6 hours to optimize token usage</w:t>
      </w:r>
    </w:p>
    <w:p>
      <w:pPr>
        <w:spacing w:after="200"/>
      </w:pPr>
      <w:r>
        <w:t xml:space="preserve">Token consumption is optimized through server-side caching (6-hour TTL per customer), compact prompt engineering, and a maximum token budget of ~350 tokens per inference call. The estimated monthly usage of ~130,000 tokens fits comfortably within the watsonx.ai free tier for demonstration purposes.</w:t>
      </w:r>
    </w:p>
    <w:p>
      <w:pPr>
        <w:pStyle w:val="Heading1"/>
      </w:pPr>
      <w:r>
        <w:t>UX Architecture &amp; Client-Side Enhancements</w:t>
      </w:r>
    </w:p>
    <w:p>
      <w:r>
        <w:t>Version 2 of the portal introduces a suite of client-side architectural patterns and UX capabilities built on top of the core stack:</w:t>
      </w:r>
    </w:p>
    <w:p>
      <w:pPr>
        <w:pStyle w:val="ListParagraph"/>
      </w:pPr>
      <w:r>
        <w:t>React Context Providers — Four dedicated contexts (RefreshContext, NotificationContext, ComparisonContext, SidebarContext) manage cross-cutting UI state without prop-drilling, keeping widget components clean and composable.</w:t>
      </w:r>
    </w:p>
    <w:p>
      <w:pPr>
        <w:pStyle w:val="ListParagraph"/>
      </w:pPr>
      <w:r>
        <w:t>Real-Time Data Refresh — A RefreshContext provider exposes an auto-refresh toggle and a per-widget refresh mechanism with spinner overlays, enabling live metric updates without full page reloads.</w:t>
      </w:r>
    </w:p>
    <w:p>
      <w:pPr>
        <w:pStyle w:val="ListParagraph"/>
      </w:pPr>
      <w:r>
        <w:t>Dashboard Export / PDF — html2canvas captures a pixel-accurate canvas snapshot of the visible dashboard; jsPDF embeds it into a formatted, downloadable PDF. A complementary @media print stylesheet produces a clean data report.</w:t>
      </w:r>
    </w:p>
    <w:p>
      <w:pPr>
        <w:pStyle w:val="ListParagraph"/>
      </w:pPr>
      <w:r>
        <w:t>Widget Search &amp; Filter — A debounced search input combined with category chip filters dims non-matching widgets in real time, allowing operators to locate specific metrics across all 44 widgets instantly.</w:t>
      </w:r>
    </w:p>
    <w:p>
      <w:pPr>
        <w:pStyle w:val="ListParagraph"/>
      </w:pPr>
      <w:r>
        <w:t>Notification Center — A slide-out notification panel backed by NotificationContext surfaces alerts and system events. Read/unread state is persisted to localStorage so notifications survive page refreshes.</w:t>
      </w:r>
    </w:p>
    <w:p>
      <w:pPr>
        <w:pStyle w:val="ListParagraph"/>
      </w:pPr>
      <w:r>
        <w:t>Widget Favorites / Pinning — A useFavorites hook persists starred widgets to localStorage and sorts them to the top of the grid, letting each user curate their own priority view.</w:t>
      </w:r>
    </w:p>
    <w:p>
      <w:pPr>
        <w:pStyle w:val="ListParagraph"/>
      </w:pPr>
      <w:r>
        <w:t>Dark Mode Polish — Standardized dark-mode design tokens applied consistently across all 44 widgets ensure a coherent visual experience in both light and dark themes.</w:t>
      </w:r>
    </w:p>
    <w:p>
      <w:pPr>
        <w:pStyle w:val="ListParagraph"/>
      </w:pPr>
      <w:r>
        <w:t>Animated Transitions — CSS keyframe animations (fadeSlideUp, shimmer) and an AnimatedNumber component (driven by requestAnimationFrame) deliver smooth loading states and live counter updates.</w:t>
      </w:r>
    </w:p>
    <w:p>
      <w:pPr>
        <w:pStyle w:val="ListParagraph"/>
      </w:pPr>
      <w:r>
        <w:t>Comparison Mode — ComparisonContext pairs current metrics with a synthetic previous-period baseline (generated by generatePreviousPeriod utility), surfacing delta indicators on every widget to highlight trends at a glance.</w:t>
      </w:r>
    </w:p>
    <w:p>
      <w:pPr>
        <w:pStyle w:val="ListParagraph"/>
      </w:pPr>
      <w:r>
        <w:t>Drag-and-Drop Widget Reordering — @dnd-kit/core and @dnd-kit/sortable power an accessible, keyboard-friendly drag-and-drop grid; the SortableWidget wrapper integrates seamlessly with existing widget components.</w:t>
      </w:r>
    </w:p>
    <w:p/>
    <w:p>
      <w:pPr>
        <w:pStyle w:val="Heading1"/>
      </w:pPr>
      <w:r>
        <w:t xml:space="preserve">Future IBM Technology Roadmap</w:t>
      </w:r>
    </w:p>
    <w:p>
      <w:pPr>
        <w:spacing w:after="120"/>
      </w:pPr>
      <w:r>
        <w:t xml:space="preserve">The architecture is designed for deeper IBM ecosystem integration as infrastructure is provisioned: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IBM Instana</w:t>
      </w:r>
      <w:r>
        <w:t xml:space="preserve"> — Replace mock data with real-time APM metrics for latency, error rates, and service 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IBM Turbonomic</w:t>
      </w:r>
      <w:r>
        <w:t xml:space="preserve"> — Feed actual resource optimization recommendations into the Optimization Widget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IBM Concert</w:t>
      </w:r>
      <w:r>
        <w:t xml:space="preserve"> — Integrate operational workflow orchestration for incident response automation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IBM Cloud Pak for AIOps</w:t>
      </w:r>
      <w:r>
        <w:t xml:space="preserve"> — Enhanced anomaly detection with production-grade ML models alongside watsonx.ai’s generative capabilities</w:t>
      </w:r>
    </w:p>
    <w:p>
      <w:pPr>
        <w:spacing w:after="200"/>
      </w:pPr>
      <w:r>
        <w:rPr>
          <w:i/>
          <w:iCs/>
        </w:rPr>
        <w:t xml:space="preserve">In summary, IBM watsonx.ai with Granite models is the central intelligence layer that transforms raw infrastructure metrics into role-aware summaries, conversational answers, anomaly alerts, and predictive insights—making the Transparency Portal not just a dashboard, but an AI-powered decision-support system for managed service customers.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343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d343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2026-03-05T09:03:06.791Z</dcterms:created>
  <dcterms:modified xsi:type="dcterms:W3CDTF">2026-03-05T09:03:06.792Z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