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Cardiac Arrest Management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out-of-hospital cardiac arrest (OHCA) recognition, resuscitation, and outcome documentation, aligned to Utstein-style reporting conventions (DEMS v1.0 mapping).</w:t>
      </w:r>
    </w:p>
    <w:p>
      <w:pPr>
        <w:pStyle w:val="Heading1"/>
        <w:spacing w:after="150" w:before="300"/>
      </w:pPr>
      <w:r>
        <w:t xml:space="preserve">Arrest Recognition and Bystander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Arrest Witnessed Status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Witnessed_Bystander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Witnessed_EMS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Unwitnessed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Drives Utstein-category classification and prognostic stratification.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Bystander CPR Performed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Unknown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If Yes, CA-03 (Compression Quality) becomes available for dispatcher-assisted CPR documentation.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Dispatcher-Assisted CPR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CA-02 = Yes and call originated through EMS communications.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Initial Rhythm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VF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Pulseless_VT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PEA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Asystole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Unknown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Captured at first rhythm analysis; drives defibrillation pathway (CA-06).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Collapse / Call Received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Anchors all downstream interval calculations (CA-08, CA-10).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AED/Bystander Defibrillation Prior to EMS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Captures public-access defibrillation use ahead of EMS arrival.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eArrest.04</w:t>
            </w:r>
          </w:p>
        </w:tc>
      </w:tr>
    </w:tbl>
    <w:p>
      <w:pPr>
        <w:pStyle w:val="Heading1"/>
        <w:spacing w:after="150" w:before="300"/>
      </w:pPr>
      <w:r>
        <w:t xml:space="preserve">Resuscitation and Intervention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First EMS Defibrillation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CA-04 = VF or Pulseless_VT. Used to auto-calculate CA-08.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to First Defibrillation (Calculated)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(minutes, calculated)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Auto-calculated: CA-07 minus CA-05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 field. Values &gt;2 minutes from EMS arrival trigger a QA flag against shockable-rhythm benchmark intervals.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from CA-05 / CA-07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Chest Compression Fraction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(Percent)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 (0–100%), auto-derived from device data where available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where a compression-feedback device is used. Values &lt;60% trigger a soft warning.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eArrest.06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to First Epinephrine Dose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CA-04 = PEA or Asystole. System calculates elapsed time from CA-05.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Advanced Airway Strategy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BVM_Only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SGA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ET_Intubation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Selecting ET_Intubation links to the RSI/Advanced Airway module fields for verification.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eAirway.02 (linked)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Mechanical CPR Device Used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Documents use of automated compression devices during transport or prolonged resuscitation.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Number of Defibrillation Attempts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(Counter)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 (0–10)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CA-04 = VF or Pulseless_VT at any point.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eArrest.05</w:t>
            </w:r>
          </w:p>
        </w:tc>
      </w:tr>
    </w:tbl>
    <w:p>
      <w:pPr>
        <w:pStyle w:val="Heading1"/>
        <w:spacing w:after="150" w:before="300"/>
      </w:pPr>
      <w:r>
        <w:t xml:space="preserve">Outcome and Post-ROSC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 of Spontaneous Circulation (ROSC)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Yes_Sustained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Yes_Transient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Yes_Sustained defined as ROSC maintained to facility handover.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eArrest.07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ROSC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CA-14 ≠ No. Used to calculate total resuscitation duration.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eArrest.07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Post-ROSC 12-Lead Acquired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CA-14 ≠ No. Screens for STEMI requiring cath-lab activation (see AMI module).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eECG.01 (linked)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Post-ROSC Temperature/Targeted Management Initiated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Documents initiation of temperature control measures per receiving-facility protocol.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Resuscitation Terminated in Field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If Yes, CA-19 (Termination Criteria Met) becomes mandatory.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eArrest.08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Termination-of-Resuscitation Criteria Met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Unwitnessed_NoBystanderCPR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NoROSC_ThreeRounds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NoShockableRhythm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Asystole_Persistent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Online_Medical_Direction_Order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CA-18 = Yes. Documents the specific criteria satisfied per field termination protocol.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eArrest.08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VAL-CA01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CA-04 = VF or Pulseless_VT and CA-07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CA-07 (Time of First Defibrillation)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if a shockable rhythm is documented without a corresponding defibrillation timestamp or explicit deferral reason.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VAL-CA02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CA-08 (calculated) &gt; 2.0 minutes.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CA-08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Soft Warning Prompt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Alerts the clinician that time to first defibrillation exceeds the benchmark interval from EMS arrival for shockable rhythms.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VAL-CA03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CA-09 (Compression Fraction) &lt; 60%.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CA-09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Post-Event Quality Audit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Flags the record for CPR-quality review without blocking submission.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VAL-CA04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CA-14 = Yes_Sustained and CA-15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CA-15 (Time of ROSC)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ROSC is documented without a corresponding timestamp.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VAL-CA05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CA-18 = Yes and CA-19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CA-19 (Termination Criteria Met)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of a field termination without documentation of the specific criteria satisfied, supporting medico-legal defensibility.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VAL-CA06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CA-14 = Yes_Sustained and CA-16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CA-16 (Post-ROSC 12-Lead)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Protocol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Prompts acquisition of a post-ROSC 12-lead ECG to screen for a treatable STEMI cause of arrest.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rule-building, structured around commonly used Utstein-style OHCA reporting elements. It is not itself a resuscitation protocol; rhythm interpretation, drug dosing, and termination-of-resuscitation decisions remain governed by the applicable HPCSA-registered medical direction and DEMS clinical practice guidelines.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2026-08-12T13:28:24.617Z</dcterms:created>
  <dcterms:modified xsi:type="dcterms:W3CDTF">2026-08-12T13:28:24.649Z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