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5009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411"/>
        <w:gridCol w:w="4631"/>
      </w:tblGrid>
      <w:tr w14:paraId="16B3759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31B53FDB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hidden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376" o:spid="_x0000_s1026" o:spt="100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60288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Tbs3Zs8AAAD/AAAADwAAAAAAAAAB&#10;ACAAAAAiAAAAZHJzL2Rvd25yZXYueG1sUEsBAhQAFAAAAAgAh07iQMjZ/e+pBQAAshYAAA4AAAAA&#10;AAAAAQAgAAAAHgEAAGRycy9lMm9Eb2MueG1sUEsFBgAAAAAGAAYAWQEAADkJ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      <v:path o:connectlocs="319,64;86,317;319,635;548,317" o:connectangles="247,164,82,0"/>
                      <v:fill on="t" focussize="0,0"/>
                      <v:stroke color="#000000" miterlimit="8" joinstyle="miter"/>
                      <v:imagedata o:title="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/>
              </w:rPr>
              <w:t>产品名称Product name</w:t>
            </w:r>
          </w:p>
        </w:tc>
        <w:tc>
          <w:tcPr>
            <w:tcW w:w="2561" w:type="pct"/>
          </w:tcPr>
          <w:p w14:paraId="115F790C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密级Confidentiality level</w:t>
            </w:r>
          </w:p>
        </w:tc>
      </w:tr>
      <w:tr w14:paraId="7052D5E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7DB2C61E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家健镜 HomeCare Twin</w:t>
            </w:r>
          </w:p>
        </w:tc>
        <w:tc>
          <w:tcPr>
            <w:tcW w:w="2561" w:type="pct"/>
          </w:tcPr>
          <w:p w14:paraId="4E6769CE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内部公开</w:t>
            </w:r>
          </w:p>
        </w:tc>
      </w:tr>
      <w:tr w14:paraId="3F96E2A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34E414F8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2D054E3A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Total pages 共 24 页</w:t>
            </w:r>
          </w:p>
        </w:tc>
      </w:tr>
      <w:tr w14:paraId="0BBBDCD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96" w:hRule="atLeast"/>
        </w:trPr>
        <w:tc>
          <w:tcPr>
            <w:tcW w:w="2439" w:type="pct"/>
          </w:tcPr>
          <w:p w14:paraId="1A813958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V100R001</w:t>
            </w:r>
          </w:p>
        </w:tc>
        <w:tc>
          <w:tcPr>
            <w:tcW w:w="2561" w:type="pct"/>
            <w:vMerge w:val="continue"/>
          </w:tcPr>
          <w:p w14:paraId="6A81AC4C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</w:p>
        </w:tc>
      </w:tr>
    </w:tbl>
    <w:p w14:paraId="41130568">
      <w:pPr>
        <w:jc w:val="center"/>
        <w:rPr>
          <w:rFonts w:ascii="微软雅黑" w:hAnsi="微软雅黑" w:eastAsia="微软雅黑" w:cs="黑体"/>
          <w:b/>
          <w:sz w:val="44"/>
          <w:szCs w:val="44"/>
        </w:rPr>
      </w:pPr>
      <w:r>
        <w:rPr>
          <w:rFonts w:ascii="微软雅黑" w:hAnsi="微软雅黑" w:eastAsia="微软雅黑" w:cs="黑体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1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tsShapeName" o:spid="_x0000_s1026" o:spt="100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59264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Tbs3Zs8AAAD/AAAADwAAAAAAAAABACAAAAAiAAAAZHJzL2Rvd25yZXYueG1sUEsB&#10;AhQAFAAAAAgAh07iQA2rkQocBQAAnhYAAA4AAAAAAAAAAQAgAAAAHgEAAGRycy9lMm9Eb2MueG1s&#10;UEsFBgAAAAAGAAYAWQEAAKwI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<v:path o:connectlocs="319,64;86,317;319,635;548,317" o:connectangles="247,164,82,0"/>
                <v:fill on="t" focussize="0,0"/>
                <v:stroke color="#000000" miterlimit="8" joinstyle="miter"/>
                <v:imagedata o:title=""/>
                <o:lock v:ext="edit" aspectratio="f"/>
                <w10:anchorlock/>
              </v:shape>
            </w:pict>
          </mc:Fallback>
        </mc:AlternateContent>
      </w:r>
    </w:p>
    <w:p w14:paraId="11C34B90">
      <w:pPr>
        <w:jc w:val="center"/>
        <w:rPr>
          <w:rFonts w:ascii="微软雅黑" w:hAnsi="微软雅黑" w:eastAsia="微软雅黑" w:cs="黑体"/>
          <w:b/>
          <w:sz w:val="44"/>
          <w:szCs w:val="44"/>
        </w:rPr>
      </w:pPr>
      <w:bookmarkStart w:id="0" w:name="OLE_LINK1"/>
      <w:r>
        <w:rPr>
          <w:rFonts w:hint="eastAsia" w:ascii="微软雅黑" w:hAnsi="微软雅黑" w:eastAsia="微软雅黑" w:cs="黑体"/>
          <w:b/>
          <w:sz w:val="44"/>
          <w:szCs w:val="44"/>
        </w:rPr>
        <w:t>家健镜</w:t>
      </w:r>
      <w:r>
        <w:rPr>
          <w:rFonts w:ascii="微软雅黑" w:hAnsi="微软雅黑" w:eastAsia="微软雅黑" w:cs="黑体"/>
          <w:b/>
          <w:sz w:val="44"/>
          <w:szCs w:val="44"/>
        </w:rPr>
        <w:t xml:space="preserve"> HomeCare Twin</w:t>
      </w:r>
      <w:bookmarkEnd w:id="0"/>
      <w:r>
        <w:rPr>
          <w:rFonts w:ascii="微软雅黑" w:hAnsi="微软雅黑" w:eastAsia="微软雅黑" w:cs="黑体"/>
          <w:b/>
          <w:sz w:val="44"/>
          <w:szCs w:val="44"/>
        </w:rPr>
        <w:t xml:space="preserve"> 项目</w:t>
      </w:r>
    </w:p>
    <w:p w14:paraId="0C36928E">
      <w:pPr>
        <w:jc w:val="center"/>
        <w:rPr>
          <w:rFonts w:ascii="微软雅黑" w:hAnsi="微软雅黑" w:eastAsia="微软雅黑"/>
          <w:sz w:val="28"/>
        </w:rPr>
      </w:pPr>
      <w:r>
        <w:rPr>
          <w:rFonts w:ascii="微软雅黑" w:hAnsi="微软雅黑" w:eastAsia="微软雅黑" w:cs="黑体"/>
          <w:b/>
          <w:sz w:val="44"/>
          <w:szCs w:val="44"/>
        </w:rPr>
        <w:t>需求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规格</w:t>
      </w:r>
      <w:r>
        <w:rPr>
          <w:rFonts w:ascii="微软雅黑" w:hAnsi="微软雅黑" w:eastAsia="微软雅黑" w:cs="黑体"/>
          <w:b/>
          <w:sz w:val="44"/>
          <w:szCs w:val="44"/>
        </w:rPr>
        <w:t>说明书</w:t>
      </w:r>
    </w:p>
    <w:p w14:paraId="24A110C1">
      <w:pPr>
        <w:pStyle w:val="21"/>
        <w:jc w:val="center"/>
        <w:rPr>
          <w:rFonts w:ascii="黑体" w:eastAsia="黑体" w:cs="黑体"/>
          <w:sz w:val="42"/>
          <w:szCs w:val="42"/>
        </w:rPr>
      </w:pPr>
    </w:p>
    <w:p w14:paraId="520C744F">
      <w:pPr>
        <w:jc w:val="center"/>
        <w:rPr>
          <w:rFonts w:ascii="微软雅黑" w:hAnsi="微软雅黑" w:eastAsia="微软雅黑"/>
          <w:sz w:val="36"/>
          <w:szCs w:val="36"/>
        </w:rPr>
      </w:pPr>
    </w:p>
    <w:p w14:paraId="42D6DD61">
      <w:pPr>
        <w:jc w:val="center"/>
        <w:rPr>
          <w:rFonts w:ascii="微软雅黑" w:hAnsi="微软雅黑" w:eastAsia="微软雅黑"/>
          <w:sz w:val="36"/>
          <w:szCs w:val="36"/>
        </w:rPr>
      </w:pPr>
    </w:p>
    <w:p w14:paraId="47F7B48B">
      <w:pPr>
        <w:jc w:val="center"/>
        <w:rPr>
          <w:rFonts w:ascii="微软雅黑" w:hAnsi="微软雅黑" w:eastAsia="微软雅黑"/>
          <w:sz w:val="36"/>
          <w:szCs w:val="36"/>
        </w:rPr>
      </w:pP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260"/>
        <w:gridCol w:w="1407"/>
        <w:gridCol w:w="2074"/>
      </w:tblGrid>
      <w:tr w14:paraId="5EC07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55" w:type="dxa"/>
            <w:vAlign w:val="bottom"/>
          </w:tcPr>
          <w:p w14:paraId="04D61E5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color="auto" w:sz="4" w:space="0"/>
            </w:tcBorders>
            <w:vAlign w:val="bottom"/>
          </w:tcPr>
          <w:p w14:paraId="25562A3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张子涵</w:t>
            </w:r>
          </w:p>
        </w:tc>
        <w:tc>
          <w:tcPr>
            <w:tcW w:w="1407" w:type="dxa"/>
            <w:vAlign w:val="bottom"/>
          </w:tcPr>
          <w:p w14:paraId="759E9EE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color="auto" w:sz="4" w:space="0"/>
            </w:tcBorders>
            <w:vAlign w:val="bottom"/>
          </w:tcPr>
          <w:p w14:paraId="6142E7B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ascii="微软雅黑" w:hAnsi="微软雅黑" w:eastAsia="微软雅黑"/>
                <w:kern w:val="2"/>
                <w:sz w:val="32"/>
                <w:szCs w:val="28"/>
              </w:rPr>
              <w:t>2026/08/10</w:t>
            </w:r>
          </w:p>
        </w:tc>
      </w:tr>
      <w:tr w14:paraId="3F1A2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195FE7A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F46CB5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杨天慕</w:t>
            </w:r>
          </w:p>
        </w:tc>
        <w:tc>
          <w:tcPr>
            <w:tcW w:w="1407" w:type="dxa"/>
            <w:vAlign w:val="bottom"/>
          </w:tcPr>
          <w:p w14:paraId="29F44C2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C1A7C2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ascii="微软雅黑" w:hAnsi="微软雅黑" w:eastAsia="微软雅黑"/>
                <w:kern w:val="2"/>
                <w:sz w:val="32"/>
                <w:szCs w:val="28"/>
              </w:rPr>
              <w:t>2026/08/10</w:t>
            </w:r>
          </w:p>
        </w:tc>
      </w:tr>
      <w:tr w14:paraId="12BEA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6900131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2E94E8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陈祥俭</w:t>
            </w:r>
          </w:p>
        </w:tc>
        <w:tc>
          <w:tcPr>
            <w:tcW w:w="1407" w:type="dxa"/>
            <w:vAlign w:val="bottom"/>
          </w:tcPr>
          <w:p w14:paraId="0B7707A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06CA33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ascii="微软雅黑" w:hAnsi="微软雅黑" w:eastAsia="微软雅黑"/>
                <w:kern w:val="2"/>
                <w:sz w:val="32"/>
                <w:szCs w:val="28"/>
              </w:rPr>
              <w:t>2026/08/10</w:t>
            </w:r>
          </w:p>
        </w:tc>
      </w:tr>
    </w:tbl>
    <w:p w14:paraId="36E34A47">
      <w:pPr>
        <w:jc w:val="center"/>
      </w:pPr>
    </w:p>
    <w:p w14:paraId="48A55704">
      <w:pPr>
        <w:jc w:val="center"/>
      </w:pPr>
    </w:p>
    <w:p w14:paraId="0A080A66">
      <w:pPr>
        <w:jc w:val="center"/>
        <w:rPr>
          <w:rFonts w:ascii="微软雅黑" w:hAnsi="微软雅黑" w:eastAsia="微软雅黑"/>
          <w:b/>
          <w:sz w:val="32"/>
        </w:rPr>
      </w:pPr>
      <w:bookmarkStart w:id="1" w:name="_Toc26154307"/>
      <w:r>
        <w:rPr>
          <w:rFonts w:hint="eastAsia" w:ascii="微软雅黑" w:hAnsi="微软雅黑" w:eastAsia="微软雅黑"/>
          <w:b/>
          <w:sz w:val="32"/>
        </w:rPr>
        <w:t>软通动力技术服务有限公司</w:t>
      </w:r>
      <w:bookmarkEnd w:id="1"/>
    </w:p>
    <w:p w14:paraId="7183ABA4">
      <w:pPr>
        <w:jc w:val="center"/>
        <w:rPr>
          <w:rFonts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版权所有  侵权必究</w:t>
      </w:r>
    </w:p>
    <w:p w14:paraId="635CA272">
      <w:pPr>
        <w:jc w:val="center"/>
        <w:rPr>
          <w:b/>
          <w:sz w:val="24"/>
          <w:lang w:val="en-GB"/>
        </w:rPr>
      </w:pPr>
      <w:r>
        <w:rPr>
          <w:lang w:val="en-GB"/>
        </w:rPr>
        <w:br w:type="page"/>
      </w:r>
      <w:r>
        <w:rPr>
          <w:rFonts w:hint="eastAsia"/>
          <w:b/>
          <w:sz w:val="24"/>
          <w:lang w:val="en-GB"/>
        </w:rPr>
        <w:t>修订记录</w:t>
      </w:r>
    </w:p>
    <w:tbl>
      <w:tblPr>
        <w:tblStyle w:val="22"/>
        <w:tblW w:w="84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417"/>
        <w:gridCol w:w="4536"/>
        <w:gridCol w:w="1617"/>
      </w:tblGrid>
      <w:tr w14:paraId="18F43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3D0D098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CDF479D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CCB1733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更改内容及原因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645A5BD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主要编写人</w:t>
            </w:r>
          </w:p>
        </w:tc>
      </w:tr>
      <w:tr w14:paraId="6A84E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BC59F02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7720EBC">
            <w:pPr>
              <w:spacing w:after="0" w:line="240" w:lineRule="auto"/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2026/08/10</w:t>
            </w:r>
          </w:p>
        </w:tc>
        <w:tc>
          <w:tcPr>
            <w:tcW w:w="4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ABF148">
            <w:pPr>
              <w:spacing w:after="0" w:line="240" w:lineRule="auto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形成 P0 需求规格说明书；明确需求、设计、验收边界与当前状态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854065D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张子涵</w:t>
            </w:r>
          </w:p>
        </w:tc>
      </w:tr>
      <w:tr w14:paraId="0B36E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6DAEC4E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7A82536">
            <w:pPr>
              <w:spacing w:after="0" w:line="240" w:lineRule="auto"/>
              <w:rPr>
                <w:sz w:val="20"/>
                <w:lang w:val="en-GB"/>
              </w:rPr>
            </w:pPr>
          </w:p>
        </w:tc>
        <w:tc>
          <w:tcPr>
            <w:tcW w:w="4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8A836ED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84FDF50">
            <w:pPr>
              <w:spacing w:after="0" w:line="240" w:lineRule="auto"/>
              <w:rPr>
                <w:szCs w:val="21"/>
              </w:rPr>
            </w:pPr>
          </w:p>
        </w:tc>
      </w:tr>
      <w:tr w14:paraId="430EE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49F8A14">
            <w:pPr>
              <w:spacing w:after="0" w:line="240" w:lineRule="auto"/>
              <w:rPr>
                <w:szCs w:val="21"/>
                <w:lang w:val="en-GB"/>
              </w:rPr>
            </w:pP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780F9D6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4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9FD2EAD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0F49BF0">
            <w:pPr>
              <w:spacing w:after="0" w:line="240" w:lineRule="auto"/>
            </w:pPr>
          </w:p>
        </w:tc>
      </w:tr>
      <w:tr w14:paraId="65DB2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DDADF78">
            <w:pPr>
              <w:spacing w:after="0" w:line="240" w:lineRule="auto"/>
              <w:rPr>
                <w:szCs w:val="21"/>
                <w:lang w:val="en-GB"/>
              </w:rPr>
            </w:pP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0BBDB0E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4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1CF8779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18CE934">
            <w:pPr>
              <w:spacing w:after="0" w:line="240" w:lineRule="auto"/>
            </w:pPr>
          </w:p>
        </w:tc>
      </w:tr>
    </w:tbl>
    <w:p w14:paraId="2322333D">
      <w:pPr>
        <w:pStyle w:val="29"/>
        <w:rPr>
          <w:b/>
          <w:bCs/>
        </w:rPr>
      </w:pPr>
    </w:p>
    <w:p w14:paraId="15F79CEE">
      <w:pPr>
        <w:pStyle w:val="29"/>
        <w:rPr>
          <w:rFonts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黑体" w:eastAsia="黑体"/>
          <w:b/>
          <w:bCs/>
          <w:sz w:val="32"/>
          <w:szCs w:val="32"/>
        </w:rPr>
        <w:br w:type="page"/>
      </w:r>
    </w:p>
    <w:sdt>
      <w:sdtPr>
        <w:rPr>
          <w:rFonts w:ascii="微软雅黑" w:hAnsi="微软雅黑" w:eastAsia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="Arial" w:hAnsi="Arial" w:eastAsia="宋体"/>
          <w:b/>
          <w:bCs/>
          <w:sz w:val="21"/>
          <w:lang w:val="zh-CN"/>
        </w:rPr>
      </w:sdtEndPr>
      <w:sdtContent>
        <w:p w14:paraId="574C0225">
          <w:pPr>
            <w:jc w:val="center"/>
            <w:rPr>
              <w:rFonts w:ascii="微软雅黑" w:hAnsi="微软雅黑" w:eastAsia="微软雅黑"/>
              <w:b/>
              <w:sz w:val="36"/>
            </w:rPr>
          </w:pPr>
          <w:r>
            <w:rPr>
              <w:rFonts w:ascii="微软雅黑" w:hAnsi="微软雅黑" w:eastAsia="微软雅黑"/>
              <w:b/>
              <w:sz w:val="36"/>
              <w:lang w:val="zh-CN"/>
            </w:rPr>
            <w:t>目录</w:t>
          </w:r>
        </w:p>
        <w:p w14:paraId="2359EC64">
          <w:pPr>
            <w:pStyle w:val="18"/>
            <w:tabs>
              <w:tab w:val="left" w:pos="42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"_Toc237530732" </w:instrText>
          </w:r>
          <w:r>
            <w:fldChar w:fldCharType="separate"/>
          </w:r>
          <w:r>
            <w:rPr>
              <w:rStyle w:val="28"/>
            </w:rPr>
            <w:t>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研发背景</w:t>
          </w:r>
          <w:r>
            <w:tab/>
          </w:r>
          <w:r>
            <w:fldChar w:fldCharType="begin"/>
          </w:r>
          <w:r>
            <w:instrText xml:space="preserve"> PAGEREF _Toc237530732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CE752B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"_Toc237530733" </w:instrText>
          </w:r>
          <w:r>
            <w:fldChar w:fldCharType="separate"/>
          </w:r>
          <w:r>
            <w:rPr>
              <w:rStyle w:val="28"/>
            </w:rPr>
            <w:t>1.1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_Toc237530733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71DF57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"_Toc237530734" </w:instrText>
          </w:r>
          <w:r>
            <w:fldChar w:fldCharType="separate"/>
          </w:r>
          <w:r>
            <w:rPr>
              <w:rStyle w:val="28"/>
            </w:rPr>
            <w:t>1.2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产品硬边界</w:t>
          </w:r>
          <w:r>
            <w:tab/>
          </w:r>
          <w:r>
            <w:fldChar w:fldCharType="begin"/>
          </w:r>
          <w:r>
            <w:instrText xml:space="preserve"> PAGEREF _Toc237530734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91FBF4">
          <w:pPr>
            <w:pStyle w:val="18"/>
            <w:tabs>
              <w:tab w:val="left" w:pos="42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"_Toc237530735" </w:instrText>
          </w:r>
          <w:r>
            <w:fldChar w:fldCharType="separate"/>
          </w:r>
          <w:r>
            <w:rPr>
              <w:rStyle w:val="28"/>
            </w:rPr>
            <w:t>2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用户对象</w:t>
          </w:r>
          <w:r>
            <w:tab/>
          </w:r>
          <w:r>
            <w:fldChar w:fldCharType="begin"/>
          </w:r>
          <w:r>
            <w:instrText xml:space="preserve"> PAGEREF _Toc237530735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47B6FF8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"_Toc237530736" </w:instrText>
          </w:r>
          <w:r>
            <w:fldChar w:fldCharType="separate"/>
          </w:r>
          <w:r>
            <w:rPr>
              <w:rStyle w:val="28"/>
            </w:rPr>
            <w:t>2.1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典型使用场景</w:t>
          </w:r>
          <w:r>
            <w:tab/>
          </w:r>
          <w:r>
            <w:fldChar w:fldCharType="begin"/>
          </w:r>
          <w:r>
            <w:instrText xml:space="preserve"> PAGEREF _Toc237530736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835D00">
          <w:pPr>
            <w:pStyle w:val="18"/>
            <w:tabs>
              <w:tab w:val="left" w:pos="42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"_Toc237530737" </w:instrText>
          </w:r>
          <w:r>
            <w:fldChar w:fldCharType="separate"/>
          </w:r>
          <w:r>
            <w:rPr>
              <w:rStyle w:val="28"/>
            </w:rPr>
            <w:t>3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应用范围</w:t>
          </w:r>
          <w:r>
            <w:tab/>
          </w:r>
          <w:r>
            <w:fldChar w:fldCharType="begin"/>
          </w:r>
          <w:r>
            <w:instrText xml:space="preserve"> PAGEREF _Toc237530737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093B606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"_Toc237530738" </w:instrText>
          </w:r>
          <w:r>
            <w:fldChar w:fldCharType="separate"/>
          </w:r>
          <w:r>
            <w:rPr>
              <w:rStyle w:val="28"/>
            </w:rPr>
            <w:t>3.1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P0 范围</w:t>
          </w:r>
          <w:r>
            <w:tab/>
          </w:r>
          <w:r>
            <w:fldChar w:fldCharType="begin"/>
          </w:r>
          <w:r>
            <w:instrText xml:space="preserve"> PAGEREF _Toc237530738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DBAC2C0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"_Toc237530739" </w:instrText>
          </w:r>
          <w:r>
            <w:fldChar w:fldCharType="separate"/>
          </w:r>
          <w:r>
            <w:rPr>
              <w:rStyle w:val="28"/>
            </w:rPr>
            <w:t>3.2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非目标</w:t>
          </w:r>
          <w:r>
            <w:tab/>
          </w:r>
          <w:r>
            <w:fldChar w:fldCharType="begin"/>
          </w:r>
          <w:r>
            <w:instrText xml:space="preserve"> PAGEREF _Toc237530739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0CDE690">
          <w:pPr>
            <w:pStyle w:val="18"/>
            <w:tabs>
              <w:tab w:val="left" w:pos="42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"_Toc237530740" </w:instrText>
          </w:r>
          <w:r>
            <w:fldChar w:fldCharType="separate"/>
          </w:r>
          <w:r>
            <w:rPr>
              <w:rStyle w:val="28"/>
            </w:rPr>
            <w:t>4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_Toc237530740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612FF9A">
          <w:pPr>
            <w:pStyle w:val="18"/>
            <w:tabs>
              <w:tab w:val="left" w:pos="42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"_Toc237530741" </w:instrText>
          </w:r>
          <w:r>
            <w:fldChar w:fldCharType="separate"/>
          </w:r>
          <w:r>
            <w:rPr>
              <w:rStyle w:val="28"/>
            </w:rPr>
            <w:t>5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业务流程说明</w:t>
          </w:r>
          <w:r>
            <w:tab/>
          </w:r>
          <w:r>
            <w:fldChar w:fldCharType="begin"/>
          </w:r>
          <w:r>
            <w:instrText xml:space="preserve"> PAGEREF _Toc237530741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1E46FE5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"_Toc237530742" </w:instrText>
          </w:r>
          <w:r>
            <w:fldChar w:fldCharType="separate"/>
          </w:r>
          <w:r>
            <w:rPr>
              <w:rStyle w:val="28"/>
            </w:rPr>
            <w:t>5.1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整体业务流程</w:t>
          </w:r>
          <w:r>
            <w:tab/>
          </w:r>
          <w:r>
            <w:fldChar w:fldCharType="begin"/>
          </w:r>
          <w:r>
            <w:instrText xml:space="preserve"> PAGEREF _Toc237530742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3A55977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"_Toc237530743" </w:instrText>
          </w:r>
          <w:r>
            <w:fldChar w:fldCharType="separate"/>
          </w:r>
          <w:r>
            <w:rPr>
              <w:rStyle w:val="28"/>
            </w:rPr>
            <w:t>5.2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家庭创建、授权与访问流程</w:t>
          </w:r>
          <w:r>
            <w:tab/>
          </w:r>
          <w:r>
            <w:fldChar w:fldCharType="begin"/>
          </w:r>
          <w:r>
            <w:instrText xml:space="preserve"> PAGEREF _Toc237530743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96609B1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"_Toc237530744" </w:instrText>
          </w:r>
          <w:r>
            <w:fldChar w:fldCharType="separate"/>
          </w:r>
          <w:r>
            <w:rPr>
              <w:rStyle w:val="28"/>
            </w:rPr>
            <w:t>5.3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视觉录入与人工复核流程</w:t>
          </w:r>
          <w:r>
            <w:tab/>
          </w:r>
          <w:r>
            <w:fldChar w:fldCharType="begin"/>
          </w:r>
          <w:r>
            <w:instrText xml:space="preserve"> PAGEREF _Toc237530744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A8E8E83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"_Toc237530745" </w:instrText>
          </w:r>
          <w:r>
            <w:fldChar w:fldCharType="separate"/>
          </w:r>
          <w:r>
            <w:rPr>
              <w:rStyle w:val="28"/>
            </w:rPr>
            <w:t>5.4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事件、投影与故障恢复流程</w:t>
          </w:r>
          <w:r>
            <w:tab/>
          </w:r>
          <w:r>
            <w:fldChar w:fldCharType="begin"/>
          </w:r>
          <w:r>
            <w:instrText xml:space="preserve"> PAGEREF _Toc237530745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9FE0ECF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"_Toc237530746" </w:instrText>
          </w:r>
          <w:r>
            <w:fldChar w:fldCharType="separate"/>
          </w:r>
          <w:r>
            <w:rPr>
              <w:rStyle w:val="28"/>
            </w:rPr>
            <w:t>5.5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风险、计划与照护升级流程</w:t>
          </w:r>
          <w:r>
            <w:tab/>
          </w:r>
          <w:r>
            <w:fldChar w:fldCharType="begin"/>
          </w:r>
          <w:r>
            <w:instrText xml:space="preserve"> PAGEREF _Toc237530746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28ADF28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"_Toc237530747" </w:instrText>
          </w:r>
          <w:r>
            <w:fldChar w:fldCharType="separate"/>
          </w:r>
          <w:r>
            <w:rPr>
              <w:rStyle w:val="28"/>
            </w:rPr>
            <w:t>5.6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本地证据助手流程</w:t>
          </w:r>
          <w:r>
            <w:tab/>
          </w:r>
          <w:r>
            <w:fldChar w:fldCharType="begin"/>
          </w:r>
          <w:r>
            <w:instrText xml:space="preserve"> PAGEREF _Toc237530747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49FF812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"_Toc237530748" </w:instrText>
          </w:r>
          <w:r>
            <w:fldChar w:fldCharType="separate"/>
          </w:r>
          <w:r>
            <w:rPr>
              <w:rStyle w:val="28"/>
            </w:rPr>
            <w:t>5.7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撤权、导出与删除流程</w:t>
          </w:r>
          <w:r>
            <w:tab/>
          </w:r>
          <w:r>
            <w:fldChar w:fldCharType="begin"/>
          </w:r>
          <w:r>
            <w:instrText xml:space="preserve"> PAGEREF _Toc237530748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7FC8BA8">
          <w:pPr>
            <w:pStyle w:val="18"/>
            <w:tabs>
              <w:tab w:val="left" w:pos="42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"_Toc237530749" </w:instrText>
          </w:r>
          <w:r>
            <w:fldChar w:fldCharType="separate"/>
          </w:r>
          <w:r>
            <w:rPr>
              <w:rStyle w:val="28"/>
            </w:rPr>
            <w:t>6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需求规格说明</w:t>
          </w:r>
          <w:r>
            <w:tab/>
          </w:r>
          <w:r>
            <w:fldChar w:fldCharType="begin"/>
          </w:r>
          <w:r>
            <w:instrText xml:space="preserve"> PAGEREF _Toc237530749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E865996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"_Toc237530750" </w:instrText>
          </w:r>
          <w:r>
            <w:fldChar w:fldCharType="separate"/>
          </w:r>
          <w:r>
            <w:rPr>
              <w:rStyle w:val="28"/>
            </w:rPr>
            <w:t>6.1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身份、家庭与授权（FR-01）</w:t>
          </w:r>
          <w:r>
            <w:tab/>
          </w:r>
          <w:r>
            <w:fldChar w:fldCharType="begin"/>
          </w:r>
          <w:r>
            <w:instrText xml:space="preserve"> PAGEREF _Toc237530750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327BA1F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"_Toc237530751" </w:instrText>
          </w:r>
          <w:r>
            <w:fldChar w:fldCharType="separate"/>
          </w:r>
          <w:r>
            <w:rPr>
              <w:rStyle w:val="28"/>
            </w:rPr>
            <w:t>6.2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家庭健康事件中心（FR-02）</w:t>
          </w:r>
          <w:r>
            <w:tab/>
          </w:r>
          <w:r>
            <w:fldChar w:fldCharType="begin"/>
          </w:r>
          <w:r>
            <w:instrText xml:space="preserve"> PAGEREF _Toc237530751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61BD6A9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"_Toc237530752" </w:instrText>
          </w:r>
          <w:r>
            <w:fldChar w:fldCharType="separate"/>
          </w:r>
          <w:r>
            <w:rPr>
              <w:rStyle w:val="28"/>
            </w:rPr>
            <w:t>6.3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多证据视觉录入（FR-03）</w:t>
          </w:r>
          <w:r>
            <w:tab/>
          </w:r>
          <w:r>
            <w:fldChar w:fldCharType="begin"/>
          </w:r>
          <w:r>
            <w:instrText xml:space="preserve"> PAGEREF _Toc237530752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506C8FF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"_Toc237530753" </w:instrText>
          </w:r>
          <w:r>
            <w:fldChar w:fldCharType="separate"/>
          </w:r>
          <w:r>
            <w:rPr>
              <w:rStyle w:val="28"/>
            </w:rPr>
            <w:t>6.4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家庭健康关系投影（FR-04）</w:t>
          </w:r>
          <w:r>
            <w:tab/>
          </w:r>
          <w:r>
            <w:fldChar w:fldCharType="begin"/>
          </w:r>
          <w:r>
            <w:instrText xml:space="preserve"> PAGEREF _Toc237530753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059A093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"_Toc237530754" </w:instrText>
          </w:r>
          <w:r>
            <w:fldChar w:fldCharType="separate"/>
          </w:r>
          <w:r>
            <w:rPr>
              <w:rStyle w:val="28"/>
            </w:rPr>
            <w:t>6.5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风险规则与告警预算（FR-05）</w:t>
          </w:r>
          <w:r>
            <w:tab/>
          </w:r>
          <w:r>
            <w:fldChar w:fldCharType="begin"/>
          </w:r>
          <w:r>
            <w:instrText xml:space="preserve"> PAGEREF _Toc237530754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971FB3F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"_Toc237530755" </w:instrText>
          </w:r>
          <w:r>
            <w:fldChar w:fldCharType="separate"/>
          </w:r>
          <w:r>
            <w:rPr>
              <w:rStyle w:val="28"/>
            </w:rPr>
            <w:t>6.6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计划、确认与照护升级（FR-06）</w:t>
          </w:r>
          <w:r>
            <w:tab/>
          </w:r>
          <w:r>
            <w:fldChar w:fldCharType="begin"/>
          </w:r>
          <w:r>
            <w:instrText xml:space="preserve"> PAGEREF _Toc237530755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4C0838B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"_Toc237530756" </w:instrText>
          </w:r>
          <w:r>
            <w:fldChar w:fldCharType="separate"/>
          </w:r>
          <w:r>
            <w:rPr>
              <w:rStyle w:val="28"/>
            </w:rPr>
            <w:t>6.7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环境行动卡（FR-07）</w:t>
          </w:r>
          <w:r>
            <w:tab/>
          </w:r>
          <w:r>
            <w:fldChar w:fldCharType="begin"/>
          </w:r>
          <w:r>
            <w:instrText xml:space="preserve"> PAGEREF _Toc237530756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883354D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"_Toc237530757" </w:instrText>
          </w:r>
          <w:r>
            <w:fldChar w:fldCharType="separate"/>
          </w:r>
          <w:r>
            <w:rPr>
              <w:rStyle w:val="28"/>
            </w:rPr>
            <w:t>6.8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本地证据型助手（FR-08）</w:t>
          </w:r>
          <w:r>
            <w:tab/>
          </w:r>
          <w:r>
            <w:fldChar w:fldCharType="begin"/>
          </w:r>
          <w:r>
            <w:instrText xml:space="preserve"> PAGEREF _Toc237530757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CA0A197">
          <w:pPr>
            <w:pStyle w:val="20"/>
            <w:tabs>
              <w:tab w:val="left" w:pos="105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"_Toc237530758" </w:instrText>
          </w:r>
          <w:r>
            <w:fldChar w:fldCharType="separate"/>
          </w:r>
          <w:r>
            <w:rPr>
              <w:rStyle w:val="28"/>
            </w:rPr>
            <w:t>6.9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家庭大屏与模型实验室（FR-09）</w:t>
          </w:r>
          <w:r>
            <w:tab/>
          </w:r>
          <w:r>
            <w:fldChar w:fldCharType="begin"/>
          </w:r>
          <w:r>
            <w:instrText xml:space="preserve"> PAGEREF _Toc237530758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963F6CB">
          <w:pPr>
            <w:pStyle w:val="20"/>
            <w:tabs>
              <w:tab w:val="left" w:pos="126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"_Toc237530759" </w:instrText>
          </w:r>
          <w:r>
            <w:fldChar w:fldCharType="separate"/>
          </w:r>
          <w:r>
            <w:rPr>
              <w:rStyle w:val="28"/>
            </w:rPr>
            <w:t>6.10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困难样本与追加训练（FR-10）</w:t>
          </w:r>
          <w:r>
            <w:tab/>
          </w:r>
          <w:r>
            <w:fldChar w:fldCharType="begin"/>
          </w:r>
          <w:r>
            <w:instrText xml:space="preserve"> PAGEREF _Toc237530759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AFFBAE4">
          <w:pPr>
            <w:pStyle w:val="20"/>
            <w:tabs>
              <w:tab w:val="left" w:pos="126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"_Toc237530760" </w:instrText>
          </w:r>
          <w:r>
            <w:fldChar w:fldCharType="separate"/>
          </w:r>
          <w:r>
            <w:rPr>
              <w:rStyle w:val="28"/>
            </w:rPr>
            <w:t>6.11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页面与交互需求</w:t>
          </w:r>
          <w:r>
            <w:tab/>
          </w:r>
          <w:r>
            <w:fldChar w:fldCharType="begin"/>
          </w:r>
          <w:r>
            <w:instrText xml:space="preserve"> PAGEREF _Toc237530760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FB17B19">
          <w:pPr>
            <w:pStyle w:val="18"/>
            <w:tabs>
              <w:tab w:val="left" w:pos="42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"_Toc237530761" </w:instrText>
          </w:r>
          <w:r>
            <w:fldChar w:fldCharType="separate"/>
          </w:r>
          <w:r>
            <w:rPr>
              <w:rStyle w:val="28"/>
            </w:rPr>
            <w:t>7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性能需求</w:t>
          </w:r>
          <w:r>
            <w:tab/>
          </w:r>
          <w:r>
            <w:fldChar w:fldCharType="begin"/>
          </w:r>
          <w:r>
            <w:instrText xml:space="preserve"> PAGEREF _Toc237530761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6CC1F63">
          <w:pPr>
            <w:pStyle w:val="18"/>
            <w:tabs>
              <w:tab w:val="left" w:pos="42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"_Toc237530762" </w:instrText>
          </w:r>
          <w:r>
            <w:fldChar w:fldCharType="separate"/>
          </w:r>
          <w:r>
            <w:rPr>
              <w:rStyle w:val="28"/>
            </w:rPr>
            <w:t>8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可靠性需求</w:t>
          </w:r>
          <w:r>
            <w:tab/>
          </w:r>
          <w:r>
            <w:fldChar w:fldCharType="begin"/>
          </w:r>
          <w:r>
            <w:instrText xml:space="preserve"> PAGEREF _Toc237530762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FDCE05E">
          <w:pPr>
            <w:pStyle w:val="18"/>
            <w:tabs>
              <w:tab w:val="left" w:pos="42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"_Toc237530763" </w:instrText>
          </w:r>
          <w:r>
            <w:fldChar w:fldCharType="separate"/>
          </w:r>
          <w:r>
            <w:rPr>
              <w:rStyle w:val="28"/>
            </w:rPr>
            <w:t>9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安全与隐私需求</w:t>
          </w:r>
          <w:r>
            <w:tab/>
          </w:r>
          <w:r>
            <w:fldChar w:fldCharType="begin"/>
          </w:r>
          <w:r>
            <w:instrText xml:space="preserve"> PAGEREF _Toc237530763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7987A52">
          <w:pPr>
            <w:pStyle w:val="18"/>
            <w:tabs>
              <w:tab w:val="left" w:pos="84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"_Toc237530764" </w:instrText>
          </w:r>
          <w:r>
            <w:fldChar w:fldCharType="separate"/>
          </w:r>
          <w:r>
            <w:rPr>
              <w:rStyle w:val="28"/>
            </w:rPr>
            <w:t>10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可用性与可访问性需求</w:t>
          </w:r>
          <w:r>
            <w:tab/>
          </w:r>
          <w:r>
            <w:fldChar w:fldCharType="begin"/>
          </w:r>
          <w:r>
            <w:instrText xml:space="preserve"> PAGEREF _Toc237530764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F998584">
          <w:pPr>
            <w:pStyle w:val="18"/>
            <w:tabs>
              <w:tab w:val="left" w:pos="84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"_Toc237530765" </w:instrText>
          </w:r>
          <w:r>
            <w:fldChar w:fldCharType="separate"/>
          </w:r>
          <w:r>
            <w:rPr>
              <w:rStyle w:val="28"/>
            </w:rPr>
            <w:t>11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运行环境需求</w:t>
          </w:r>
          <w:r>
            <w:tab/>
          </w:r>
          <w:r>
            <w:fldChar w:fldCharType="begin"/>
          </w:r>
          <w:r>
            <w:instrText xml:space="preserve"> PAGEREF _Toc237530765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FA3D7BF">
          <w:pPr>
            <w:pStyle w:val="20"/>
            <w:tabs>
              <w:tab w:val="left" w:pos="126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"_Toc237530766" </w:instrText>
          </w:r>
          <w:r>
            <w:fldChar w:fldCharType="separate"/>
          </w:r>
          <w:r>
            <w:rPr>
              <w:rStyle w:val="28"/>
            </w:rPr>
            <w:t>11.1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硬件环境</w:t>
          </w:r>
          <w:r>
            <w:tab/>
          </w:r>
          <w:r>
            <w:fldChar w:fldCharType="begin"/>
          </w:r>
          <w:r>
            <w:instrText xml:space="preserve"> PAGEREF _Toc237530766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B98761B">
          <w:pPr>
            <w:pStyle w:val="20"/>
            <w:tabs>
              <w:tab w:val="left" w:pos="126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"_Toc237530767" </w:instrText>
          </w:r>
          <w:r>
            <w:fldChar w:fldCharType="separate"/>
          </w:r>
          <w:r>
            <w:rPr>
              <w:rStyle w:val="28"/>
            </w:rPr>
            <w:t>11.2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软件环境</w:t>
          </w:r>
          <w:r>
            <w:tab/>
          </w:r>
          <w:r>
            <w:fldChar w:fldCharType="begin"/>
          </w:r>
          <w:r>
            <w:instrText xml:space="preserve"> PAGEREF _Toc237530767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2F7BABB">
          <w:pPr>
            <w:pStyle w:val="18"/>
            <w:tabs>
              <w:tab w:val="left" w:pos="84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"_Toc237530768" </w:instrText>
          </w:r>
          <w:r>
            <w:fldChar w:fldCharType="separate"/>
          </w:r>
          <w:r>
            <w:rPr>
              <w:rStyle w:val="28"/>
            </w:rPr>
            <w:t>12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验收与需求追踪</w:t>
          </w:r>
          <w:r>
            <w:tab/>
          </w:r>
          <w:r>
            <w:fldChar w:fldCharType="begin"/>
          </w:r>
          <w:r>
            <w:instrText xml:space="preserve"> PAGEREF _Toc237530768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4C3785E">
          <w:pPr>
            <w:pStyle w:val="18"/>
            <w:tabs>
              <w:tab w:val="left" w:pos="84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"_Toc237530769" </w:instrText>
          </w:r>
          <w:r>
            <w:fldChar w:fldCharType="separate"/>
          </w:r>
          <w:r>
            <w:rPr>
              <w:rStyle w:val="28"/>
            </w:rPr>
            <w:t>13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_Toc237530769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9ED7F38">
          <w:pPr>
            <w:pStyle w:val="20"/>
            <w:tabs>
              <w:tab w:val="left" w:pos="126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"_Toc237530770" </w:instrText>
          </w:r>
          <w:r>
            <w:fldChar w:fldCharType="separate"/>
          </w:r>
          <w:r>
            <w:rPr>
              <w:rStyle w:val="28"/>
            </w:rPr>
            <w:t>13.1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_Toc237530770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73675B7">
          <w:pPr>
            <w:pStyle w:val="20"/>
            <w:tabs>
              <w:tab w:val="left" w:pos="1260"/>
              <w:tab w:val="right" w:leader="dot" w:pos="9060"/>
            </w:tabs>
            <w:rPr>
              <w:rFonts w:asciiTheme="minorHAnsi" w:hAnsiTheme="minorHAnsi" w:eastAsiaTheme="minorEastAsia" w:cstheme="minorBidi"/>
              <w:kern w:val="2"/>
            </w:rPr>
          </w:pPr>
          <w:r>
            <w:fldChar w:fldCharType="begin"/>
          </w:r>
          <w:r>
            <w:instrText xml:space="preserve"> HYPERLINK \l "_Toc237530771" </w:instrText>
          </w:r>
          <w:r>
            <w:fldChar w:fldCharType="separate"/>
          </w:r>
          <w:r>
            <w:rPr>
              <w:rStyle w:val="28"/>
            </w:rPr>
            <w:t>13.2</w:t>
          </w:r>
          <w:r>
            <w:rPr>
              <w:rFonts w:asciiTheme="minorHAnsi" w:hAnsiTheme="minorHAnsi" w:eastAsiaTheme="minorEastAsia" w:cstheme="minorBidi"/>
              <w:kern w:val="2"/>
            </w:rPr>
            <w:tab/>
          </w:r>
          <w:r>
            <w:rPr>
              <w:rStyle w:val="28"/>
            </w:rPr>
            <w:t>需求编号索引</w:t>
          </w:r>
          <w:r>
            <w:tab/>
          </w:r>
          <w:r>
            <w:fldChar w:fldCharType="begin"/>
          </w:r>
          <w:r>
            <w:instrText xml:space="preserve"> PAGEREF _Toc237530771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FFF1B83">
          <w:r>
            <w:rPr>
              <w:b/>
              <w:bCs/>
              <w:lang w:val="zh-CN"/>
            </w:rPr>
            <w:fldChar w:fldCharType="end"/>
          </w:r>
        </w:p>
      </w:sdtContent>
    </w:sdt>
    <w:p w14:paraId="26C2A8F7">
      <w:r>
        <w:br w:type="page"/>
      </w:r>
    </w:p>
    <w:p w14:paraId="14D8E08D">
      <w:pPr>
        <w:pStyle w:val="2"/>
        <w:pageBreakBefore/>
      </w:pPr>
      <w:bookmarkStart w:id="2" w:name="_Toc237530732"/>
      <w:r>
        <w:rPr>
          <w:rFonts w:hint="eastAsia"/>
        </w:rPr>
        <w:t>研发背景</w:t>
      </w:r>
      <w:bookmarkEnd w:id="2"/>
    </w:p>
    <w:p w14:paraId="5F2B4C60">
      <w:r>
        <w:rPr>
          <w:rFonts w:hint="eastAsia"/>
        </w:rPr>
        <w:t>家健镜 HomeCare Twin 是面向八周软件工程实训的本地优先家庭居家照护教学演示系统。家庭中的药品、过敏、疾病、指标、健康文档、计划和照护关系通常分散在不同载体中，并随时间持续变化。系统以主动录入和人工确认为入口，把每次变化保存为不可覆盖的健康事件，再重建成员当前状态、计算确定性风险规则并形成可处理的照护任务。</w:t>
      </w:r>
    </w:p>
    <w:p w14:paraId="1B1DDFD6">
      <w:r>
        <w:rPr>
          <w:rFonts w:hint="eastAsia"/>
        </w:rPr>
        <w:t>产品处理的是家庭健康运营过程，不模拟人体生理，不预测疾病，不替代医生或药师。系统不得诊断、开具处方、决定停药、换药或调整剂量，也不提供购药、问诊、广告、佣金或健康消费导流。紧急情况只提供明确求助提示。</w:t>
      </w:r>
    </w:p>
    <w:p w14:paraId="58ED1B2B">
      <w:pPr>
        <w:pStyle w:val="3"/>
      </w:pPr>
      <w:bookmarkStart w:id="3" w:name="_Toc237530733"/>
      <w:r>
        <w:rPr>
          <w:rFonts w:hint="eastAsia"/>
        </w:rPr>
        <w:t>项目目标</w:t>
      </w:r>
      <w:bookmarkEnd w:id="3"/>
    </w:p>
    <w:p w14:paraId="1B383271">
      <w:r>
        <w:rPr>
          <w:rFonts w:hint="eastAsia"/>
        </w:rPr>
        <w:t>• 建立家庭、成员、照护关系、字段级授权和最小审计，使本人、家庭 Owner 与非 Owner 照护者的访问边界可验证、可撤回。</w:t>
      </w:r>
    </w:p>
    <w:p w14:paraId="55F3C927">
      <w:r>
        <w:rPr>
          <w:rFonts w:hint="eastAsia"/>
        </w:rPr>
        <w:t>• 建立追加写健康事件、事务 outbox、状态投影、checkpoint 与重放机制，使事实更正和故障恢复可解释。</w:t>
      </w:r>
    </w:p>
    <w:p w14:paraId="0478CE8A">
      <w:r>
        <w:rPr>
          <w:rFonts w:hint="eastAsia"/>
        </w:rPr>
        <w:t>• 完成 OCR-first 的多证据视觉录入与人工复核链，使未知、冲突和低质量结果不会自动成为健康事实。</w:t>
      </w:r>
    </w:p>
    <w:p w14:paraId="299830CB">
      <w:r>
        <w:rPr>
          <w:rFonts w:hint="eastAsia"/>
        </w:rPr>
        <w:t>• 用版本化确定性规则生成风险等级和告警预算结果，用本地检索与受约束模型解释证据。</w:t>
      </w:r>
    </w:p>
    <w:p w14:paraId="4E94991D">
      <w:r>
        <w:rPr>
          <w:rFonts w:hint="eastAsia"/>
        </w:rPr>
        <w:t>• 形成计划确认、延期、跳过、授权照护升级、困难样本回流和模型回滚的双闭环。</w:t>
      </w:r>
    </w:p>
    <w:p w14:paraId="35C2BE4F">
      <w:pPr>
        <w:pStyle w:val="3"/>
      </w:pPr>
      <w:bookmarkStart w:id="4" w:name="_Toc237530734"/>
      <w:r>
        <w:rPr>
          <w:rFonts w:hint="eastAsia"/>
        </w:rPr>
        <w:t>产品硬边界</w:t>
      </w:r>
      <w:bookmarkEnd w:id="4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3019"/>
        <w:gridCol w:w="3022"/>
      </w:tblGrid>
      <w:tr w14:paraId="5C8AE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D9D9D9"/>
          </w:tcPr>
          <w:p w14:paraId="0B0BAF3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边界</w:t>
            </w:r>
          </w:p>
        </w:tc>
        <w:tc>
          <w:tcPr>
            <w:tcW w:w="1666" w:type="pct"/>
            <w:shd w:val="clear" w:color="auto" w:fill="D9D9D9"/>
          </w:tcPr>
          <w:p w14:paraId="5A4CEA7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必须满足</w:t>
            </w:r>
          </w:p>
        </w:tc>
        <w:tc>
          <w:tcPr>
            <w:tcW w:w="1667" w:type="pct"/>
            <w:shd w:val="clear" w:color="auto" w:fill="D9D9D9"/>
          </w:tcPr>
          <w:p w14:paraId="53CC37F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禁止行为</w:t>
            </w:r>
          </w:p>
        </w:tc>
      </w:tr>
      <w:tr w14:paraId="023A8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803693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本地隐私</w:t>
            </w:r>
          </w:p>
        </w:tc>
        <w:tc>
          <w:tcPr>
            <w:tcW w:w="1666" w:type="pct"/>
          </w:tcPr>
          <w:p w14:paraId="15E7ADE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家庭版健康数据、媒体、向量、对话和模型上下文默认留在家庭可信域</w:t>
            </w:r>
          </w:p>
        </w:tc>
        <w:tc>
          <w:tcPr>
            <w:tcW w:w="1667" w:type="pct"/>
          </w:tcPr>
          <w:p w14:paraId="74086C9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依赖故障时把健康上下文自动转发到云端</w:t>
            </w:r>
          </w:p>
        </w:tc>
      </w:tr>
      <w:tr w14:paraId="207D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AD7092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视觉确认</w:t>
            </w:r>
          </w:p>
        </w:tc>
        <w:tc>
          <w:tcPr>
            <w:tcW w:w="1666" w:type="pct"/>
          </w:tcPr>
          <w:p w14:paraId="4687DF3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OCR、条码、包装和主数据共同形成候选，人工确认或修正后才写入正式状态</w:t>
            </w:r>
          </w:p>
        </w:tc>
        <w:tc>
          <w:tcPr>
            <w:tcW w:w="1667" w:type="pct"/>
          </w:tcPr>
          <w:p w14:paraId="658AFF9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以整盒分类结果、单一置信度或未知强制映射替代确认</w:t>
            </w:r>
          </w:p>
        </w:tc>
      </w:tr>
      <w:tr w14:paraId="6A91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1AF7F7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家庭授权</w:t>
            </w:r>
          </w:p>
        </w:tc>
        <w:tc>
          <w:tcPr>
            <w:tcW w:w="1666" w:type="pct"/>
          </w:tcPr>
          <w:p w14:paraId="44B9181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按家庭、成员、字段、动作、目的、期限和升级条件校验</w:t>
            </w:r>
          </w:p>
        </w:tc>
        <w:tc>
          <w:tcPr>
            <w:tcW w:w="1667" w:type="pct"/>
          </w:tcPr>
          <w:p w14:paraId="0BDE4F3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因亲属或照护者身份默认开放全部健康正文</w:t>
            </w:r>
          </w:p>
        </w:tc>
      </w:tr>
      <w:tr w14:paraId="7BB47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05346F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风险与提醒</w:t>
            </w:r>
          </w:p>
        </w:tc>
        <w:tc>
          <w:tcPr>
            <w:tcW w:w="1666" w:type="pct"/>
          </w:tcPr>
          <w:p w14:paraId="75D6F7F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规则决定风险，普通告警合并并受预算控制，严重事项不被压制</w:t>
            </w:r>
          </w:p>
        </w:tc>
        <w:tc>
          <w:tcPr>
            <w:tcW w:w="1667" w:type="pct"/>
          </w:tcPr>
          <w:p w14:paraId="52F4282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由 LLM 修改风险等级、医嘱、频次或剂量</w:t>
            </w:r>
          </w:p>
        </w:tc>
      </w:tr>
      <w:tr w14:paraId="12B1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4AC87E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证据解释</w:t>
            </w:r>
          </w:p>
        </w:tc>
        <w:tc>
          <w:tcPr>
            <w:tcW w:w="1666" w:type="pct"/>
          </w:tcPr>
          <w:p w14:paraId="79E5F4F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回答展示事实、规则、引用、确认状态和版本；证据不足则澄清或拒答</w:t>
            </w:r>
          </w:p>
        </w:tc>
        <w:tc>
          <w:tcPr>
            <w:tcW w:w="1667" w:type="pct"/>
          </w:tcPr>
          <w:p w14:paraId="05F492D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输出无来源的肯定性医疗结论</w:t>
            </w:r>
          </w:p>
        </w:tc>
      </w:tr>
      <w:tr w14:paraId="40254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BC0597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业务范围</w:t>
            </w:r>
          </w:p>
        </w:tc>
        <w:tc>
          <w:tcPr>
            <w:tcW w:w="1666" w:type="pct"/>
          </w:tcPr>
          <w:p w14:paraId="2D363AB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只提供家庭居家照护教学流程</w:t>
            </w:r>
          </w:p>
        </w:tc>
        <w:tc>
          <w:tcPr>
            <w:tcW w:w="1667" w:type="pct"/>
          </w:tcPr>
          <w:p w14:paraId="1477A00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买药、问诊、广告、佣金或医疗服务转化</w:t>
            </w:r>
          </w:p>
          <w:p w14:paraId="4C42F7B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05FB2CF6">
      <w:pPr>
        <w:pStyle w:val="2"/>
        <w:pageBreakBefore/>
      </w:pPr>
      <w:bookmarkStart w:id="5" w:name="_Toc237530735"/>
      <w:r>
        <w:rPr>
          <w:rFonts w:hint="eastAsia"/>
        </w:rPr>
        <w:t>用户对象</w:t>
      </w:r>
      <w:bookmarkEnd w:id="5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5"/>
        <w:gridCol w:w="2265"/>
      </w:tblGrid>
      <w:tr w14:paraId="60D5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D9D9D9"/>
          </w:tcPr>
          <w:p w14:paraId="0FF87CB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用户角色</w:t>
            </w:r>
          </w:p>
        </w:tc>
        <w:tc>
          <w:tcPr>
            <w:tcW w:w="1250" w:type="pct"/>
            <w:shd w:val="clear" w:color="auto" w:fill="D9D9D9"/>
          </w:tcPr>
          <w:p w14:paraId="4AD607F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主要目标</w:t>
            </w:r>
          </w:p>
        </w:tc>
        <w:tc>
          <w:tcPr>
            <w:tcW w:w="1250" w:type="pct"/>
            <w:shd w:val="clear" w:color="auto" w:fill="D9D9D9"/>
          </w:tcPr>
          <w:p w14:paraId="0FFBABF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允许范围</w:t>
            </w:r>
          </w:p>
        </w:tc>
        <w:tc>
          <w:tcPr>
            <w:tcW w:w="1250" w:type="pct"/>
            <w:shd w:val="clear" w:color="auto" w:fill="D9D9D9"/>
          </w:tcPr>
          <w:p w14:paraId="4501603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明确限制</w:t>
            </w:r>
          </w:p>
        </w:tc>
      </w:tr>
      <w:tr w14:paraId="14577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2D2C81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家庭成员</w:t>
            </w:r>
          </w:p>
        </w:tc>
        <w:tc>
          <w:tcPr>
            <w:tcW w:w="1250" w:type="pct"/>
          </w:tcPr>
          <w:p w14:paraId="1B52E82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录入并确认自己的健康事实，处理任务和查看证据</w:t>
            </w:r>
          </w:p>
        </w:tc>
        <w:tc>
          <w:tcPr>
            <w:tcW w:w="1250" w:type="pct"/>
          </w:tcPr>
          <w:p w14:paraId="56A028C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自己及明确授权的成员数据</w:t>
            </w:r>
          </w:p>
        </w:tc>
        <w:tc>
          <w:tcPr>
            <w:tcW w:w="1250" w:type="pct"/>
          </w:tcPr>
          <w:p w14:paraId="594A597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不能读取其他家庭或未授权成员信息</w:t>
            </w:r>
          </w:p>
        </w:tc>
      </w:tr>
      <w:tr w14:paraId="409BC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9FEF78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 Owner</w:t>
            </w:r>
          </w:p>
        </w:tc>
        <w:tc>
          <w:tcPr>
            <w:tcW w:w="1250" w:type="pct"/>
          </w:tcPr>
          <w:p w14:paraId="456A5A1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创建家庭、维护成员目录、管理家庭授权和本家庭事件</w:t>
            </w:r>
          </w:p>
        </w:tc>
        <w:tc>
          <w:tcPr>
            <w:tcW w:w="1250" w:type="pct"/>
          </w:tcPr>
          <w:p w14:paraId="1C0F2E2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由 household.created_by 标识的本家庭管理范围</w:t>
            </w:r>
          </w:p>
        </w:tc>
        <w:tc>
          <w:tcPr>
            <w:tcW w:w="1250" w:type="pct"/>
          </w:tcPr>
          <w:p w14:paraId="0D6A431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不能跨家庭访问；不得把家庭关系推断成其他家庭权限</w:t>
            </w:r>
          </w:p>
        </w:tc>
      </w:tr>
      <w:tr w14:paraId="09CC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30DC45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非 Owner 照护者</w:t>
            </w:r>
          </w:p>
        </w:tc>
        <w:tc>
          <w:tcPr>
            <w:tcW w:w="1250" w:type="pct"/>
          </w:tcPr>
          <w:p w14:paraId="32325FA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处理被委托成员的任务、计划和风险</w:t>
            </w:r>
          </w:p>
        </w:tc>
        <w:tc>
          <w:tcPr>
            <w:tcW w:w="1250" w:type="pct"/>
          </w:tcPr>
          <w:p w14:paraId="518D456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授权成员、字段、动作、目的和有效期内的最小范围</w:t>
            </w:r>
          </w:p>
        </w:tc>
        <w:tc>
          <w:tcPr>
            <w:tcW w:w="1250" w:type="pct"/>
          </w:tcPr>
          <w:p w14:paraId="33ACDDF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亲属/照护者角色名称本身不产生访问权</w:t>
            </w:r>
          </w:p>
        </w:tc>
      </w:tr>
      <w:tr w14:paraId="75C70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F93507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数据/知识管理员</w:t>
            </w:r>
          </w:p>
        </w:tc>
        <w:tc>
          <w:tcPr>
            <w:tcW w:w="1250" w:type="pct"/>
          </w:tcPr>
          <w:p w14:paraId="2183535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审核主数据、规则、知识和困难样本</w:t>
            </w:r>
          </w:p>
        </w:tc>
        <w:tc>
          <w:tcPr>
            <w:tcW w:w="1250" w:type="pct"/>
          </w:tcPr>
          <w:p w14:paraId="4621874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脱敏数据、版本登记和发布流程</w:t>
            </w:r>
          </w:p>
        </w:tc>
        <w:tc>
          <w:tcPr>
            <w:tcW w:w="1250" w:type="pct"/>
          </w:tcPr>
          <w:p w14:paraId="0F4F71A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不因管理资料而自动获得家庭健康正文</w:t>
            </w:r>
          </w:p>
        </w:tc>
      </w:tr>
      <w:tr w14:paraId="38C1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F9371A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模型/系统管理员</w:t>
            </w:r>
          </w:p>
        </w:tc>
        <w:tc>
          <w:tcPr>
            <w:tcW w:w="1250" w:type="pct"/>
          </w:tcPr>
          <w:p w14:paraId="067B48A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训练、评测、部署、监控和回滚技术制品</w:t>
            </w:r>
          </w:p>
        </w:tc>
        <w:tc>
          <w:tcPr>
            <w:tcW w:w="1250" w:type="pct"/>
          </w:tcPr>
          <w:p w14:paraId="429F827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模型指标、资源、版本和已授权训练数据</w:t>
            </w:r>
          </w:p>
        </w:tc>
        <w:tc>
          <w:tcPr>
            <w:tcW w:w="1250" w:type="pct"/>
          </w:tcPr>
          <w:p w14:paraId="7C5DE25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家庭端不自动训练；管理员不自动拥有成员数据权限</w:t>
            </w:r>
          </w:p>
        </w:tc>
      </w:tr>
      <w:tr w14:paraId="6DA0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662005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测试/验收人员</w:t>
            </w:r>
          </w:p>
        </w:tc>
        <w:tc>
          <w:tcPr>
            <w:tcW w:w="1250" w:type="pct"/>
          </w:tcPr>
          <w:p w14:paraId="28B30B6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执行固定集、E2E、安全、部署和回滚验收</w:t>
            </w:r>
          </w:p>
        </w:tc>
        <w:tc>
          <w:tcPr>
            <w:tcW w:w="1250" w:type="pct"/>
          </w:tcPr>
          <w:p w14:paraId="77CA32E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合成、公开许可或明确授权数据</w:t>
            </w:r>
          </w:p>
        </w:tc>
        <w:tc>
          <w:tcPr>
            <w:tcW w:w="1250" w:type="pct"/>
          </w:tcPr>
          <w:p w14:paraId="2310C89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不能用真实未授权数据和截图替代可复现证据</w:t>
            </w:r>
          </w:p>
          <w:p w14:paraId="55EC846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3552960F">
      <w:pPr>
        <w:pStyle w:val="3"/>
      </w:pPr>
      <w:bookmarkStart w:id="6" w:name="_Toc237530736"/>
      <w:r>
        <w:rPr>
          <w:rFonts w:hint="eastAsia"/>
        </w:rPr>
        <w:t>典型使用场景</w:t>
      </w:r>
      <w:bookmarkEnd w:id="6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5"/>
        <w:gridCol w:w="2265"/>
      </w:tblGrid>
      <w:tr w14:paraId="7E7D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D9D9D9"/>
          </w:tcPr>
          <w:p w14:paraId="3C53818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场景</w:t>
            </w:r>
          </w:p>
        </w:tc>
        <w:tc>
          <w:tcPr>
            <w:tcW w:w="1250" w:type="pct"/>
            <w:shd w:val="clear" w:color="auto" w:fill="D9D9D9"/>
          </w:tcPr>
          <w:p w14:paraId="6A9E290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触发</w:t>
            </w:r>
          </w:p>
        </w:tc>
        <w:tc>
          <w:tcPr>
            <w:tcW w:w="1250" w:type="pct"/>
            <w:shd w:val="clear" w:color="auto" w:fill="D9D9D9"/>
          </w:tcPr>
          <w:p w14:paraId="509A03A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用户价值</w:t>
            </w:r>
          </w:p>
        </w:tc>
        <w:tc>
          <w:tcPr>
            <w:tcW w:w="1250" w:type="pct"/>
            <w:shd w:val="clear" w:color="auto" w:fill="D9D9D9"/>
          </w:tcPr>
          <w:p w14:paraId="3F8C253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成功边界</w:t>
            </w:r>
          </w:p>
        </w:tc>
      </w:tr>
      <w:tr w14:paraId="17738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44D91A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新增药品</w:t>
            </w:r>
          </w:p>
        </w:tc>
        <w:tc>
          <w:tcPr>
            <w:tcW w:w="1250" w:type="pct"/>
          </w:tcPr>
          <w:p w14:paraId="1ED941A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成员拍摄药盒或上传短视频</w:t>
            </w:r>
          </w:p>
        </w:tc>
        <w:tc>
          <w:tcPr>
            <w:tcW w:w="1250" w:type="pct"/>
          </w:tcPr>
          <w:p w14:paraId="0FB988C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减少药名、规格、批次和有效期的手工录入错误</w:t>
            </w:r>
          </w:p>
        </w:tc>
        <w:tc>
          <w:tcPr>
            <w:tcW w:w="1250" w:type="pct"/>
          </w:tcPr>
          <w:p w14:paraId="5BC1089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多证据候选经人工确认后形成健康事件</w:t>
            </w:r>
          </w:p>
        </w:tc>
      </w:tr>
      <w:tr w14:paraId="05380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54CC26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识别冲突</w:t>
            </w:r>
          </w:p>
        </w:tc>
        <w:tc>
          <w:tcPr>
            <w:tcW w:w="1250" w:type="pct"/>
          </w:tcPr>
          <w:p w14:paraId="2CCAF10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OCR、条码、规格或包装证据不一致</w:t>
            </w:r>
          </w:p>
        </w:tc>
        <w:tc>
          <w:tcPr>
            <w:tcW w:w="1250" w:type="pct"/>
          </w:tcPr>
          <w:p w14:paraId="008DDDA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让不确定性显式进入复核</w:t>
            </w:r>
          </w:p>
        </w:tc>
        <w:tc>
          <w:tcPr>
            <w:tcW w:w="1250" w:type="pct"/>
          </w:tcPr>
          <w:p w14:paraId="5D7C50E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CONFLICT 不进入正式状态，修正保留 before/after</w:t>
            </w:r>
          </w:p>
        </w:tc>
      </w:tr>
      <w:tr w14:paraId="2A1A8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18F578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家庭协同</w:t>
            </w:r>
          </w:p>
        </w:tc>
        <w:tc>
          <w:tcPr>
            <w:tcW w:w="1250" w:type="pct"/>
          </w:tcPr>
          <w:p w14:paraId="031CAD2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成员授权照护者查看摘要或处理提醒</w:t>
            </w:r>
          </w:p>
        </w:tc>
        <w:tc>
          <w:tcPr>
            <w:tcW w:w="1250" w:type="pct"/>
          </w:tcPr>
          <w:p w14:paraId="7E2BA15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照护者在必要范围内协助</w:t>
            </w:r>
          </w:p>
        </w:tc>
        <w:tc>
          <w:tcPr>
            <w:tcW w:w="1250" w:type="pct"/>
          </w:tcPr>
          <w:p w14:paraId="6AD936D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撤权/过期立即拒绝，API 执行字段过滤</w:t>
            </w:r>
          </w:p>
        </w:tc>
      </w:tr>
      <w:tr w14:paraId="7850D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691374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风险提示</w:t>
            </w:r>
          </w:p>
        </w:tc>
        <w:tc>
          <w:tcPr>
            <w:tcW w:w="1250" w:type="pct"/>
          </w:tcPr>
          <w:p w14:paraId="1C03937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已确认事实命中版本化规则</w:t>
            </w:r>
          </w:p>
        </w:tc>
        <w:tc>
          <w:tcPr>
            <w:tcW w:w="1250" w:type="pct"/>
          </w:tcPr>
          <w:p w14:paraId="503DE85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解释为何出现提醒以及下一步由谁确认</w:t>
            </w:r>
          </w:p>
        </w:tc>
        <w:tc>
          <w:tcPr>
            <w:tcW w:w="1250" w:type="pct"/>
          </w:tcPr>
          <w:p w14:paraId="7206575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严重事项不受普通预算压制，不给停药/剂量结论</w:t>
            </w:r>
          </w:p>
        </w:tc>
      </w:tr>
      <w:tr w14:paraId="7B811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FE9D2F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计划响应</w:t>
            </w:r>
          </w:p>
        </w:tc>
        <w:tc>
          <w:tcPr>
            <w:tcW w:w="1250" w:type="pct"/>
          </w:tcPr>
          <w:p w14:paraId="585016B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提醒到期或连续未确认</w:t>
            </w:r>
          </w:p>
        </w:tc>
        <w:tc>
          <w:tcPr>
            <w:tcW w:w="1250" w:type="pct"/>
          </w:tcPr>
          <w:p w14:paraId="138540E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支持确认、延期、跳过和照护升级</w:t>
            </w:r>
          </w:p>
        </w:tc>
        <w:tc>
          <w:tcPr>
            <w:tcW w:w="1250" w:type="pct"/>
          </w:tcPr>
          <w:p w14:paraId="7A17BB8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不得越过安全时间窗或升级给无授权对象</w:t>
            </w:r>
          </w:p>
        </w:tc>
      </w:tr>
      <w:tr w14:paraId="7A9B3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29CBCB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证据问答</w:t>
            </w:r>
          </w:p>
        </w:tc>
        <w:tc>
          <w:tcPr>
            <w:tcW w:w="1250" w:type="pct"/>
          </w:tcPr>
          <w:p w14:paraId="72010C9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用户询问当前记录、规则或文档依据</w:t>
            </w:r>
          </w:p>
        </w:tc>
        <w:tc>
          <w:tcPr>
            <w:tcW w:w="1250" w:type="pct"/>
          </w:tcPr>
          <w:p w14:paraId="2D4D526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获得可核对的通俗解释</w:t>
            </w:r>
          </w:p>
        </w:tc>
        <w:tc>
          <w:tcPr>
            <w:tcW w:w="1250" w:type="pct"/>
          </w:tcPr>
          <w:p w14:paraId="0A5F06F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无证据/越权/危险医疗请求受控拒答</w:t>
            </w:r>
          </w:p>
        </w:tc>
      </w:tr>
      <w:tr w14:paraId="2E44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ED48FA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删除与撤权</w:t>
            </w:r>
          </w:p>
        </w:tc>
        <w:tc>
          <w:tcPr>
            <w:tcW w:w="1250" w:type="pct"/>
          </w:tcPr>
          <w:p w14:paraId="2B96CAB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用户撤回授权或发起删除</w:t>
            </w:r>
          </w:p>
        </w:tc>
        <w:tc>
          <w:tcPr>
            <w:tcW w:w="1250" w:type="pct"/>
          </w:tcPr>
          <w:p w14:paraId="52EB7CE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控制数据全生命周期</w:t>
            </w:r>
          </w:p>
        </w:tc>
        <w:tc>
          <w:tcPr>
            <w:tcW w:w="1250" w:type="pct"/>
          </w:tcPr>
          <w:p w14:paraId="2F24CE5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主库、文件、索引、缓存和可控备份有处置状态</w:t>
            </w:r>
          </w:p>
          <w:p w14:paraId="320CC09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08EA9D00">
      <w:pPr>
        <w:pStyle w:val="2"/>
        <w:pageBreakBefore/>
      </w:pPr>
      <w:bookmarkStart w:id="7" w:name="_Toc237530737"/>
      <w:r>
        <w:rPr>
          <w:rFonts w:hint="eastAsia"/>
        </w:rPr>
        <w:t>应用范围</w:t>
      </w:r>
      <w:bookmarkEnd w:id="7"/>
    </w:p>
    <w:p w14:paraId="2B95AE17">
      <w:pPr>
        <w:pStyle w:val="3"/>
      </w:pPr>
      <w:bookmarkStart w:id="8" w:name="_Toc237530738"/>
      <w:r>
        <w:rPr>
          <w:rFonts w:hint="eastAsia"/>
        </w:rPr>
        <w:t>P0 范围</w:t>
      </w:r>
      <w:bookmarkEnd w:id="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3019"/>
        <w:gridCol w:w="3022"/>
      </w:tblGrid>
      <w:tr w14:paraId="3806B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D9D9D9"/>
          </w:tcPr>
          <w:p w14:paraId="28447ED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功能域</w:t>
            </w:r>
          </w:p>
        </w:tc>
        <w:tc>
          <w:tcPr>
            <w:tcW w:w="1666" w:type="pct"/>
            <w:shd w:val="clear" w:color="auto" w:fill="D9D9D9"/>
          </w:tcPr>
          <w:p w14:paraId="66C22FA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P0 交付范围</w:t>
            </w:r>
          </w:p>
        </w:tc>
        <w:tc>
          <w:tcPr>
            <w:tcW w:w="1667" w:type="pct"/>
            <w:shd w:val="clear" w:color="auto" w:fill="D9D9D9"/>
          </w:tcPr>
          <w:p w14:paraId="42AB130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规模或约束</w:t>
            </w:r>
          </w:p>
        </w:tc>
      </w:tr>
      <w:tr w14:paraId="34FDC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59EDBE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家庭健康事件中心</w:t>
            </w:r>
          </w:p>
        </w:tc>
        <w:tc>
          <w:tcPr>
            <w:tcW w:w="1666" w:type="pct"/>
          </w:tcPr>
          <w:p w14:paraId="6A67728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家庭、成员、授权、疾病、过敏、指标、药物、库存、计划、文档和事件时间线</w:t>
            </w:r>
          </w:p>
        </w:tc>
        <w:tc>
          <w:tcPr>
            <w:tcW w:w="1667" w:type="pct"/>
          </w:tcPr>
          <w:p w14:paraId="1DA0984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MySQL 为唯一事实主库；更正追加补偿事件</w:t>
            </w:r>
          </w:p>
        </w:tc>
      </w:tr>
      <w:tr w14:paraId="071F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64EDAD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多证据视觉录入</w:t>
            </w:r>
          </w:p>
        </w:tc>
        <w:tc>
          <w:tcPr>
            <w:tcW w:w="1666" w:type="pct"/>
          </w:tcPr>
          <w:p w14:paraId="1A2EF5E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图片/短视频质量检查、全图 OCR、包装/条码辅助定位、条码解码、候选融合和人工复核</w:t>
            </w:r>
          </w:p>
        </w:tc>
        <w:tc>
          <w:tcPr>
            <w:tcW w:w="1667" w:type="pct"/>
          </w:tcPr>
          <w:p w14:paraId="169C597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12–20 种受控药品 SKU；允许 UNKNOWN/CONFLICT/REVIEW</w:t>
            </w:r>
          </w:p>
        </w:tc>
      </w:tr>
      <w:tr w14:paraId="53CEB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F9BB0E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关系投影</w:t>
            </w:r>
          </w:p>
        </w:tc>
        <w:tc>
          <w:tcPr>
            <w:tcW w:w="1666" w:type="pct"/>
          </w:tcPr>
          <w:p w14:paraId="42DE32A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成员—疾病—过敏—药品—成分—批次—计划—照护者关系</w:t>
            </w:r>
          </w:p>
        </w:tc>
        <w:tc>
          <w:tcPr>
            <w:tcW w:w="1667" w:type="pct"/>
          </w:tcPr>
          <w:p w14:paraId="61494AF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从已确认事实重建，P0 不以 Neo4j 为事实源</w:t>
            </w:r>
          </w:p>
        </w:tc>
      </w:tr>
      <w:tr w14:paraId="17F72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CAD866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风险与提醒</w:t>
            </w:r>
          </w:p>
        </w:tc>
        <w:tc>
          <w:tcPr>
            <w:tcW w:w="1666" w:type="pct"/>
          </w:tcPr>
          <w:p w14:paraId="680A39D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过期、临期、低库存、重复成分、登记过敏和 30–50 组审核规则</w:t>
            </w:r>
          </w:p>
        </w:tc>
        <w:tc>
          <w:tcPr>
            <w:tcW w:w="1667" w:type="pct"/>
          </w:tcPr>
          <w:p w14:paraId="6B5ADDA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四级提醒；普通预算；严重事项不压制</w:t>
            </w:r>
          </w:p>
        </w:tc>
      </w:tr>
      <w:tr w14:paraId="6CA9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EF3244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照护计划</w:t>
            </w:r>
          </w:p>
        </w:tc>
        <w:tc>
          <w:tcPr>
            <w:tcW w:w="1666" w:type="pct"/>
          </w:tcPr>
          <w:p w14:paraId="50C4605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医嘱事实、计划版本、确认/延期/跳过、授权升级</w:t>
            </w:r>
          </w:p>
        </w:tc>
        <w:tc>
          <w:tcPr>
            <w:tcW w:w="1667" w:type="pct"/>
          </w:tcPr>
          <w:p w14:paraId="18B180D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只优化提醒策略，不改变药物和剂量</w:t>
            </w:r>
          </w:p>
        </w:tc>
      </w:tr>
      <w:tr w14:paraId="321F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C4CD6F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环境行动卡</w:t>
            </w:r>
          </w:p>
        </w:tc>
        <w:tc>
          <w:tcPr>
            <w:tcW w:w="1666" w:type="pct"/>
          </w:tcPr>
          <w:p w14:paraId="6AE01D7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粗粒度天气输入和低风险生活行动提示</w:t>
            </w:r>
          </w:p>
        </w:tc>
        <w:tc>
          <w:tcPr>
            <w:tcW w:w="1667" w:type="pct"/>
          </w:tcPr>
          <w:p w14:paraId="32D8617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只发送城市/区县代码；失败不阻塞核心链路</w:t>
            </w:r>
          </w:p>
        </w:tc>
      </w:tr>
      <w:tr w14:paraId="23776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652950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本地证据助手</w:t>
            </w:r>
          </w:p>
        </w:tc>
        <w:tc>
          <w:tcPr>
            <w:tcW w:w="1666" w:type="pct"/>
          </w:tcPr>
          <w:p w14:paraId="292CD8B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SQL/图谱/规则/RAG 工具调用、引用解释、拒答和结构化降级</w:t>
            </w:r>
          </w:p>
        </w:tc>
        <w:tc>
          <w:tcPr>
            <w:tcW w:w="1667" w:type="pct"/>
          </w:tcPr>
          <w:p w14:paraId="388362F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家庭版不使用云端健康上下文回退</w:t>
            </w:r>
          </w:p>
        </w:tc>
      </w:tr>
      <w:tr w14:paraId="35829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677470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大屏与模型实验室</w:t>
            </w:r>
          </w:p>
        </w:tc>
        <w:tc>
          <w:tcPr>
            <w:tcW w:w="1666" w:type="pct"/>
          </w:tcPr>
          <w:p w14:paraId="18ED50A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家庭任务/趋势/运行状态和模型版本/指标/回滚状态</w:t>
            </w:r>
          </w:p>
        </w:tc>
        <w:tc>
          <w:tcPr>
            <w:tcW w:w="1667" w:type="pct"/>
          </w:tcPr>
          <w:p w14:paraId="633CFB5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聚合信息不得含真实健康正文</w:t>
            </w:r>
          </w:p>
        </w:tc>
      </w:tr>
      <w:tr w14:paraId="1D8C7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CE9519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困难样本与训练</w:t>
            </w:r>
          </w:p>
        </w:tc>
        <w:tc>
          <w:tcPr>
            <w:tcW w:w="1666" w:type="pct"/>
          </w:tcPr>
          <w:p w14:paraId="4DEC203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纠错、授权审核、追加训练、固定集 V1/V2 对照和发布回滚</w:t>
            </w:r>
          </w:p>
        </w:tc>
        <w:tc>
          <w:tcPr>
            <w:tcW w:w="1667" w:type="pct"/>
          </w:tcPr>
          <w:p w14:paraId="769BC7E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训练与家庭运行分离；模型权重不进入 Git</w:t>
            </w:r>
          </w:p>
          <w:p w14:paraId="5150A31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306BB972">
      <w:pPr>
        <w:pStyle w:val="3"/>
      </w:pPr>
      <w:bookmarkStart w:id="9" w:name="_Toc237530739"/>
      <w:r>
        <w:rPr>
          <w:rFonts w:hint="eastAsia"/>
        </w:rPr>
        <w:t>非目标</w:t>
      </w:r>
      <w:bookmarkEnd w:id="9"/>
    </w:p>
    <w:p w14:paraId="2FB6139F">
      <w:r>
        <w:rPr>
          <w:rFonts w:hint="eastAsia"/>
        </w:rPr>
        <w:t>• 不接入医院 HIS、全量可穿戴设备、国家药品追溯平台真实业务或在线诊疗服务。</w:t>
      </w:r>
    </w:p>
    <w:p w14:paraId="771B7FFE">
      <w:r>
        <w:rPr>
          <w:rFonts w:hint="eastAsia"/>
        </w:rPr>
        <w:t>• 不承诺识别任意药品，不建设完整医学本体、完整相互作用数据库或生理数字孪生。</w:t>
      </w:r>
    </w:p>
    <w:p w14:paraId="750A2D2E">
      <w:r>
        <w:rPr>
          <w:rFonts w:hint="eastAsia"/>
        </w:rPr>
        <w:t>• 不做人脸身份入口和持续家庭摄像头监控，不自动确认成员已经服药。</w:t>
      </w:r>
    </w:p>
    <w:p w14:paraId="22742BEF">
      <w:r>
        <w:rPr>
          <w:rFonts w:hint="eastAsia"/>
        </w:rPr>
        <w:t>• 不以课程演示推断疾病结局，不使用</w:t>
      </w:r>
    </w:p>
    <w:p w14:paraId="5DC62ACB">
      <w:r>
        <w:rPr>
          <w:rFonts w:hint="eastAsia"/>
        </w:rPr>
        <w:t>• 不提供买药、挂号、问诊、保险、广告、佣金链接或健康消费推荐。</w:t>
      </w:r>
    </w:p>
    <w:p w14:paraId="166485B7">
      <w:pPr>
        <w:pStyle w:val="2"/>
        <w:pageBreakBefore/>
      </w:pPr>
      <w:bookmarkStart w:id="10" w:name="_Toc237530740"/>
      <w:r>
        <w:rPr>
          <w:rFonts w:hint="eastAsia"/>
        </w:rPr>
        <w:t>术语定义</w:t>
      </w:r>
      <w:bookmarkEnd w:id="10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463F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shd w:val="clear" w:color="auto" w:fill="D9D9D9"/>
          </w:tcPr>
          <w:p w14:paraId="296A7A6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术语</w:t>
            </w:r>
          </w:p>
        </w:tc>
        <w:tc>
          <w:tcPr>
            <w:tcW w:w="2500" w:type="pct"/>
            <w:shd w:val="clear" w:color="auto" w:fill="D9D9D9"/>
          </w:tcPr>
          <w:p w14:paraId="74E6686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释义</w:t>
            </w:r>
          </w:p>
        </w:tc>
      </w:tr>
      <w:tr w14:paraId="6BFBC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2FF520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家庭可信域</w:t>
            </w:r>
          </w:p>
        </w:tc>
        <w:tc>
          <w:tcPr>
            <w:tcW w:w="2500" w:type="pct"/>
          </w:tcPr>
          <w:p w14:paraId="17F9FA1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家庭局域网或机构内网中受控运行的 Web、API、数据库、文件、视觉/OCR、向量索引和 Ollama 环境；默认拒绝健康数据网络出口。</w:t>
            </w:r>
          </w:p>
        </w:tc>
      </w:tr>
      <w:tr w14:paraId="3E0AC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5CB1AD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家庭健康运营型数字孪生</w:t>
            </w:r>
          </w:p>
        </w:tc>
        <w:tc>
          <w:tcPr>
            <w:tcW w:w="2500" w:type="pct"/>
          </w:tcPr>
          <w:p w14:paraId="4BD1788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用事件、当前状态和关系投影表达家庭健康事实的变化与照护过程，不模拟人体生理。</w:t>
            </w:r>
          </w:p>
        </w:tc>
      </w:tr>
      <w:tr w14:paraId="0A378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D7DF08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Owner</w:t>
            </w:r>
          </w:p>
        </w:tc>
        <w:tc>
          <w:tcPr>
            <w:tcW w:w="2500" w:type="pct"/>
          </w:tcPr>
          <w:p w14:paraId="2380408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由 household.created_by 标识的当前单家庭管理员，只在其创建的家庭内拥有管理范围。</w:t>
            </w:r>
          </w:p>
        </w:tc>
      </w:tr>
      <w:tr w14:paraId="63890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EFD1A4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非 Owner 照护者</w:t>
            </w:r>
          </w:p>
        </w:tc>
        <w:tc>
          <w:tcPr>
            <w:tcW w:w="2500" w:type="pct"/>
          </w:tcPr>
          <w:p w14:paraId="1EE5736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必须通过成员、字段、动作、目的和有效期授权才能访问的协作人员。</w:t>
            </w:r>
          </w:p>
        </w:tc>
      </w:tr>
      <w:tr w14:paraId="65044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A1C7E5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RBAC/ABAC</w:t>
            </w:r>
          </w:p>
        </w:tc>
        <w:tc>
          <w:tcPr>
            <w:tcW w:w="2500" w:type="pct"/>
          </w:tcPr>
          <w:p w14:paraId="5228099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RBAC 定义角色上限；ABAC 再校验家庭、成员、字段、动作、目的、时间和授权状态。</w:t>
            </w:r>
          </w:p>
        </w:tc>
      </w:tr>
      <w:tr w14:paraId="7739E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004731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health_event</w:t>
            </w:r>
          </w:p>
        </w:tc>
        <w:tc>
          <w:tcPr>
            <w:tcW w:w="2500" w:type="pct"/>
          </w:tcPr>
          <w:p w14:paraId="75C08EF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追加写健康事件；记录变化、来源、操作者、确认状态、证据、序号和版本，不允许原地覆盖。</w:t>
            </w:r>
          </w:p>
        </w:tc>
      </w:tr>
      <w:tr w14:paraId="70A08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283BC7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补偿事件</w:t>
            </w:r>
          </w:p>
        </w:tc>
        <w:tc>
          <w:tcPr>
            <w:tcW w:w="2500" w:type="pct"/>
          </w:tcPr>
          <w:p w14:paraId="12E1846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用于更正上一已确认事件的新事件，通过 supersedes/causation 关系保留历史。</w:t>
            </w:r>
          </w:p>
        </w:tc>
      </w:tr>
      <w:tr w14:paraId="4D52E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85DDC3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事务 outbox</w:t>
            </w:r>
          </w:p>
        </w:tc>
        <w:tc>
          <w:tcPr>
            <w:tcW w:w="2500" w:type="pct"/>
          </w:tcPr>
          <w:p w14:paraId="23D56A1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与健康事件同事务写入的最小派发记录，用于可靠触发投影和后续消费者，不复制健康正文。</w:t>
            </w:r>
          </w:p>
        </w:tc>
      </w:tr>
      <w:tr w14:paraId="6F98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0F4CF1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状态投影</w:t>
            </w:r>
          </w:p>
        </w:tc>
        <w:tc>
          <w:tcPr>
            <w:tcW w:w="2500" w:type="pct"/>
          </w:tcPr>
          <w:p w14:paraId="4ABA7EA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由已确认事件按成员序号归约得到的当前状态，可从空状态或 checkpoint 重建。</w:t>
            </w:r>
          </w:p>
        </w:tc>
      </w:tr>
      <w:tr w14:paraId="1F1E5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C5775D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OCR-first</w:t>
            </w:r>
          </w:p>
        </w:tc>
        <w:tc>
          <w:tcPr>
            <w:tcW w:w="2500" w:type="pct"/>
          </w:tcPr>
          <w:p w14:paraId="5251971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先做全图 OCR 并保留文字框原值，再用 YOLO 辅助包装/条码定位，由专用解码器读取码值。</w:t>
            </w:r>
          </w:p>
        </w:tc>
      </w:tr>
      <w:tr w14:paraId="2BE49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B1EBB4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MATCHED</w:t>
            </w:r>
          </w:p>
        </w:tc>
        <w:tc>
          <w:tcPr>
            <w:tcW w:w="2500" w:type="pct"/>
          </w:tcPr>
          <w:p w14:paraId="1502EA5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多证据一致且候选明确；仍需人工确认。</w:t>
            </w:r>
          </w:p>
        </w:tc>
      </w:tr>
      <w:tr w14:paraId="377E2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B45223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CONFLICT</w:t>
            </w:r>
          </w:p>
        </w:tc>
        <w:tc>
          <w:tcPr>
            <w:tcW w:w="2500" w:type="pct"/>
          </w:tcPr>
          <w:p w14:paraId="263E1A2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条码、OCR、规格、日期、包装或主数据互相矛盾；必须复核。</w:t>
            </w:r>
          </w:p>
        </w:tc>
      </w:tr>
      <w:tr w14:paraId="048EB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EC4E08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UNKNOWN</w:t>
            </w:r>
          </w:p>
        </w:tc>
        <w:tc>
          <w:tcPr>
            <w:tcW w:w="2500" w:type="pct"/>
          </w:tcPr>
          <w:p w14:paraId="61E7615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开放集未知或没有可靠候选；允许手工录入或补拍。</w:t>
            </w:r>
          </w:p>
        </w:tc>
      </w:tr>
      <w:tr w14:paraId="3DEC1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2C37B1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REVIEW</w:t>
            </w:r>
          </w:p>
        </w:tc>
        <w:tc>
          <w:tcPr>
            <w:tcW w:w="2500" w:type="pct"/>
          </w:tcPr>
          <w:p w14:paraId="50573DD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质量不足、字段缺失或候选间隔不足，需要人工补录/复核。</w:t>
            </w:r>
          </w:p>
        </w:tc>
      </w:tr>
      <w:tr w14:paraId="7E8A6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47CAE3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证据契约</w:t>
            </w:r>
          </w:p>
        </w:tc>
        <w:tc>
          <w:tcPr>
            <w:tcW w:w="2500" w:type="pct"/>
          </w:tcPr>
          <w:p w14:paraId="5E33A69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回答或风险卡必须同时携带事实、规则、文档引用、确认状态、可见范围和版本。</w:t>
            </w:r>
          </w:p>
        </w:tc>
      </w:tr>
      <w:tr w14:paraId="1D447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E1C74C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告警预算</w:t>
            </w:r>
          </w:p>
        </w:tc>
        <w:tc>
          <w:tcPr>
            <w:tcW w:w="2500" w:type="pct"/>
          </w:tcPr>
          <w:p w14:paraId="44B98C3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对 INFO/GENERAL 进行合并、摘要和每日限量的机制；不得压制 HIGH/URGENT。</w:t>
            </w:r>
          </w:p>
        </w:tc>
      </w:tr>
      <w:tr w14:paraId="59338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6594B2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RAG</w:t>
            </w:r>
          </w:p>
        </w:tc>
        <w:tc>
          <w:tcPr>
            <w:tcW w:w="2500" w:type="pct"/>
          </w:tcPr>
          <w:p w14:paraId="0AA4393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先进行身份和权限过滤，再从版本化本地知识片段检索证据；检索结果不直接成为医疗结论。</w:t>
            </w:r>
          </w:p>
        </w:tc>
      </w:tr>
      <w:tr w14:paraId="7C053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90D9BA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困难样本</w:t>
            </w:r>
          </w:p>
        </w:tc>
        <w:tc>
          <w:tcPr>
            <w:tcW w:w="2500" w:type="pct"/>
          </w:tcPr>
          <w:p w14:paraId="0A18FF4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保留原预测、人工修正、错误类型、模型版本和训练同意状态的受控样本。</w:t>
            </w:r>
          </w:p>
        </w:tc>
      </w:tr>
      <w:tr w14:paraId="4EF5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2500" w:type="pct"/>
          </w:tcPr>
          <w:p w14:paraId="6E89725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P0</w:t>
            </w:r>
          </w:p>
        </w:tc>
        <w:tc>
          <w:tcPr>
            <w:tcW w:w="2500" w:type="pct"/>
          </w:tcPr>
          <w:p w14:paraId="35A67C2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八周课程交付的优先级范围；只有证据齐全的条目才可标记已验证。</w:t>
            </w:r>
          </w:p>
        </w:tc>
      </w:tr>
    </w:tbl>
    <w:p w14:paraId="36CBA291">
      <w:pPr>
        <w:pStyle w:val="2"/>
        <w:pageBreakBefore/>
      </w:pPr>
      <w:bookmarkStart w:id="11" w:name="_Toc237530741"/>
      <w:r>
        <w:rPr>
          <w:rFonts w:hint="eastAsia"/>
        </w:rPr>
        <w:t>业务流程说明</w:t>
      </w:r>
      <w:bookmarkEnd w:id="11"/>
    </w:p>
    <w:p w14:paraId="3D28562A">
      <w:pPr>
        <w:pStyle w:val="3"/>
      </w:pPr>
      <w:bookmarkStart w:id="12" w:name="_Toc237530742"/>
      <w:r>
        <w:rPr>
          <w:rFonts w:hint="eastAsia"/>
        </w:rPr>
        <w:t>整体业务流程</w:t>
      </w:r>
      <w:bookmarkEnd w:id="12"/>
    </w:p>
    <w:p w14:paraId="596178BA">
      <w:r>
        <w:rPr>
          <w:rFonts w:hint="eastAsia"/>
        </w:rPr>
        <w:t>主动拍照/上传/手工录入</w:t>
      </w:r>
    </w:p>
    <w:p w14:paraId="3D42580D">
      <w:pPr>
        <w:ind w:left="840" w:leftChars="400" w:right="840" w:rightChars="400" w:firstLine="525" w:firstLineChars="250"/>
        <w:rPr>
          <w:bCs/>
        </w:rPr>
      </w:pPr>
      <w:r>
        <w:rPr>
          <w:rFonts w:hint="eastAsia"/>
          <w:bCs/>
        </w:rPr>
        <w:t>↓</w:t>
      </w:r>
    </w:p>
    <w:p w14:paraId="3538B248">
      <w:pPr>
        <w:ind w:right="840"/>
        <w:rPr>
          <w:bCs/>
        </w:rPr>
      </w:pPr>
      <w:r>
        <w:rPr>
          <w:rFonts w:hint="eastAsia"/>
          <w:bCs/>
        </w:rPr>
        <w:t>本地质量检查与证据提取</w:t>
      </w:r>
    </w:p>
    <w:p w14:paraId="5B1C398A">
      <w:pPr>
        <w:ind w:left="840" w:leftChars="400" w:right="840" w:firstLine="525" w:firstLineChars="250"/>
        <w:rPr>
          <w:bCs/>
        </w:rPr>
      </w:pPr>
      <w:r>
        <w:rPr>
          <w:rFonts w:hint="eastAsia"/>
          <w:bCs/>
        </w:rPr>
        <w:t>↓</w:t>
      </w:r>
    </w:p>
    <w:p w14:paraId="64D8449D">
      <w:pPr>
        <w:ind w:right="840"/>
        <w:rPr>
          <w:bCs/>
        </w:rPr>
      </w:pPr>
      <w:r>
        <w:rPr>
          <w:bCs/>
        </w:rPr>
        <w:t>MATCHED / CONFLICT / UNKNOWN / REVIEW</w:t>
      </w:r>
    </w:p>
    <w:p w14:paraId="57CD20F0">
      <w:pPr>
        <w:ind w:left="840" w:right="840" w:firstLine="420"/>
        <w:rPr>
          <w:bCs/>
        </w:rPr>
      </w:pPr>
      <w:r>
        <w:rPr>
          <w:rFonts w:hint="eastAsia"/>
          <w:bCs/>
        </w:rPr>
        <w:t>↓</w:t>
      </w:r>
    </w:p>
    <w:p w14:paraId="73757239">
      <w:pPr>
        <w:ind w:right="840"/>
        <w:rPr>
          <w:bCs/>
        </w:rPr>
      </w:pPr>
      <w:r>
        <w:rPr>
          <w:rFonts w:hint="eastAsia"/>
          <w:bCs/>
        </w:rPr>
        <w:t>本人或获权复核者确认、修正或拒绝</w:t>
      </w:r>
    </w:p>
    <w:p w14:paraId="27CDC0F2">
      <w:pPr>
        <w:ind w:left="840" w:leftChars="400" w:right="840" w:firstLine="525" w:firstLineChars="250"/>
        <w:rPr>
          <w:bCs/>
        </w:rPr>
      </w:pPr>
      <w:r>
        <w:rPr>
          <w:rFonts w:hint="eastAsia"/>
          <w:bCs/>
        </w:rPr>
        <w:t>↓</w:t>
      </w:r>
    </w:p>
    <w:p w14:paraId="0D1C14C6">
      <w:pPr>
        <w:ind w:right="840"/>
        <w:rPr>
          <w:bCs/>
        </w:rPr>
      </w:pPr>
      <w:r>
        <w:rPr>
          <w:rFonts w:hint="eastAsia"/>
          <w:bCs/>
        </w:rPr>
        <w:t>追加 health_event + outbox + 在线投影（同一事务）</w:t>
      </w:r>
    </w:p>
    <w:p w14:paraId="0955ABCD">
      <w:pPr>
        <w:ind w:left="840" w:leftChars="400" w:right="840" w:firstLine="525" w:firstLineChars="250"/>
        <w:rPr>
          <w:bCs/>
        </w:rPr>
      </w:pPr>
      <w:r>
        <w:rPr>
          <w:rFonts w:hint="eastAsia"/>
          <w:bCs/>
        </w:rPr>
        <w:t>↓</w:t>
      </w:r>
    </w:p>
    <w:p w14:paraId="36AC8FF8">
      <w:pPr>
        <w:ind w:right="840"/>
        <w:rPr>
          <w:bCs/>
        </w:rPr>
      </w:pPr>
      <w:r>
        <w:rPr>
          <w:rFonts w:hint="eastAsia"/>
          <w:bCs/>
        </w:rPr>
        <w:t>关系投影与版本化规则计算</w:t>
      </w:r>
    </w:p>
    <w:p w14:paraId="151BF54A">
      <w:pPr>
        <w:ind w:left="840" w:leftChars="400" w:right="840" w:firstLine="525" w:firstLineChars="250"/>
        <w:rPr>
          <w:bCs/>
        </w:rPr>
      </w:pPr>
      <w:r>
        <w:rPr>
          <w:rFonts w:hint="eastAsia"/>
          <w:bCs/>
        </w:rPr>
        <w:t>↓</w:t>
      </w:r>
    </w:p>
    <w:p w14:paraId="6C9DC357">
      <w:pPr>
        <w:ind w:right="840"/>
        <w:rPr>
          <w:bCs/>
        </w:rPr>
      </w:pPr>
      <w:r>
        <w:rPr>
          <w:rFonts w:hint="eastAsia"/>
          <w:bCs/>
        </w:rPr>
        <w:t>风险卡、计划任务和权限过滤后的证据检索</w:t>
      </w:r>
    </w:p>
    <w:p w14:paraId="7B5BC7EE">
      <w:pPr>
        <w:ind w:left="840" w:leftChars="400" w:right="840" w:firstLine="525" w:firstLineChars="250"/>
        <w:rPr>
          <w:bCs/>
        </w:rPr>
      </w:pPr>
      <w:r>
        <w:rPr>
          <w:rFonts w:hint="eastAsia"/>
          <w:bCs/>
        </w:rPr>
        <w:t>↓</w:t>
      </w:r>
    </w:p>
    <w:p w14:paraId="0B11E1E3">
      <w:pPr>
        <w:ind w:right="840"/>
        <w:rPr>
          <w:bCs/>
        </w:rPr>
      </w:pPr>
      <w:r>
        <w:rPr>
          <w:rFonts w:hint="eastAsia"/>
          <w:bCs/>
        </w:rPr>
        <w:t>本地模型解释或结构化降级</w:t>
      </w:r>
    </w:p>
    <w:p w14:paraId="48136EA5">
      <w:pPr>
        <w:ind w:left="840" w:leftChars="400" w:right="840" w:firstLine="525" w:firstLineChars="250"/>
        <w:rPr>
          <w:bCs/>
        </w:rPr>
      </w:pPr>
      <w:r>
        <w:rPr>
          <w:rFonts w:hint="eastAsia"/>
          <w:bCs/>
        </w:rPr>
        <w:t>↓</w:t>
      </w:r>
    </w:p>
    <w:p w14:paraId="2C889E16">
      <w:pPr>
        <w:ind w:right="840"/>
        <w:rPr>
          <w:bCs/>
        </w:rPr>
      </w:pPr>
      <w:r>
        <w:rPr>
          <w:rFonts w:hint="eastAsia"/>
          <w:bCs/>
        </w:rPr>
        <w:t>本人/照护者确认行动、审计、困难样本回流</w:t>
      </w:r>
    </w:p>
    <w:p w14:paraId="10258C49">
      <w:r>
        <w:rPr>
          <w:rFonts w:hint="eastAsia"/>
        </w:rPr>
        <w:t>流程中的模型输出只作为候选或语言解释。正式健康事实必须由用户或授权复核者确认；风险等级只能由确定性规则生成；检索为空、权限不足或依赖不可用时必须停在明确的待复核、拒答或降级状态。</w:t>
      </w:r>
    </w:p>
    <w:p w14:paraId="0B837B47">
      <w:pPr>
        <w:pStyle w:val="3"/>
      </w:pPr>
      <w:bookmarkStart w:id="13" w:name="_Toc237530743"/>
      <w:r>
        <w:rPr>
          <w:rFonts w:hint="eastAsia"/>
        </w:rPr>
        <w:t>家庭创建、授权与访问流程</w:t>
      </w:r>
      <w:bookmarkEnd w:id="13"/>
    </w:p>
    <w:p w14:paraId="4E1D1375">
      <w:pPr>
        <w:shd w:val="clear" w:color="auto" w:fill="E6E6E6"/>
        <w:spacing w:before="120"/>
        <w:ind w:left="360" w:right="360"/>
        <w:rPr>
          <w:rFonts w:ascii="Consolas" w:hAnsi="Consolas" w:eastAsia="等线"/>
          <w:sz w:val="18"/>
        </w:rPr>
      </w:pPr>
      <w:r>
        <w:rPr>
          <w:rFonts w:hint="eastAsia" w:ascii="Consolas" w:hAnsi="Consolas" w:eastAsia="等线"/>
          <w:sz w:val="18"/>
        </w:rPr>
        <w:t>身份认证 → 选择家庭 → 校验 Owner/非 Owner → 校验成员 → 校验字段与动作 → 校验 X-Access-Purpose → 校验有效期/撤权 → 返回过滤后的结果并写最小审计</w:t>
      </w:r>
    </w:p>
    <w:p w14:paraId="4C803FFA">
      <w:r>
        <w:rPr>
          <w:rFonts w:hint="eastAsia"/>
        </w:rPr>
        <w:t>1. Owner 由 household.created_by 判定，只能管理自己创建的家庭。</w:t>
      </w:r>
    </w:p>
    <w:p w14:paraId="6F2336CE">
      <w:r>
        <w:rPr>
          <w:rFonts w:hint="eastAsia"/>
        </w:rPr>
        <w:t>2. 非 Owner 必须提交稳定的 ASCII 目的代码；展示文案不能代替目的代码。</w:t>
      </w:r>
    </w:p>
    <w:p w14:paraId="34FA66A3">
      <w:r>
        <w:rPr>
          <w:rFonts w:hint="eastAsia"/>
        </w:rPr>
        <w:t>3. 跨家庭、未授权以及资源 ID 猜测统一返回隐藏式 404，详细原因只进入本地脱敏审计。</w:t>
      </w:r>
    </w:p>
    <w:p w14:paraId="054040FA">
      <w:r>
        <w:rPr>
          <w:rFonts w:hint="eastAsia"/>
        </w:rPr>
        <w:t>4. 授权更新和撤回必须携带 expected_version；版本冲突返回 409，已撤销授权不可再次修改。</w:t>
      </w:r>
    </w:p>
    <w:p w14:paraId="0D096E6C">
      <w:pPr>
        <w:pStyle w:val="3"/>
      </w:pPr>
      <w:bookmarkStart w:id="14" w:name="_Toc237530744"/>
      <w:r>
        <w:rPr>
          <w:rFonts w:hint="eastAsia"/>
        </w:rPr>
        <w:t>视觉录入与人工复核流程</w:t>
      </w:r>
      <w:bookmarkEnd w:id="14"/>
    </w:p>
    <w:p w14:paraId="3DDDD02B">
      <w:pPr>
        <w:shd w:val="clear" w:color="auto" w:fill="E6E6E6"/>
        <w:spacing w:before="120"/>
        <w:ind w:left="360" w:right="360"/>
        <w:rPr>
          <w:rFonts w:ascii="Consolas" w:hAnsi="Consolas" w:eastAsia="等线"/>
          <w:sz w:val="18"/>
        </w:rPr>
      </w:pPr>
      <w:r>
        <w:rPr>
          <w:rFonts w:hint="eastAsia" w:ascii="Consolas" w:hAnsi="Consolas" w:eastAsia="等线"/>
          <w:sz w:val="18"/>
        </w:rPr>
        <w:t>选择成员 → 上传图片→ MIME/大小/像素/时长与恶意内容检查 → 清晰度/曝光/反光/方向/透视 → 全图 OCR → YOLO 包装/条码辅助 → 条码专用解码 → 规则/词典/本地字段结构化 → 多证据候选 → 四态 → 人工确认/修正/拒绝 → 正式事件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2188"/>
        <w:gridCol w:w="2188"/>
        <w:gridCol w:w="2188"/>
      </w:tblGrid>
      <w:tr w14:paraId="54C53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D9D9D9"/>
          </w:tcPr>
          <w:p w14:paraId="0187DE8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状态</w:t>
            </w:r>
          </w:p>
        </w:tc>
        <w:tc>
          <w:tcPr>
            <w:tcW w:w="1250" w:type="pct"/>
            <w:shd w:val="clear" w:color="auto" w:fill="D9D9D9"/>
          </w:tcPr>
          <w:p w14:paraId="5470EA3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进入条件</w:t>
            </w:r>
          </w:p>
        </w:tc>
        <w:tc>
          <w:tcPr>
            <w:tcW w:w="1250" w:type="pct"/>
            <w:shd w:val="clear" w:color="auto" w:fill="D9D9D9"/>
          </w:tcPr>
          <w:p w14:paraId="0AD6F00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允许动作</w:t>
            </w:r>
          </w:p>
        </w:tc>
        <w:tc>
          <w:tcPr>
            <w:tcW w:w="1250" w:type="pct"/>
            <w:shd w:val="clear" w:color="auto" w:fill="D9D9D9"/>
          </w:tcPr>
          <w:p w14:paraId="72C398A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禁止动作</w:t>
            </w:r>
          </w:p>
        </w:tc>
      </w:tr>
      <w:tr w14:paraId="3892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DF6C9C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MATCHED</w:t>
            </w:r>
          </w:p>
        </w:tc>
        <w:tc>
          <w:tcPr>
            <w:tcW w:w="1250" w:type="pct"/>
          </w:tcPr>
          <w:p w14:paraId="6FA6EBF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证据一致且超过校准阈值</w:t>
            </w:r>
          </w:p>
        </w:tc>
        <w:tc>
          <w:tcPr>
            <w:tcW w:w="1250" w:type="pct"/>
          </w:tcPr>
          <w:p w14:paraId="71B86B4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查看证据、确认或修正</w:t>
            </w:r>
          </w:p>
        </w:tc>
        <w:tc>
          <w:tcPr>
            <w:tcW w:w="1250" w:type="pct"/>
          </w:tcPr>
          <w:p w14:paraId="4AF8744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不经确认直接进入风险计算</w:t>
            </w:r>
          </w:p>
        </w:tc>
      </w:tr>
      <w:tr w14:paraId="25CB9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504776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CONFLICT</w:t>
            </w:r>
          </w:p>
        </w:tc>
        <w:tc>
          <w:tcPr>
            <w:tcW w:w="1250" w:type="pct"/>
          </w:tcPr>
          <w:p w14:paraId="476504B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关键证据相互矛盾</w:t>
            </w:r>
          </w:p>
        </w:tc>
        <w:tc>
          <w:tcPr>
            <w:tcW w:w="1250" w:type="pct"/>
          </w:tcPr>
          <w:p w14:paraId="097345D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强制复核、修正、补拍或拒绝</w:t>
            </w:r>
          </w:p>
        </w:tc>
        <w:tc>
          <w:tcPr>
            <w:tcW w:w="1250" w:type="pct"/>
          </w:tcPr>
          <w:p w14:paraId="264AFCA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默认选择最高分候选</w:t>
            </w:r>
          </w:p>
        </w:tc>
      </w:tr>
      <w:tr w14:paraId="46DC8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DA048C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UNKNOWN</w:t>
            </w:r>
          </w:p>
        </w:tc>
        <w:tc>
          <w:tcPr>
            <w:tcW w:w="1250" w:type="pct"/>
          </w:tcPr>
          <w:p w14:paraId="5913E2B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无可靠候选或开放集未知</w:t>
            </w:r>
          </w:p>
        </w:tc>
        <w:tc>
          <w:tcPr>
            <w:tcW w:w="1250" w:type="pct"/>
          </w:tcPr>
          <w:p w14:paraId="6AED4EB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手工录入、补拍或拒绝</w:t>
            </w:r>
          </w:p>
        </w:tc>
        <w:tc>
          <w:tcPr>
            <w:tcW w:w="1250" w:type="pct"/>
          </w:tcPr>
          <w:p w14:paraId="2CF179D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强制映射到已知 SKU</w:t>
            </w:r>
          </w:p>
        </w:tc>
      </w:tr>
      <w:tr w14:paraId="0C24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49B6D6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REVIEW</w:t>
            </w:r>
          </w:p>
        </w:tc>
        <w:tc>
          <w:tcPr>
            <w:tcW w:w="1250" w:type="pct"/>
          </w:tcPr>
          <w:p w14:paraId="29C1A5D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质量低、字段缺失或候选间隔不足</w:t>
            </w:r>
          </w:p>
        </w:tc>
        <w:tc>
          <w:tcPr>
            <w:tcW w:w="1250" w:type="pct"/>
          </w:tcPr>
          <w:p w14:paraId="05033E1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补录、补拍、人工选择</w:t>
            </w:r>
          </w:p>
        </w:tc>
        <w:tc>
          <w:tcPr>
            <w:tcW w:w="1250" w:type="pct"/>
          </w:tcPr>
          <w:p w14:paraId="6872835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显示假置信度或成功状态</w:t>
            </w:r>
          </w:p>
        </w:tc>
      </w:tr>
      <w:tr w14:paraId="4AEA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EE955A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CONFIRMED/CORRECTED</w:t>
            </w:r>
          </w:p>
        </w:tc>
        <w:tc>
          <w:tcPr>
            <w:tcW w:w="1250" w:type="pct"/>
          </w:tcPr>
          <w:p w14:paraId="588805E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复核人完成确认或修正</w:t>
            </w:r>
          </w:p>
        </w:tc>
        <w:tc>
          <w:tcPr>
            <w:tcW w:w="1250" w:type="pct"/>
          </w:tcPr>
          <w:p w14:paraId="7557D3D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写入正式事件并触发投影</w:t>
            </w:r>
          </w:p>
        </w:tc>
        <w:tc>
          <w:tcPr>
            <w:tcW w:w="1250" w:type="pct"/>
          </w:tcPr>
          <w:p w14:paraId="45661C1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覆盖原预测和修正原因</w:t>
            </w:r>
          </w:p>
          <w:p w14:paraId="79519C6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1EC303DF">
      <w:pPr>
        <w:pStyle w:val="3"/>
      </w:pPr>
      <w:bookmarkStart w:id="15" w:name="_Toc237530745"/>
      <w:r>
        <w:rPr>
          <w:rFonts w:hint="eastAsia"/>
        </w:rPr>
        <w:t>事件、投影与故障恢复流程</w:t>
      </w:r>
      <w:bookmarkEnd w:id="15"/>
    </w:p>
    <w:p w14:paraId="3A783B1C">
      <w:pPr>
        <w:shd w:val="clear" w:color="auto" w:fill="E6E6E6"/>
        <w:spacing w:before="120"/>
        <w:ind w:left="360" w:right="360"/>
        <w:rPr>
          <w:rFonts w:ascii="Consolas" w:hAnsi="Consolas" w:eastAsia="等线"/>
          <w:sz w:val="18"/>
        </w:rPr>
      </w:pPr>
      <w:r>
        <w:rPr>
          <w:rFonts w:hint="eastAsia" w:ascii="Consolas" w:hAnsi="Consolas" w:eastAsia="等线"/>
          <w:sz w:val="18"/>
        </w:rPr>
        <w:t>写请求 + Idempotency-Key → 规范请求指纹 → 锁定成员并分配 sequence_no → 写 health_event → 写最小 outbox → 更新在线投影 → 提交</w:t>
      </w:r>
    </w:p>
    <w:p w14:paraId="31806462">
      <w:pPr>
        <w:ind w:firstLine="525" w:firstLineChars="250"/>
        <w:jc w:val="right"/>
        <w:rPr>
          <w:bCs/>
        </w:rPr>
      </w:pPr>
      <w:r>
        <w:rPr>
          <w:rFonts w:hint="eastAsia"/>
          <w:bCs/>
        </w:rPr>
        <w:t>worker: PENDING → PROCESSING → DISPATCHED；失败为 FAILED，过期锁可回收</w:t>
      </w:r>
    </w:p>
    <w:p w14:paraId="2597DAD2">
      <w:pPr>
        <w:ind w:firstLine="525" w:firstLineChars="250"/>
        <w:jc w:val="right"/>
        <w:rPr>
          <w:bCs/>
        </w:rPr>
      </w:pPr>
      <w:r>
        <w:rPr>
          <w:rFonts w:hint="eastAsia"/>
          <w:bCs/>
        </w:rPr>
        <w:t>恢复: 空状态或 checkpoint → 校验 SHA-256 → 按 sequence_no 重放 → 比较在线 state_hash</w:t>
      </w:r>
    </w:p>
    <w:p w14:paraId="4DB26E40">
      <w:r>
        <w:rPr>
          <w:rFonts w:hint="eastAsia"/>
        </w:rPr>
        <w:t>相同家庭、幂等键、操作、操作者和规范请求体应返回原事件；同键不同指纹必须冲突。缺失已确认前序时保持 OUT_OF_ORDER，重复投递不得重复增加投影效果。</w:t>
      </w:r>
    </w:p>
    <w:p w14:paraId="513C5D6C">
      <w:pPr>
        <w:pStyle w:val="3"/>
      </w:pPr>
      <w:bookmarkStart w:id="16" w:name="_Toc237530746"/>
      <w:r>
        <w:rPr>
          <w:rFonts w:hint="eastAsia"/>
        </w:rPr>
        <w:t>风险、计划与照护升级流程</w:t>
      </w:r>
      <w:bookmarkEnd w:id="16"/>
    </w:p>
    <w:p w14:paraId="13D8DFB7">
      <w:pPr>
        <w:shd w:val="clear" w:color="auto" w:fill="E6E6E6"/>
        <w:spacing w:before="120"/>
        <w:ind w:left="360" w:right="360"/>
        <w:rPr>
          <w:rFonts w:ascii="Consolas" w:hAnsi="Consolas" w:eastAsia="等线"/>
          <w:sz w:val="18"/>
        </w:rPr>
      </w:pPr>
      <w:r>
        <w:rPr>
          <w:rFonts w:hint="eastAsia" w:ascii="Consolas" w:hAnsi="Consolas" w:eastAsia="等线"/>
          <w:sz w:val="18"/>
        </w:rPr>
        <w:t>已确认状态 → 规则版本与适用范围校验 → 过期/库存/重复/过敏/有限相互作用规则 → 去重键 → INFO/GENERAL 预算 → HIGH/URGENT 豁免 → 风险证据卡 → 确认/延期/跳过 → 连续未确认时校验照护授权并升级</w:t>
      </w:r>
    </w:p>
    <w:p w14:paraId="020B1D0A">
      <w:r>
        <w:rPr>
          <w:rFonts w:hint="eastAsia"/>
        </w:rPr>
        <w:t>计划页面必须区分只读的医嘱事实与可调整的提醒策略。任何提醒建议不得越过安全时间窗，不得创建、停用、替换药物或改变剂量、频次。</w:t>
      </w:r>
    </w:p>
    <w:p w14:paraId="7F65CCE4">
      <w:pPr>
        <w:pStyle w:val="3"/>
      </w:pPr>
      <w:bookmarkStart w:id="17" w:name="_Toc237530747"/>
      <w:r>
        <w:rPr>
          <w:rFonts w:hint="eastAsia"/>
        </w:rPr>
        <w:t>本地证据助手流程</w:t>
      </w:r>
      <w:bookmarkEnd w:id="17"/>
    </w:p>
    <w:p w14:paraId="7F7232E0">
      <w:pPr>
        <w:shd w:val="clear" w:color="auto" w:fill="E6E6E6"/>
        <w:spacing w:before="120"/>
        <w:ind w:left="360" w:right="360"/>
        <w:rPr>
          <w:rFonts w:ascii="Consolas" w:hAnsi="Consolas" w:eastAsia="等线"/>
          <w:sz w:val="18"/>
        </w:rPr>
      </w:pPr>
      <w:r>
        <w:rPr>
          <w:rFonts w:hint="eastAsia" w:ascii="Consolas" w:hAnsi="Consolas" w:eastAsia="等线"/>
          <w:sz w:val="18"/>
        </w:rPr>
        <w:t>登录与成员授权 → 意图/风险路由 → SQL/图谱/规则/RAG 工具 → 结构化证据上下文 → Ollama → Schema 校验 → 工具绑定与引用可访问性 → 主张忠实性 → 医疗禁止内容/无导流/紧急升级校验 → 回答或受控拒答</w:t>
      </w:r>
    </w:p>
    <w:p w14:paraId="5B16A971">
      <w:r>
        <w:rPr>
          <w:rFonts w:hint="eastAsia"/>
        </w:rPr>
        <w:t>向量库或 Ollama 不可用时，系统应停止自然语言证据回答，只展示可核验的结构化事实、规则、引用和任务；不得使用外部云模型补答。</w:t>
      </w:r>
    </w:p>
    <w:p w14:paraId="0F6F4DD0">
      <w:pPr>
        <w:pStyle w:val="3"/>
      </w:pPr>
      <w:bookmarkStart w:id="18" w:name="_Toc237530748"/>
      <w:r>
        <w:rPr>
          <w:rFonts w:hint="eastAsia"/>
        </w:rPr>
        <w:t>撤权、导出与删除流程</w:t>
      </w:r>
      <w:bookmarkEnd w:id="18"/>
    </w:p>
    <w:p w14:paraId="3C08DE68">
      <w:pPr>
        <w:shd w:val="clear" w:color="auto" w:fill="E6E6E6"/>
        <w:spacing w:before="120"/>
        <w:ind w:left="360" w:right="360"/>
        <w:rPr>
          <w:rFonts w:ascii="Consolas" w:hAnsi="Consolas" w:eastAsia="等线"/>
          <w:sz w:val="18"/>
        </w:rPr>
      </w:pPr>
      <w:r>
        <w:rPr>
          <w:rFonts w:hint="eastAsia" w:ascii="Consolas" w:hAnsi="Consolas" w:eastAsia="等线"/>
          <w:sz w:val="18"/>
        </w:rPr>
        <w:t>用户确认范围与目的 → 二次确认 → 撤权或删除任务 → API 立即拒绝新访问/升级 → 清理主库业务对象、文件、向量索引和缓存 → 记录可控备份到期处置 → 保留不含健康正文的最小审计证明</w:t>
      </w:r>
    </w:p>
    <w:p w14:paraId="3B491E50">
      <w:pPr>
        <w:pStyle w:val="2"/>
        <w:pageBreakBefore/>
      </w:pPr>
      <w:bookmarkStart w:id="19" w:name="_Toc237530749"/>
      <w:r>
        <w:rPr>
          <w:rFonts w:hint="eastAsia"/>
        </w:rPr>
        <w:t>需求规格说明</w:t>
      </w:r>
      <w:bookmarkEnd w:id="19"/>
    </w:p>
    <w:p w14:paraId="7F1CB76E">
      <w:pPr>
        <w:pStyle w:val="3"/>
      </w:pPr>
      <w:bookmarkStart w:id="20" w:name="_Toc237530750"/>
      <w:r>
        <w:rPr>
          <w:rFonts w:hint="eastAsia"/>
        </w:rPr>
        <w:t>身份、家庭与授权（FR-01）</w:t>
      </w:r>
      <w:bookmarkEnd w:id="20"/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5AF66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0BB5E50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5C20374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14:paraId="14D6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</w:tcPr>
          <w:p w14:paraId="3994783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0FD5B6E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提供本地账号、家庭、成员、照护关系和可撤回的字段级授权；支持密码登录以及 PIN/二维码二次确认。</w:t>
            </w:r>
          </w:p>
        </w:tc>
      </w:tr>
      <w:tr w14:paraId="1ADF1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904E8D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前置条件</w:t>
            </w:r>
          </w:p>
        </w:tc>
        <w:tc>
          <w:tcPr>
            <w:tcW w:w="7200" w:type="dxa"/>
          </w:tcPr>
          <w:p w14:paraId="4C66B29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操作者已认证；创建授权时为本家庭 Owner；被授权人、成员和目的均有效。</w:t>
            </w:r>
          </w:p>
        </w:tc>
      </w:tr>
      <w:tr w14:paraId="4AED5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B9F6EC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2E6A9BF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家庭名称、成员显示名/角色/actor_id、被授权人、数据字段、动作、ASCII 目的代码、有效期、expected_version。</w:t>
            </w:r>
          </w:p>
        </w:tc>
      </w:tr>
      <w:tr w14:paraId="600E8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DDFE2E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6110E42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Owner 只管理自己的家庭；非 Owner 同时通过家庭、成员、字段、动作、目的、期限校验；授权创建版本为 1，更新/撤回采用 compare-and-swap。</w:t>
            </w:r>
          </w:p>
        </w:tc>
      </w:tr>
      <w:tr w14:paraId="4DDDC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7C037E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142E436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家庭/成员、当前授权、字段可见范围、授权审计和稳定错误状态。</w:t>
            </w:r>
          </w:p>
        </w:tc>
      </w:tr>
      <w:tr w14:paraId="67A20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000DAB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异常与安全</w:t>
            </w:r>
          </w:p>
        </w:tc>
        <w:tc>
          <w:tcPr>
            <w:tcW w:w="7200" w:type="dxa"/>
          </w:tcPr>
          <w:p w14:paraId="4BD28E1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跨家庭、ID 猜测和未授权访问返回隐藏式 404；版本冲突返回 409；审计不记录健康正文；撤权立即生效。</w:t>
            </w:r>
          </w:p>
        </w:tc>
      </w:tr>
      <w:tr w14:paraId="109CA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E0F890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45094B5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跨家庭拒绝率 100%；非 Owner 只返回授权字段；撤权/过期后立即拒绝；敏感读取和授权生命周期有最小审计。</w:t>
            </w:r>
          </w:p>
        </w:tc>
      </w:tr>
      <w:tr w14:paraId="4FB2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585936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5074056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P0 不采用人脸身份；不允许因子女或照护者角色默认看到全部数据。</w:t>
            </w:r>
          </w:p>
          <w:p w14:paraId="0E00CC8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10E3EE96">
      <w:pPr>
        <w:pStyle w:val="3"/>
      </w:pPr>
      <w:bookmarkStart w:id="21" w:name="_Toc237530751"/>
      <w:r>
        <w:rPr>
          <w:rFonts w:hint="eastAsia"/>
        </w:rPr>
        <w:t>家庭健康事件中心（FR-02）</w:t>
      </w:r>
      <w:bookmarkEnd w:id="21"/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4FE87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1344A14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4AEBB76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14:paraId="58807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54AE82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45B8AAE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以追加写事件管理疾病、过敏、指标、药品、库存、计划、文档和照护关系变化，并可重放恢复当前状态。</w:t>
            </w:r>
          </w:p>
        </w:tc>
      </w:tr>
      <w:tr w14:paraId="12B6D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3AD85E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前置条件</w:t>
            </w:r>
          </w:p>
        </w:tc>
        <w:tc>
          <w:tcPr>
            <w:tcW w:w="7200" w:type="dxa"/>
          </w:tcPr>
          <w:p w14:paraId="42F6D78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家庭和成员存在；操作者具有写动作与字段权限；正式投影只接收 CONFIRMED 事件。</w:t>
            </w:r>
          </w:p>
        </w:tc>
      </w:tr>
      <w:tr w14:paraId="5999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</w:tcPr>
          <w:p w14:paraId="0ABCE3A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0B766F5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member_id、event_type、source、confirmation_status、payload、evidence、occurred_at、Idempotency-Key。</w:t>
            </w:r>
          </w:p>
        </w:tc>
      </w:tr>
      <w:tr w14:paraId="36329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3CFC52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54CC219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分配成员内 sequence_no；计算请求指纹；事件、outbox 和在线投影同事务提交；更正追加补偿事件；事件不可 UPDATE/DELETE。</w:t>
            </w:r>
          </w:p>
        </w:tc>
      </w:tr>
      <w:tr w14:paraId="201F4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D918C9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63CBE50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事件 ID、序号、发生/记录时间、correlation/causation/supersedes、Schema 版本、投影版本与哈希。</w:t>
            </w:r>
          </w:p>
        </w:tc>
      </w:tr>
      <w:tr w14:paraId="7A362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AE4F0E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故障恢复</w:t>
            </w:r>
          </w:p>
        </w:tc>
        <w:tc>
          <w:tcPr>
            <w:tcW w:w="7200" w:type="dxa"/>
          </w:tcPr>
          <w:p w14:paraId="6BFA3E5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worker 回收过期锁；FAILED 可重试；checkpoint 校验失败或乱序返回稳定冲突；存在事件时禁止破坏性 downgrade。</w:t>
            </w:r>
          </w:p>
        </w:tc>
      </w:tr>
      <w:tr w14:paraId="2AFFE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A3A821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019E250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相同幂等请求只产生一个事实；冲突指纹拒绝；补偿保留原事件；重复投递无副作用；空状态/checkpoint 重放结果与在线状态一致。</w:t>
            </w:r>
          </w:p>
        </w:tc>
      </w:tr>
      <w:tr w14:paraId="20CB0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700BC5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324623F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不把 outbox、投影、图谱或向量索引作为第二事实源。</w:t>
            </w:r>
          </w:p>
          <w:p w14:paraId="47DDBDE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282DECC2">
      <w:pPr>
        <w:pStyle w:val="3"/>
      </w:pPr>
      <w:bookmarkStart w:id="22" w:name="_Toc237530752"/>
      <w:r>
        <w:rPr>
          <w:rFonts w:hint="eastAsia"/>
        </w:rPr>
        <w:t>多证据视觉录入（FR-03）</w:t>
      </w:r>
      <w:bookmarkEnd w:id="22"/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284FF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04E09D8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38080FB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14:paraId="1B7BA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DE5AFF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0F9D2AB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接收图片、浏览器拍照和短视频，完成质量门控、OCR-first 证据提取、候选融合和四态输出。</w:t>
            </w:r>
          </w:p>
        </w:tc>
      </w:tr>
      <w:tr w14:paraId="2C40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0EE31E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前置条件</w:t>
            </w:r>
          </w:p>
        </w:tc>
        <w:tc>
          <w:tcPr>
            <w:tcW w:w="7200" w:type="dxa"/>
          </w:tcPr>
          <w:p w14:paraId="7CFDB61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用户主动触发；文件通过类型、大小、像素、时长和内容探测；成员访问权限有效。</w:t>
            </w:r>
          </w:p>
        </w:tc>
      </w:tr>
      <w:tr w14:paraId="55E2C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95897D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66C6060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本地文件引用、成员、任务类型、幂等键、模型阈值及代码/数据/模型版本。</w:t>
            </w:r>
          </w:p>
        </w:tc>
      </w:tr>
      <w:tr w14:paraId="1DF9F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7DCD24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6D7AE04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全图 OCR 保存原始 token/区域/置信度；YOLO 只辅助包装和条码区域；专用解码器读取码值；本地结构化模块只能选择已有证据。</w:t>
            </w:r>
          </w:p>
        </w:tc>
      </w:tr>
      <w:tr w14:paraId="4261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8EA76A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75D6896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MATCHED/CONFLICT/UNKNOWN/REVIEW、证据帧、OCR 框、条码、包装特征、候选、版本、耗时和错误码。</w:t>
            </w:r>
          </w:p>
        </w:tc>
      </w:tr>
      <w:tr w14:paraId="0F5E1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A10D68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人工复核</w:t>
            </w:r>
          </w:p>
        </w:tc>
        <w:tc>
          <w:tcPr>
            <w:tcW w:w="7200" w:type="dxa"/>
          </w:tcPr>
          <w:p w14:paraId="6303443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确认、修正或拒绝；修正保存原候选、after、原因、操作者、时间和独立训练同意。</w:t>
            </w:r>
          </w:p>
        </w:tc>
      </w:tr>
      <w:tr w14:paraId="42544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782CEE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异常与降级</w:t>
            </w:r>
          </w:p>
        </w:tc>
        <w:tc>
          <w:tcPr>
            <w:tcW w:w="7200" w:type="dxa"/>
          </w:tcPr>
          <w:p w14:paraId="6047ECC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视觉/OCR 不可用时保留任务并允许手工录入；冲突/未知/低质量不进入正式状态和规则。</w:t>
            </w:r>
          </w:p>
        </w:tc>
      </w:tr>
      <w:tr w14:paraId="1AE43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5D495A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377EEA0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自动通过精确率≥99%；未知 SKU 转人工率≥95%；字段来源完整率 100%；只有 CONFIRMED/CORRECTED 触发正式事件。</w:t>
            </w:r>
          </w:p>
        </w:tc>
      </w:tr>
      <w:tr w14:paraId="5DFFC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05C38A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2CF6F85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不承诺识别任意药品，不以 YOLO 单独识别 SKU，不使用模型补造图片文字。</w:t>
            </w:r>
          </w:p>
          <w:p w14:paraId="19A159D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3969ED39">
      <w:pPr>
        <w:pStyle w:val="3"/>
      </w:pPr>
      <w:bookmarkStart w:id="23" w:name="_Toc237530753"/>
      <w:r>
        <w:rPr>
          <w:rFonts w:hint="eastAsia"/>
        </w:rPr>
        <w:t>家庭健康关系投影（FR-04）</w:t>
      </w:r>
      <w:bookmarkEnd w:id="23"/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60D3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2FBE6F7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37C6CDD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14:paraId="2AF7D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554293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78BDF89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展示成员、疾病、过敏、药品、成分、批次、计划、文档和照护者关系。</w:t>
            </w:r>
          </w:p>
        </w:tc>
      </w:tr>
      <w:tr w14:paraId="40C5E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1EDEE0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1FD1701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已确认事件、成员状态和当前授权范围。</w:t>
            </w:r>
          </w:p>
        </w:tc>
      </w:tr>
      <w:tr w14:paraId="515A6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3DF501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290F772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从 MySQL 事实重建；每个节点和边关联来源事件、确认状态和更新时间；更正/撤销后重算。</w:t>
            </w:r>
          </w:p>
        </w:tc>
      </w:tr>
      <w:tr w14:paraId="645BE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4355E6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5E725CB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权限过滤后的节点、边、来源事件和重建状态。</w:t>
            </w:r>
          </w:p>
        </w:tc>
      </w:tr>
      <w:tr w14:paraId="098B3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40D124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异常与降级</w:t>
            </w:r>
          </w:p>
        </w:tc>
        <w:tc>
          <w:tcPr>
            <w:tcW w:w="7200" w:type="dxa"/>
          </w:tcPr>
          <w:p w14:paraId="748410F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投影异常时停止展示可能过期的敏感缓存，提供重建入口；撤权后隐藏受影响节点与聚合数量。</w:t>
            </w:r>
          </w:p>
        </w:tc>
      </w:tr>
      <w:tr w14:paraId="09A91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D2CD3F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7BCD2FA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事件确认后关系更新；补偿后关系一致；未确认四态不生成正式节点；每条边可追溯。</w:t>
            </w:r>
          </w:p>
        </w:tc>
      </w:tr>
      <w:tr w14:paraId="038CE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828C1F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0EA6013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P0 不引入大型医学本体或让图数据库成为事实源。</w:t>
            </w:r>
          </w:p>
          <w:p w14:paraId="118A593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4F0B127F">
      <w:pPr>
        <w:pStyle w:val="3"/>
      </w:pPr>
      <w:bookmarkStart w:id="24" w:name="_Toc237530754"/>
      <w:r>
        <w:rPr>
          <w:rFonts w:hint="eastAsia"/>
        </w:rPr>
        <w:t>风险规则与告警预算（FR-05）</w:t>
      </w:r>
      <w:bookmarkEnd w:id="24"/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45AFE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76D17DB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5DD168D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14:paraId="106CC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956C76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612CD82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对过期、临期、低库存、重复成分、登记过敏和有限审核规则产生可解释风险。</w:t>
            </w:r>
          </w:p>
        </w:tc>
      </w:tr>
      <w:tr w14:paraId="33DA1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7BA6FA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前置条件</w:t>
            </w:r>
          </w:p>
        </w:tc>
        <w:tc>
          <w:tcPr>
            <w:tcW w:w="7200" w:type="dxa"/>
          </w:tcPr>
          <w:p w14:paraId="0659889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参与事实已人工确认；规则有来源、版本、范围、有效期、正反例和回滚版本。</w:t>
            </w:r>
          </w:p>
        </w:tc>
      </w:tr>
      <w:tr w14:paraId="6CD2B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146775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175D2EA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成员当前状态、规则版本、告警预算、去重窗口和授权上下文。</w:t>
            </w:r>
          </w:p>
        </w:tc>
      </w:tr>
      <w:tr w14:paraId="79929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9E2F6C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43218FB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规则引擎独占等级决定权；同类告警按成员/规则/时间窗合并；INFO/GENERAL 受预算控制，HIGH/URGENT 不受普通预算压制。</w:t>
            </w:r>
          </w:p>
        </w:tc>
      </w:tr>
      <w:tr w14:paraId="57D6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8F7BA3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22B0130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等级、rule_id/version、参与事实、证据、覆盖范围、去重键、有效期、预算决定和处理角色。</w:t>
            </w:r>
          </w:p>
        </w:tc>
      </w:tr>
      <w:tr w14:paraId="4C6E9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9FBAB3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异常与安全</w:t>
            </w:r>
          </w:p>
        </w:tc>
        <w:tc>
          <w:tcPr>
            <w:tcW w:w="7200" w:type="dxa"/>
          </w:tcPr>
          <w:p w14:paraId="26E5796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规则版本不匹配时停止发布；证据不足进入待确认；不得输出‘可以一起吃’或‘必须停药’。</w:t>
            </w:r>
          </w:p>
        </w:tc>
      </w:tr>
      <w:tr w14:paraId="1CB94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A45551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60DD169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规则单测 100%；已知严重案例漏报为 0；普通预算执行率 100%；风险证据/版本完整率 100%。</w:t>
            </w:r>
          </w:p>
        </w:tc>
      </w:tr>
      <w:tr w14:paraId="2108C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B4C0DA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7FB45BB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不提供完整临床决策支持，不由模型创建或批准医疗规则。</w:t>
            </w:r>
          </w:p>
          <w:p w14:paraId="452E6C9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69DC33BA">
      <w:pPr>
        <w:pStyle w:val="3"/>
      </w:pPr>
      <w:bookmarkStart w:id="25" w:name="_Toc237530755"/>
      <w:r>
        <w:rPr>
          <w:rFonts w:hint="eastAsia"/>
        </w:rPr>
        <w:t>计划、确认与照护升级（FR-06）</w:t>
      </w:r>
      <w:bookmarkEnd w:id="25"/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1A7B3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3FB94A4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42643CB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14:paraId="2C423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501E06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340B302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围绕已确认医嘱事实形成可审计的提醒策略和照护响应。</w:t>
            </w:r>
          </w:p>
        </w:tc>
      </w:tr>
      <w:tr w14:paraId="7B4C5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27FB6E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789806D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计划版本、医嘱事实、安全时间窗、提醒策略、确认/延期/跳过及原因、照护授权。</w:t>
            </w:r>
          </w:p>
        </w:tc>
      </w:tr>
      <w:tr w14:paraId="20B72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B69A5B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5F06BE1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医嘱事实只读；提醒时间和渠道只能在安全时间窗内调整；新医嘱未经人工批准不得切换；连续未确认后再校验升级授权。</w:t>
            </w:r>
          </w:p>
        </w:tc>
      </w:tr>
      <w:tr w14:paraId="7B294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D7B432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6CCC782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计划版本差异、确认状态、处理原因、升级对象、授权依据和审计事件。</w:t>
            </w:r>
          </w:p>
        </w:tc>
      </w:tr>
      <w:tr w14:paraId="2FD0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913855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异常与安全</w:t>
            </w:r>
          </w:p>
        </w:tc>
        <w:tc>
          <w:tcPr>
            <w:tcW w:w="7200" w:type="dxa"/>
          </w:tcPr>
          <w:p w14:paraId="7CF0754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越界建议被阻止；升级对象无授权或已撤权时不通知；部分失败不得保存半成品变更。</w:t>
            </w:r>
          </w:p>
        </w:tc>
      </w:tr>
      <w:tr w14:paraId="24DD1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834F42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52871FD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确认/延期/跳过可追踪率 100%；越过安全时间窗的建议 100% 阻止；升级对象授权有效；批准记录完整。</w:t>
            </w:r>
          </w:p>
        </w:tc>
      </w:tr>
      <w:tr w14:paraId="265D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1377F7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5922F70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系统不得新增、停用、替换药物或改变剂量、频次。</w:t>
            </w:r>
          </w:p>
          <w:p w14:paraId="2D6C148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5C5B5EC4">
      <w:pPr>
        <w:pStyle w:val="3"/>
      </w:pPr>
      <w:bookmarkStart w:id="26" w:name="_Toc237530756"/>
      <w:r>
        <w:rPr>
          <w:rFonts w:hint="eastAsia"/>
        </w:rPr>
        <w:t>环境行动卡（FR-07）</w:t>
      </w:r>
      <w:bookmarkEnd w:id="26"/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35180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384F7A2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5C0E8BD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14:paraId="0DB7A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5F5183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56AEDF4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使用粗粒度天气信息生成低风险生活安排提示。</w:t>
            </w:r>
          </w:p>
        </w:tc>
      </w:tr>
      <w:tr w14:paraId="26A3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8DDD81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51B84E5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城市/区县编码、温度、温差、降雨、空气质量、紫外线和可用花粉等级。</w:t>
            </w:r>
          </w:p>
        </w:tc>
      </w:tr>
      <w:tr w14:paraId="551A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977408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4EF2D67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出口仅允许白名单天气适配器和城市编码；结合成员主动授权标签；同一事件有效期内只生成一次。</w:t>
            </w:r>
          </w:p>
        </w:tc>
      </w:tr>
      <w:tr w14:paraId="0B784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5273EC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4D9FEDF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环境事件、行动卡、来源时间、有效期和降级状态。</w:t>
            </w:r>
          </w:p>
        </w:tc>
      </w:tr>
      <w:tr w14:paraId="69CB5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0B09B1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异常与降级</w:t>
            </w:r>
          </w:p>
        </w:tc>
        <w:tc>
          <w:tcPr>
            <w:tcW w:w="7200" w:type="dxa"/>
          </w:tcPr>
          <w:p w14:paraId="3239ADB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天气失败时不生成新卡，不影响档案、事件、规则和任务；不缓存未授权健康字段。</w:t>
            </w:r>
          </w:p>
        </w:tc>
      </w:tr>
      <w:tr w14:paraId="5BB0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915819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091A810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外部请求不含成员、药品、疾病、过敏、报告、图片或对话；不推断疾病，不触发用药更改。</w:t>
            </w:r>
          </w:p>
          <w:p w14:paraId="58D4182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0EC026A8">
      <w:pPr>
        <w:pStyle w:val="3"/>
      </w:pPr>
      <w:bookmarkStart w:id="27" w:name="_Toc237530757"/>
      <w:r>
        <w:rPr>
          <w:rFonts w:hint="eastAsia"/>
        </w:rPr>
        <w:t>本地证据型助手（FR-08）</w:t>
      </w:r>
      <w:bookmarkEnd w:id="27"/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4FA99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7C97BD3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6441E98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14:paraId="2D2FD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9125BA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1051CCF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调用授权、SQL、关系投影、规则和 RAG 工具，对当前事实进行有引用的通俗解释。</w:t>
            </w:r>
          </w:p>
        </w:tc>
      </w:tr>
      <w:tr w14:paraId="4B28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F1B7FF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前置条件</w:t>
            </w:r>
          </w:p>
        </w:tc>
        <w:tc>
          <w:tcPr>
            <w:tcW w:w="7200" w:type="dxa"/>
          </w:tcPr>
          <w:p w14:paraId="7D0886C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操作者与成员权限有效；知识来源、许可、版本、哈希和权限域已登记。</w:t>
            </w:r>
          </w:p>
        </w:tc>
      </w:tr>
      <w:tr w14:paraId="3A77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149A14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30BC14D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问题、当前成员、目的、可见字段、事实/规则/文档工具结果和模型/知识版本。</w:t>
            </w:r>
          </w:p>
        </w:tc>
      </w:tr>
      <w:tr w14:paraId="5FBFE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286516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15EDD2E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检索前过滤权限；模型不直连全库或向量库；后端依次校验 Schema、工具绑定、引用、忠实性、规则不可改写、授权、医疗禁止内容和无导流。</w:t>
            </w:r>
          </w:p>
        </w:tc>
      </w:tr>
      <w:tr w14:paraId="28FC0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F5762E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367B085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route、answer、facts、rules、citations、actions、visibility、model_version、knowledge_version、request_id。</w:t>
            </w:r>
          </w:p>
        </w:tc>
      </w:tr>
      <w:tr w14:paraId="3612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7B9FE5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异常与降级</w:t>
            </w:r>
          </w:p>
        </w:tc>
        <w:tc>
          <w:tcPr>
            <w:tcW w:w="7200" w:type="dxa"/>
          </w:tcPr>
          <w:p w14:paraId="65602FB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无证据时澄清/拒答；模型或向量库不可用时返回结构化事实/规则卡或 MODEL_UNAVAILABLE；不使用云端回退。</w:t>
            </w:r>
          </w:p>
        </w:tc>
      </w:tr>
      <w:tr w14:paraId="62F28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FE2FAB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41B8A08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引用存在率 100%；无证据拒答率≥95%；越权与危险医疗请求拒绝率≥98%；无授权字段返回率和商业导流响应率均为 0%。</w:t>
            </w:r>
          </w:p>
        </w:tc>
      </w:tr>
      <w:tr w14:paraId="4693C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C7BC81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非目标</w:t>
            </w:r>
          </w:p>
        </w:tc>
        <w:tc>
          <w:tcPr>
            <w:tcW w:w="7200" w:type="dxa"/>
          </w:tcPr>
          <w:p w14:paraId="03B7D0F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不诊断、处方、停药、换药、调剂量，不让模型批准计划或规则。</w:t>
            </w:r>
          </w:p>
          <w:p w14:paraId="3DD8F09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2EA6D147">
      <w:pPr>
        <w:pStyle w:val="3"/>
      </w:pPr>
      <w:bookmarkStart w:id="28" w:name="_Toc237530758"/>
      <w:r>
        <w:rPr>
          <w:rFonts w:hint="eastAsia"/>
        </w:rPr>
        <w:t>家庭大屏与模型实验室（FR-09）</w:t>
      </w:r>
      <w:bookmarkEnd w:id="28"/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3D13B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50B7621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263AE94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14:paraId="280AD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89B29A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3399A2E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家庭大屏展示非敏感聚合与任务；模型实验室展示数据、模型、阈值、固定集指标、发布和回滚状态。</w:t>
            </w:r>
          </w:p>
        </w:tc>
      </w:tr>
      <w:tr w14:paraId="4A51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34C807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68E8E97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授权后的任务/风险聚合、事件趋势、运行状态、模型登记、评估结果和制品哈希。</w:t>
            </w:r>
          </w:p>
        </w:tc>
      </w:tr>
      <w:tr w14:paraId="26366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792879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3B682A9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公共大屏默认不展示姓名、病史、药品详情、报告图片和对话；模型管理员权限不转化为家庭数据权限。</w:t>
            </w:r>
          </w:p>
        </w:tc>
      </w:tr>
      <w:tr w14:paraId="71B51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0F0F49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06E3F18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今日任务、近期变化、告警预算、照护响应、依赖状态；模型版本、指标、失败样本、部署/回滚状态。</w:t>
            </w:r>
          </w:p>
        </w:tc>
      </w:tr>
      <w:tr w14:paraId="4B55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A8CA49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异常与降级</w:t>
            </w:r>
          </w:p>
        </w:tc>
        <w:tc>
          <w:tcPr>
            <w:tcW w:w="7200" w:type="dxa"/>
          </w:tcPr>
          <w:p w14:paraId="1091FAF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失败指标隐藏并标注最后更新时间；指标/评估不足时保持候选状态，不允许发布。</w:t>
            </w:r>
          </w:p>
        </w:tc>
      </w:tr>
      <w:tr w14:paraId="25458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7C052F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183CAAE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聚合不含真实身份或健康正文；未确认数据不进入趋势/成功指标；非管理员不能查看模型详情。</w:t>
            </w:r>
          </w:p>
          <w:p w14:paraId="6A74FE1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764FDF39">
      <w:pPr>
        <w:pStyle w:val="3"/>
      </w:pPr>
      <w:bookmarkStart w:id="29" w:name="_Toc237530759"/>
      <w:r>
        <w:rPr>
          <w:rFonts w:hint="eastAsia"/>
        </w:rPr>
        <w:t>困难样本与追加训练（FR-10）</w:t>
      </w:r>
      <w:bookmarkEnd w:id="29"/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6830D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71338AF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要素</w:t>
            </w:r>
          </w:p>
        </w:tc>
        <w:tc>
          <w:tcPr>
            <w:tcW w:w="7200" w:type="dxa"/>
            <w:shd w:val="clear" w:color="auto" w:fill="D9D9D9"/>
          </w:tcPr>
          <w:p w14:paraId="6167DA5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说明</w:t>
            </w:r>
          </w:p>
        </w:tc>
      </w:tr>
      <w:tr w14:paraId="1F63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57AB11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目标</w:t>
            </w:r>
          </w:p>
        </w:tc>
        <w:tc>
          <w:tcPr>
            <w:tcW w:w="7200" w:type="dxa"/>
          </w:tcPr>
          <w:p w14:paraId="3EE9836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把人工纠错转化为经过授权、脱敏、审核和可回滚的模型改进证据。</w:t>
            </w:r>
          </w:p>
        </w:tc>
      </w:tr>
      <w:tr w14:paraId="7122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9ADC55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输入</w:t>
            </w:r>
          </w:p>
        </w:tc>
        <w:tc>
          <w:tcPr>
            <w:tcW w:w="7200" w:type="dxa"/>
          </w:tcPr>
          <w:p w14:paraId="2A78A36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原预测、人工修正、错误类型、模型版本、样本授权、训练同意和脱敏状态。</w:t>
            </w:r>
          </w:p>
        </w:tc>
      </w:tr>
      <w:tr w14:paraId="76B4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DE37DD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处理规则</w:t>
            </w:r>
          </w:p>
        </w:tc>
        <w:tc>
          <w:tcPr>
            <w:tcW w:w="7200" w:type="dxa"/>
          </w:tcPr>
          <w:p w14:paraId="2B5F00F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按实体药盒、采集日期、设备和视频会话分组划分；固定集冻结并记录哈希；V1/V2 使用同一测试集；检查旧类别退化。</w:t>
            </w:r>
          </w:p>
        </w:tc>
      </w:tr>
      <w:tr w14:paraId="54284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E5558E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输出</w:t>
            </w:r>
          </w:p>
        </w:tc>
        <w:tc>
          <w:tcPr>
            <w:tcW w:w="7200" w:type="dxa"/>
          </w:tcPr>
          <w:p w14:paraId="7B3FA84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数据卡、训练批次、模型卡、参数/随机种子/硬件、指标、失败样例、制品哈希、批准和回滚版本。</w:t>
            </w:r>
          </w:p>
        </w:tc>
      </w:tr>
      <w:tr w14:paraId="49A7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97B6D4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异常与安全</w:t>
            </w:r>
          </w:p>
        </w:tc>
        <w:tc>
          <w:tcPr>
            <w:tcW w:w="7200" w:type="dxa"/>
          </w:tcPr>
          <w:p w14:paraId="7F1AFE9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未授权样本不训练；撤回后停止后续训练并清理可控未发布制品；失败实验保留；旧类下降超阈值拒绝发布。</w:t>
            </w:r>
          </w:p>
        </w:tc>
      </w:tr>
      <w:tr w14:paraId="559D8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A962AB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</w:t>
            </w:r>
          </w:p>
        </w:tc>
        <w:tc>
          <w:tcPr>
            <w:tcW w:w="7200" w:type="dxa"/>
          </w:tcPr>
          <w:p w14:paraId="5DF256E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训练集无相邻帧泄漏；V2 旧类别最大下降≤2 个百分点；家庭端不自动训练或发布；模型权重不提交到仓库。</w:t>
            </w:r>
          </w:p>
          <w:p w14:paraId="34FC7EE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16D6B43B">
      <w:pPr>
        <w:pStyle w:val="3"/>
      </w:pPr>
      <w:bookmarkStart w:id="30" w:name="_Toc237530760"/>
      <w:r>
        <w:rPr>
          <w:rFonts w:hint="eastAsia"/>
        </w:rPr>
        <w:t>页面与交互需求</w:t>
      </w:r>
      <w:bookmarkEnd w:id="30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5"/>
        <w:gridCol w:w="2265"/>
      </w:tblGrid>
      <w:tr w14:paraId="00EF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D9D9D9"/>
          </w:tcPr>
          <w:p w14:paraId="45CD03F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页面</w:t>
            </w:r>
          </w:p>
        </w:tc>
        <w:tc>
          <w:tcPr>
            <w:tcW w:w="1250" w:type="pct"/>
            <w:shd w:val="clear" w:color="auto" w:fill="D9D9D9"/>
          </w:tcPr>
          <w:p w14:paraId="651DEDF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首要职责</w:t>
            </w:r>
          </w:p>
        </w:tc>
        <w:tc>
          <w:tcPr>
            <w:tcW w:w="1250" w:type="pct"/>
            <w:shd w:val="clear" w:color="auto" w:fill="D9D9D9"/>
          </w:tcPr>
          <w:p w14:paraId="483F621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关键状态</w:t>
            </w:r>
          </w:p>
        </w:tc>
        <w:tc>
          <w:tcPr>
            <w:tcW w:w="1250" w:type="pct"/>
            <w:shd w:val="clear" w:color="auto" w:fill="D9D9D9"/>
          </w:tcPr>
          <w:p w14:paraId="42A2F72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强制展示</w:t>
            </w:r>
          </w:p>
        </w:tc>
      </w:tr>
      <w:tr w14:paraId="776B7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F25AF6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家庭总览</w:t>
            </w:r>
          </w:p>
        </w:tc>
        <w:tc>
          <w:tcPr>
            <w:tcW w:w="1250" w:type="pct"/>
          </w:tcPr>
          <w:p w14:paraId="63C7986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近期变化、待确认风险、今日任务、本地/授权状态</w:t>
            </w:r>
          </w:p>
        </w:tc>
        <w:tc>
          <w:tcPr>
            <w:tcW w:w="1250" w:type="pct"/>
          </w:tcPr>
          <w:p w14:paraId="7B2E887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正常/加载/空/错误/离线/未授权/低置信</w:t>
            </w:r>
          </w:p>
        </w:tc>
        <w:tc>
          <w:tcPr>
            <w:tcW w:w="1250" w:type="pct"/>
          </w:tcPr>
          <w:p w14:paraId="4335863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本地隐私状态、证据入口、授权摘要</w:t>
            </w:r>
          </w:p>
        </w:tc>
      </w:tr>
      <w:tr w14:paraId="2D30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11B251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成员健康档案</w:t>
            </w:r>
          </w:p>
        </w:tc>
        <w:tc>
          <w:tcPr>
            <w:tcW w:w="1250" w:type="pct"/>
          </w:tcPr>
          <w:p w14:paraId="396AFAF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显示获权事实、来源、确认和时间线</w:t>
            </w:r>
          </w:p>
        </w:tc>
        <w:tc>
          <w:tcPr>
            <w:tcW w:w="1250" w:type="pct"/>
          </w:tcPr>
          <w:p w14:paraId="58298E5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字段级未授权与二次确认</w:t>
            </w:r>
          </w:p>
        </w:tc>
        <w:tc>
          <w:tcPr>
            <w:tcW w:w="1250" w:type="pct"/>
          </w:tcPr>
          <w:p w14:paraId="4D46B8E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来源事件、最后更新时间、可见范围</w:t>
            </w:r>
          </w:p>
        </w:tc>
      </w:tr>
      <w:tr w14:paraId="2443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AD96AC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视觉扫描中心</w:t>
            </w:r>
          </w:p>
        </w:tc>
        <w:tc>
          <w:tcPr>
            <w:tcW w:w="1250" w:type="pct"/>
          </w:tcPr>
          <w:p w14:paraId="41E2069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质量门控、多渠道证据和四态候选</w:t>
            </w:r>
          </w:p>
        </w:tc>
        <w:tc>
          <w:tcPr>
            <w:tcW w:w="1250" w:type="pct"/>
          </w:tcPr>
          <w:p w14:paraId="1722E44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QUEUED/处理中/四态/失败</w:t>
            </w:r>
          </w:p>
        </w:tc>
        <w:tc>
          <w:tcPr>
            <w:tcW w:w="1250" w:type="pct"/>
          </w:tcPr>
          <w:p w14:paraId="309D794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原图/帧、OCR、条码、包装、版本</w:t>
            </w:r>
          </w:p>
        </w:tc>
      </w:tr>
      <w:tr w14:paraId="1C6E8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40F73A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人工复核中心</w:t>
            </w:r>
          </w:p>
        </w:tc>
        <w:tc>
          <w:tcPr>
            <w:tcW w:w="1250" w:type="pct"/>
          </w:tcPr>
          <w:p w14:paraId="1FD3A3E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确认、修正、拒绝、训练同意</w:t>
            </w:r>
          </w:p>
        </w:tc>
        <w:tc>
          <w:tcPr>
            <w:tcW w:w="1250" w:type="pct"/>
          </w:tcPr>
          <w:p w14:paraId="1542D80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待复核/已确认/已修正/已跳过</w:t>
            </w:r>
          </w:p>
        </w:tc>
        <w:tc>
          <w:tcPr>
            <w:tcW w:w="1250" w:type="pct"/>
          </w:tcPr>
          <w:p w14:paraId="4065CCC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before/after、原因、操作者、独立训练同意</w:t>
            </w:r>
          </w:p>
        </w:tc>
      </w:tr>
      <w:tr w14:paraId="18ED7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693504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家庭健康图谱</w:t>
            </w:r>
          </w:p>
        </w:tc>
        <w:tc>
          <w:tcPr>
            <w:tcW w:w="1250" w:type="pct"/>
          </w:tcPr>
          <w:p w14:paraId="6C7AE98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已确认事实关系投影</w:t>
            </w:r>
          </w:p>
        </w:tc>
        <w:tc>
          <w:tcPr>
            <w:tcW w:w="1250" w:type="pct"/>
          </w:tcPr>
          <w:p w14:paraId="425E2CB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重建/待同步/未授权</w:t>
            </w:r>
          </w:p>
        </w:tc>
        <w:tc>
          <w:tcPr>
            <w:tcW w:w="1250" w:type="pct"/>
          </w:tcPr>
          <w:p w14:paraId="31E77E8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节点边来源事件、确认状态</w:t>
            </w:r>
          </w:p>
        </w:tc>
      </w:tr>
      <w:tr w14:paraId="57DBA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87CB3D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用药安全中心</w:t>
            </w:r>
          </w:p>
        </w:tc>
        <w:tc>
          <w:tcPr>
            <w:tcW w:w="1250" w:type="pct"/>
          </w:tcPr>
          <w:p w14:paraId="130CAEE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规则风险和证据</w:t>
            </w:r>
          </w:p>
        </w:tc>
        <w:tc>
          <w:tcPr>
            <w:tcW w:w="1250" w:type="pct"/>
          </w:tcPr>
          <w:p w14:paraId="689DAAC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四级风险/预算/处理状态</w:t>
            </w:r>
          </w:p>
        </w:tc>
        <w:tc>
          <w:tcPr>
            <w:tcW w:w="1250" w:type="pct"/>
          </w:tcPr>
          <w:p w14:paraId="03AE7C1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事实、规则、文档、确认、版本</w:t>
            </w:r>
          </w:p>
        </w:tc>
      </w:tr>
      <w:tr w14:paraId="05F4D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1B173A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健康计划中心</w:t>
            </w:r>
          </w:p>
        </w:tc>
        <w:tc>
          <w:tcPr>
            <w:tcW w:w="1250" w:type="pct"/>
          </w:tcPr>
          <w:p w14:paraId="2FADBCD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医嘱事实与提醒策略</w:t>
            </w:r>
          </w:p>
        </w:tc>
        <w:tc>
          <w:tcPr>
            <w:tcW w:w="1250" w:type="pct"/>
          </w:tcPr>
          <w:p w14:paraId="37320CF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确认/延期/跳过/升级</w:t>
            </w:r>
          </w:p>
        </w:tc>
        <w:tc>
          <w:tcPr>
            <w:tcW w:w="1250" w:type="pct"/>
          </w:tcPr>
          <w:p w14:paraId="16278A6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版本差异、安全时间窗、批准记录</w:t>
            </w:r>
          </w:p>
        </w:tc>
      </w:tr>
      <w:tr w14:paraId="31DE5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CC5762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本地健康助手</w:t>
            </w:r>
          </w:p>
        </w:tc>
        <w:tc>
          <w:tcPr>
            <w:tcW w:w="1250" w:type="pct"/>
          </w:tcPr>
          <w:p w14:paraId="5E51F16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先证据后解释</w:t>
            </w:r>
          </w:p>
        </w:tc>
        <w:tc>
          <w:tcPr>
            <w:tcW w:w="1250" w:type="pct"/>
          </w:tcPr>
          <w:p w14:paraId="08A6202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检索/工具/拒答/模型降级</w:t>
            </w:r>
          </w:p>
        </w:tc>
        <w:tc>
          <w:tcPr>
            <w:tcW w:w="1250" w:type="pct"/>
          </w:tcPr>
          <w:p w14:paraId="682D6DE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成员、可见范围、引用、免责声明</w:t>
            </w:r>
          </w:p>
        </w:tc>
      </w:tr>
      <w:tr w14:paraId="3FF2B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AD7AE2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家庭健康大屏</w:t>
            </w:r>
          </w:p>
        </w:tc>
        <w:tc>
          <w:tcPr>
            <w:tcW w:w="1250" w:type="pct"/>
          </w:tcPr>
          <w:p w14:paraId="7F4175E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非敏感聚合与运行状态</w:t>
            </w:r>
          </w:p>
        </w:tc>
        <w:tc>
          <w:tcPr>
            <w:tcW w:w="1250" w:type="pct"/>
          </w:tcPr>
          <w:p w14:paraId="0D55B17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公共模式/离线/错误</w:t>
            </w:r>
          </w:p>
        </w:tc>
        <w:tc>
          <w:tcPr>
            <w:tcW w:w="1250" w:type="pct"/>
          </w:tcPr>
          <w:p w14:paraId="2B859D5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任务数量、趋势、授权提示</w:t>
            </w:r>
          </w:p>
        </w:tc>
      </w:tr>
      <w:tr w14:paraId="1251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CE3EB3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模型实验室</w:t>
            </w:r>
          </w:p>
        </w:tc>
        <w:tc>
          <w:tcPr>
            <w:tcW w:w="1250" w:type="pct"/>
          </w:tcPr>
          <w:p w14:paraId="2EC337A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数据模型指标与发布回滚</w:t>
            </w:r>
          </w:p>
        </w:tc>
        <w:tc>
          <w:tcPr>
            <w:tcW w:w="1250" w:type="pct"/>
          </w:tcPr>
          <w:p w14:paraId="123AF4F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候选/评估/已批准/失败/已回滚</w:t>
            </w:r>
          </w:p>
        </w:tc>
        <w:tc>
          <w:tcPr>
            <w:tcW w:w="1250" w:type="pct"/>
          </w:tcPr>
          <w:p w14:paraId="7AD52FE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哈希、固定集、失败样本、版本</w:t>
            </w:r>
          </w:p>
          <w:p w14:paraId="5F9C82C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5F93BB29">
      <w:r>
        <w:rPr>
          <w:rFonts w:hint="eastAsia"/>
        </w:rPr>
        <w:t>所有页面必须用文字、图标和颜色共同表达状态；页面不得用旧缓存、假置信度、空白成功或固定回答掩盖依赖故障。授权设置是总览、成员档案和大屏共用的支撑视图，不形成独立的权限口径。</w:t>
      </w:r>
    </w:p>
    <w:p w14:paraId="417FEA70">
      <w:pPr>
        <w:pStyle w:val="2"/>
        <w:pageBreakBefore/>
      </w:pPr>
      <w:bookmarkStart w:id="31" w:name="_Toc237530761"/>
      <w:r>
        <w:rPr>
          <w:rFonts w:hint="eastAsia"/>
        </w:rPr>
        <w:t>性能需求</w:t>
      </w:r>
      <w:bookmarkEnd w:id="31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3019"/>
        <w:gridCol w:w="3022"/>
      </w:tblGrid>
      <w:tr w14:paraId="2447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D9D9D9"/>
          </w:tcPr>
          <w:p w14:paraId="63519CA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指标</w:t>
            </w:r>
          </w:p>
        </w:tc>
        <w:tc>
          <w:tcPr>
            <w:tcW w:w="1666" w:type="pct"/>
            <w:shd w:val="clear" w:color="auto" w:fill="D9D9D9"/>
          </w:tcPr>
          <w:p w14:paraId="4CF3CE4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P0 目标</w:t>
            </w:r>
          </w:p>
        </w:tc>
        <w:tc>
          <w:tcPr>
            <w:tcW w:w="1667" w:type="pct"/>
            <w:shd w:val="clear" w:color="auto" w:fill="D9D9D9"/>
          </w:tcPr>
          <w:p w14:paraId="403DF75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测量约束</w:t>
            </w:r>
          </w:p>
        </w:tc>
      </w:tr>
      <w:tr w14:paraId="4A7A6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3959C2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CPU 单图全流程 P95</w:t>
            </w:r>
          </w:p>
        </w:tc>
        <w:tc>
          <w:tcPr>
            <w:tcW w:w="1666" w:type="pct"/>
          </w:tcPr>
          <w:p w14:paraId="2D94F8C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≤ 8 秒</w:t>
            </w:r>
          </w:p>
        </w:tc>
        <w:tc>
          <w:tcPr>
            <w:tcW w:w="1667" w:type="pct"/>
          </w:tcPr>
          <w:p w14:paraId="4719F93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报告硬件、样本量、冷/热状态、模型/OCR版本</w:t>
            </w:r>
          </w:p>
        </w:tc>
      </w:tr>
      <w:tr w14:paraId="68329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</w:tcPr>
          <w:p w14:paraId="5509E48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药品包装 Recall</w:t>
            </w:r>
          </w:p>
        </w:tc>
        <w:tc>
          <w:tcPr>
            <w:tcW w:w="1666" w:type="pct"/>
          </w:tcPr>
          <w:p w14:paraId="7791F4A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95%</w:t>
            </w:r>
          </w:p>
        </w:tc>
        <w:tc>
          <w:tcPr>
            <w:tcW w:w="1667" w:type="pct"/>
          </w:tcPr>
          <w:p w14:paraId="3564699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只评价包装/条码辅助定位，不替代字段识别</w:t>
            </w:r>
          </w:p>
        </w:tc>
      </w:tr>
      <w:tr w14:paraId="7F50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7A00CB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受控集 mAP@0.5</w:t>
            </w:r>
          </w:p>
        </w:tc>
        <w:tc>
          <w:tcPr>
            <w:tcW w:w="1666" w:type="pct"/>
          </w:tcPr>
          <w:p w14:paraId="52141DF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90%</w:t>
            </w:r>
          </w:p>
        </w:tc>
        <w:tc>
          <w:tcPr>
            <w:tcW w:w="1667" w:type="pct"/>
          </w:tcPr>
          <w:p w14:paraId="68CF99E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按类别、样本量和置信区间报告</w:t>
            </w:r>
          </w:p>
        </w:tc>
      </w:tr>
      <w:tr w14:paraId="45DA9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ECF9B0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OCR 文本区域召回率</w:t>
            </w:r>
          </w:p>
        </w:tc>
        <w:tc>
          <w:tcPr>
            <w:tcW w:w="1666" w:type="pct"/>
          </w:tcPr>
          <w:p w14:paraId="5D7A6C4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95%</w:t>
            </w:r>
          </w:p>
        </w:tc>
        <w:tc>
          <w:tcPr>
            <w:tcW w:w="1667" w:type="pct"/>
          </w:tcPr>
          <w:p w14:paraId="3C989D6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保留原始文字框和版本</w:t>
            </w:r>
          </w:p>
        </w:tc>
      </w:tr>
      <w:tr w14:paraId="4E992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EF6F64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药名字段原始值保真率</w:t>
            </w:r>
          </w:p>
        </w:tc>
        <w:tc>
          <w:tcPr>
            <w:tcW w:w="1666" w:type="pct"/>
          </w:tcPr>
          <w:p w14:paraId="13534F5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95%</w:t>
            </w:r>
          </w:p>
        </w:tc>
        <w:tc>
          <w:tcPr>
            <w:tcW w:w="1667" w:type="pct"/>
          </w:tcPr>
          <w:p w14:paraId="7E16DFE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模型不得覆盖原 OCR</w:t>
            </w:r>
          </w:p>
        </w:tc>
      </w:tr>
      <w:tr w14:paraId="38ADE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37238E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药名字段完全匹配率</w:t>
            </w:r>
          </w:p>
        </w:tc>
        <w:tc>
          <w:tcPr>
            <w:tcW w:w="1666" w:type="pct"/>
          </w:tcPr>
          <w:p w14:paraId="2FFCCDA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90%</w:t>
            </w:r>
          </w:p>
        </w:tc>
        <w:tc>
          <w:tcPr>
            <w:tcW w:w="1667" w:type="pct"/>
          </w:tcPr>
          <w:p w14:paraId="106974A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使用冻结字段契约</w:t>
            </w:r>
          </w:p>
        </w:tc>
      </w:tr>
      <w:tr w14:paraId="4DF61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3648FD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有效期字段完全匹配率</w:t>
            </w:r>
          </w:p>
        </w:tc>
        <w:tc>
          <w:tcPr>
            <w:tcW w:w="1666" w:type="pct"/>
          </w:tcPr>
          <w:p w14:paraId="43EFBFE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88%</w:t>
            </w:r>
          </w:p>
        </w:tc>
        <w:tc>
          <w:tcPr>
            <w:tcW w:w="1667" w:type="pct"/>
          </w:tcPr>
          <w:p w14:paraId="5FA166E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覆盖不同日期格式和遮挡</w:t>
            </w:r>
          </w:p>
        </w:tc>
      </w:tr>
      <w:tr w14:paraId="7B2B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5ED0E3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良好图像条码解码率</w:t>
            </w:r>
          </w:p>
        </w:tc>
        <w:tc>
          <w:tcPr>
            <w:tcW w:w="1666" w:type="pct"/>
          </w:tcPr>
          <w:p w14:paraId="2247B7E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95%</w:t>
            </w:r>
          </w:p>
        </w:tc>
        <w:tc>
          <w:tcPr>
            <w:tcW w:w="1667" w:type="pct"/>
          </w:tcPr>
          <w:p w14:paraId="346754C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由专用解码器测量</w:t>
            </w:r>
          </w:p>
        </w:tc>
      </w:tr>
      <w:tr w14:paraId="15916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4656A2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自动通过结果精确率</w:t>
            </w:r>
          </w:p>
        </w:tc>
        <w:tc>
          <w:tcPr>
            <w:tcW w:w="1666" w:type="pct"/>
          </w:tcPr>
          <w:p w14:paraId="51A752A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99%</w:t>
            </w:r>
          </w:p>
        </w:tc>
        <w:tc>
          <w:tcPr>
            <w:tcW w:w="1667" w:type="pct"/>
          </w:tcPr>
          <w:p w14:paraId="1B1BD39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覆盖开放集和相似包装</w:t>
            </w:r>
          </w:p>
        </w:tc>
      </w:tr>
      <w:tr w14:paraId="48798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73A776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意图路由准确率</w:t>
            </w:r>
          </w:p>
        </w:tc>
        <w:tc>
          <w:tcPr>
            <w:tcW w:w="1666" w:type="pct"/>
          </w:tcPr>
          <w:p w14:paraId="6904541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92%</w:t>
            </w:r>
          </w:p>
        </w:tc>
        <w:tc>
          <w:tcPr>
            <w:tcW w:w="1667" w:type="pct"/>
          </w:tcPr>
          <w:p w14:paraId="661B82E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基础模型与 QLoRA 使用同一盲测集</w:t>
            </w:r>
          </w:p>
        </w:tc>
      </w:tr>
      <w:tr w14:paraId="49C7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9E5735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工具选择准确率</w:t>
            </w:r>
          </w:p>
        </w:tc>
        <w:tc>
          <w:tcPr>
            <w:tcW w:w="1666" w:type="pct"/>
          </w:tcPr>
          <w:p w14:paraId="7287902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90%</w:t>
            </w:r>
          </w:p>
        </w:tc>
        <w:tc>
          <w:tcPr>
            <w:tcW w:w="1667" w:type="pct"/>
          </w:tcPr>
          <w:p w14:paraId="55B2DCA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含越权与无证据场景</w:t>
            </w:r>
          </w:p>
        </w:tc>
      </w:tr>
      <w:tr w14:paraId="103CC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A2F774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工具参数完全正确率</w:t>
            </w:r>
          </w:p>
        </w:tc>
        <w:tc>
          <w:tcPr>
            <w:tcW w:w="1666" w:type="pct"/>
          </w:tcPr>
          <w:p w14:paraId="59FF6F3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88%</w:t>
            </w:r>
          </w:p>
        </w:tc>
        <w:tc>
          <w:tcPr>
            <w:tcW w:w="1667" w:type="pct"/>
          </w:tcPr>
          <w:p w14:paraId="3759EF4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字段、成员和目的精确匹配</w:t>
            </w:r>
          </w:p>
        </w:tc>
      </w:tr>
      <w:tr w14:paraId="148A1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5CD600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JSON Schema 合法率</w:t>
            </w:r>
          </w:p>
        </w:tc>
        <w:tc>
          <w:tcPr>
            <w:tcW w:w="1666" w:type="pct"/>
          </w:tcPr>
          <w:p w14:paraId="32EAC35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98%</w:t>
            </w:r>
          </w:p>
        </w:tc>
        <w:tc>
          <w:tcPr>
            <w:tcW w:w="1667" w:type="pct"/>
          </w:tcPr>
          <w:p w14:paraId="7354BAA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后端校验后统计</w:t>
            </w:r>
          </w:p>
        </w:tc>
      </w:tr>
      <w:tr w14:paraId="63B36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0E2582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单盒拍摄到确认中位时间</w:t>
            </w:r>
          </w:p>
        </w:tc>
        <w:tc>
          <w:tcPr>
            <w:tcW w:w="1666" w:type="pct"/>
          </w:tcPr>
          <w:p w14:paraId="565BC04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≤ 60 秒</w:t>
            </w:r>
          </w:p>
        </w:tc>
        <w:tc>
          <w:tcPr>
            <w:tcW w:w="1667" w:type="pct"/>
          </w:tcPr>
          <w:p w14:paraId="18ED53C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包含复核操作但不含用户长时间离开</w:t>
            </w:r>
          </w:p>
        </w:tc>
      </w:tr>
      <w:tr w14:paraId="5704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3AEF53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重复告警合并率</w:t>
            </w:r>
          </w:p>
        </w:tc>
        <w:tc>
          <w:tcPr>
            <w:tcW w:w="1666" w:type="pct"/>
          </w:tcPr>
          <w:p w14:paraId="1A01F07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≥ 90%</w:t>
            </w:r>
          </w:p>
        </w:tc>
        <w:tc>
          <w:tcPr>
            <w:tcW w:w="1667" w:type="pct"/>
          </w:tcPr>
          <w:p w14:paraId="5771A7A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HIGH/URGENT 不计入普通预算压制</w:t>
            </w:r>
          </w:p>
          <w:p w14:paraId="3E3A20B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72A19C40">
      <w:r>
        <w:rPr>
          <w:rFonts w:hint="eastAsia"/>
        </w:rPr>
        <w:t>数据库、API 页面加载和并发预算仍须由资源原型与阶段验收冻结；没有测量证据时不写具体毫秒承诺。</w:t>
      </w:r>
    </w:p>
    <w:p w14:paraId="3CF448D9">
      <w:pPr>
        <w:pStyle w:val="2"/>
        <w:pageBreakBefore/>
      </w:pPr>
      <w:bookmarkStart w:id="32" w:name="_Toc237530762"/>
      <w:r>
        <w:rPr>
          <w:rFonts w:hint="eastAsia"/>
        </w:rPr>
        <w:t>可靠性需求</w:t>
      </w:r>
      <w:bookmarkEnd w:id="32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5"/>
        <w:gridCol w:w="2265"/>
      </w:tblGrid>
      <w:tr w14:paraId="60B5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D9D9D9"/>
          </w:tcPr>
          <w:p w14:paraId="029B819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故障/风险</w:t>
            </w:r>
          </w:p>
        </w:tc>
        <w:tc>
          <w:tcPr>
            <w:tcW w:w="1250" w:type="pct"/>
            <w:shd w:val="clear" w:color="auto" w:fill="D9D9D9"/>
          </w:tcPr>
          <w:p w14:paraId="22C6CEF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要求行为</w:t>
            </w:r>
          </w:p>
        </w:tc>
        <w:tc>
          <w:tcPr>
            <w:tcW w:w="1250" w:type="pct"/>
            <w:shd w:val="clear" w:color="auto" w:fill="D9D9D9"/>
          </w:tcPr>
          <w:p w14:paraId="3FFE255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禁止行为</w:t>
            </w:r>
          </w:p>
        </w:tc>
        <w:tc>
          <w:tcPr>
            <w:tcW w:w="1250" w:type="pct"/>
            <w:shd w:val="clear" w:color="auto" w:fill="D9D9D9"/>
          </w:tcPr>
          <w:p w14:paraId="13EC062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验收重点</w:t>
            </w:r>
          </w:p>
        </w:tc>
      </w:tr>
      <w:tr w14:paraId="75E95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66D290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重复写请求</w:t>
            </w:r>
          </w:p>
        </w:tc>
        <w:tc>
          <w:tcPr>
            <w:tcW w:w="1250" w:type="pct"/>
          </w:tcPr>
          <w:p w14:paraId="14CC12C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使用幂等键和请求指纹返回原结果或冲突</w:t>
            </w:r>
          </w:p>
        </w:tc>
        <w:tc>
          <w:tcPr>
            <w:tcW w:w="1250" w:type="pct"/>
          </w:tcPr>
          <w:p w14:paraId="73F9A50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重复创建健康事实</w:t>
            </w:r>
          </w:p>
        </w:tc>
        <w:tc>
          <w:tcPr>
            <w:tcW w:w="1250" w:type="pct"/>
          </w:tcPr>
          <w:p w14:paraId="4B3CC89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相同/冲突 key 回归</w:t>
            </w:r>
          </w:p>
        </w:tc>
      </w:tr>
      <w:tr w14:paraId="521A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391461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worker 中断</w:t>
            </w:r>
          </w:p>
        </w:tc>
        <w:tc>
          <w:tcPr>
            <w:tcW w:w="1250" w:type="pct"/>
          </w:tcPr>
          <w:p w14:paraId="473B1C8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回收过期锁，按序重试，稳定错误码</w:t>
            </w:r>
          </w:p>
        </w:tc>
        <w:tc>
          <w:tcPr>
            <w:tcW w:w="1250" w:type="pct"/>
          </w:tcPr>
          <w:p w14:paraId="41C1382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丢失事件或打印 payload</w:t>
            </w:r>
          </w:p>
        </w:tc>
        <w:tc>
          <w:tcPr>
            <w:tcW w:w="1250" w:type="pct"/>
          </w:tcPr>
          <w:p w14:paraId="2C9458A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FAILED/PROCESSING 恢复</w:t>
            </w:r>
          </w:p>
        </w:tc>
      </w:tr>
      <w:tr w14:paraId="491C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FC033A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投影损坏</w:t>
            </w:r>
          </w:p>
        </w:tc>
        <w:tc>
          <w:tcPr>
            <w:tcW w:w="1250" w:type="pct"/>
          </w:tcPr>
          <w:p w14:paraId="3B89F28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从事件或 checkpoint 重建并比较哈希</w:t>
            </w:r>
          </w:p>
        </w:tc>
        <w:tc>
          <w:tcPr>
            <w:tcW w:w="1250" w:type="pct"/>
          </w:tcPr>
          <w:p w14:paraId="362AA1E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用投影反写事实</w:t>
            </w:r>
          </w:p>
        </w:tc>
        <w:tc>
          <w:tcPr>
            <w:tcW w:w="1250" w:type="pct"/>
          </w:tcPr>
          <w:p w14:paraId="1C92DC5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空状态和 checkpoint 重放</w:t>
            </w:r>
          </w:p>
        </w:tc>
      </w:tr>
      <w:tr w14:paraId="6947A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90F7F3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视觉/OCR 离线</w:t>
            </w:r>
          </w:p>
        </w:tc>
        <w:tc>
          <w:tcPr>
            <w:tcW w:w="1250" w:type="pct"/>
          </w:tcPr>
          <w:p w14:paraId="1290F62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任务保留、明确降级、允许手工录入</w:t>
            </w:r>
          </w:p>
        </w:tc>
        <w:tc>
          <w:tcPr>
            <w:tcW w:w="1250" w:type="pct"/>
          </w:tcPr>
          <w:p w14:paraId="5E3F98A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返回伪造候选</w:t>
            </w:r>
          </w:p>
        </w:tc>
        <w:tc>
          <w:tcPr>
            <w:tcW w:w="1250" w:type="pct"/>
          </w:tcPr>
          <w:p w14:paraId="48CFDC6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依赖故障场景</w:t>
            </w:r>
          </w:p>
        </w:tc>
      </w:tr>
      <w:tr w14:paraId="7523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0" w:type="pct"/>
          </w:tcPr>
          <w:p w14:paraId="7DB608A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向量库离线</w:t>
            </w:r>
          </w:p>
        </w:tc>
        <w:tc>
          <w:tcPr>
            <w:tcW w:w="1250" w:type="pct"/>
          </w:tcPr>
          <w:p w14:paraId="4B76038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停止证据问答，保留事实和规则</w:t>
            </w:r>
          </w:p>
        </w:tc>
        <w:tc>
          <w:tcPr>
            <w:tcW w:w="1250" w:type="pct"/>
          </w:tcPr>
          <w:p w14:paraId="0971E90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让模型用常识补答</w:t>
            </w:r>
          </w:p>
        </w:tc>
        <w:tc>
          <w:tcPr>
            <w:tcW w:w="1250" w:type="pct"/>
          </w:tcPr>
          <w:p w14:paraId="7206422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MODEL_UNAVAILABLE/结构化降级</w:t>
            </w:r>
          </w:p>
        </w:tc>
      </w:tr>
      <w:tr w14:paraId="6C6D8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D0F323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Ollama 离线</w:t>
            </w:r>
          </w:p>
        </w:tc>
        <w:tc>
          <w:tcPr>
            <w:tcW w:w="1250" w:type="pct"/>
          </w:tcPr>
          <w:p w14:paraId="4B06830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展示结构化事实、规则、引用和任务</w:t>
            </w:r>
          </w:p>
        </w:tc>
        <w:tc>
          <w:tcPr>
            <w:tcW w:w="1250" w:type="pct"/>
          </w:tcPr>
          <w:p w14:paraId="53DCB68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自动转发云端</w:t>
            </w:r>
          </w:p>
        </w:tc>
        <w:tc>
          <w:tcPr>
            <w:tcW w:w="1250" w:type="pct"/>
          </w:tcPr>
          <w:p w14:paraId="5553018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无外部网络请求</w:t>
            </w:r>
          </w:p>
        </w:tc>
      </w:tr>
      <w:tr w14:paraId="51E2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213C45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天气失败</w:t>
            </w:r>
          </w:p>
        </w:tc>
        <w:tc>
          <w:tcPr>
            <w:tcW w:w="1250" w:type="pct"/>
          </w:tcPr>
          <w:p w14:paraId="0B61548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不生成新行动卡，不影响核心链</w:t>
            </w:r>
          </w:p>
        </w:tc>
        <w:tc>
          <w:tcPr>
            <w:tcW w:w="1250" w:type="pct"/>
          </w:tcPr>
          <w:p w14:paraId="2FF51EC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重复生成或上传健康详情</w:t>
            </w:r>
          </w:p>
        </w:tc>
        <w:tc>
          <w:tcPr>
            <w:tcW w:w="1250" w:type="pct"/>
          </w:tcPr>
          <w:p w14:paraId="69AAA0A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超时/无数据</w:t>
            </w:r>
          </w:p>
        </w:tc>
      </w:tr>
      <w:tr w14:paraId="3A275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D5EA25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撤权/删除</w:t>
            </w:r>
          </w:p>
        </w:tc>
        <w:tc>
          <w:tcPr>
            <w:tcW w:w="1250" w:type="pct"/>
          </w:tcPr>
          <w:p w14:paraId="32876D9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立即拒绝并传播到缓存/索引/通知/可控备份</w:t>
            </w:r>
          </w:p>
        </w:tc>
        <w:tc>
          <w:tcPr>
            <w:tcW w:w="1250" w:type="pct"/>
          </w:tcPr>
          <w:p w14:paraId="1084803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继续返回旧缓存</w:t>
            </w:r>
          </w:p>
        </w:tc>
        <w:tc>
          <w:tcPr>
            <w:tcW w:w="1250" w:type="pct"/>
          </w:tcPr>
          <w:p w14:paraId="4636AA1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撤权、删除任务状态</w:t>
            </w:r>
          </w:p>
        </w:tc>
      </w:tr>
      <w:tr w14:paraId="760F2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38053A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迁移失败</w:t>
            </w:r>
          </w:p>
        </w:tc>
        <w:tc>
          <w:tcPr>
            <w:tcW w:w="1250" w:type="pct"/>
          </w:tcPr>
          <w:p w14:paraId="3D172F5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保留备份、支持兼容应用或前滚修复</w:t>
            </w:r>
          </w:p>
        </w:tc>
        <w:tc>
          <w:tcPr>
            <w:tcW w:w="1250" w:type="pct"/>
          </w:tcPr>
          <w:p w14:paraId="3D7F595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有事实数据时破坏性降级</w:t>
            </w:r>
          </w:p>
        </w:tc>
        <w:tc>
          <w:tcPr>
            <w:tcW w:w="1250" w:type="pct"/>
          </w:tcPr>
          <w:p w14:paraId="5992744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空库/已有数据升级</w:t>
            </w:r>
          </w:p>
          <w:p w14:paraId="6283D1A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3DB032FC">
      <w:pPr>
        <w:pStyle w:val="2"/>
        <w:pageBreakBefore/>
      </w:pPr>
      <w:bookmarkStart w:id="33" w:name="_Toc237530763"/>
      <w:r>
        <w:rPr>
          <w:rFonts w:hint="eastAsia"/>
        </w:rPr>
        <w:t>安全与隐私需求</w:t>
      </w:r>
      <w:bookmarkEnd w:id="33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5EA1E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shd w:val="clear" w:color="auto" w:fill="D9D9D9"/>
          </w:tcPr>
          <w:p w14:paraId="2BA0C5E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控制域</w:t>
            </w:r>
          </w:p>
        </w:tc>
        <w:tc>
          <w:tcPr>
            <w:tcW w:w="2500" w:type="pct"/>
            <w:shd w:val="clear" w:color="auto" w:fill="D9D9D9"/>
          </w:tcPr>
          <w:p w14:paraId="51D4753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要求</w:t>
            </w:r>
          </w:p>
        </w:tc>
      </w:tr>
      <w:tr w14:paraId="53EE0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4B9347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数据分级</w:t>
            </w:r>
          </w:p>
        </w:tc>
        <w:tc>
          <w:tcPr>
            <w:tcW w:w="2500" w:type="pct"/>
          </w:tcPr>
          <w:p w14:paraId="501F182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D0 公开资料登记来源/许可/哈希；D1 内部数据限团队；D2 健康事实加密并成员级授权；D3 原始报告/视频/密钥/备份单独密钥、最短留存、禁止进日志。</w:t>
            </w:r>
          </w:p>
        </w:tc>
      </w:tr>
      <w:tr w14:paraId="6D8CB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D56EDD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身份与会话</w:t>
            </w:r>
          </w:p>
        </w:tc>
        <w:tc>
          <w:tcPr>
            <w:tcW w:w="2500" w:type="pct"/>
          </w:tcPr>
          <w:p w14:paraId="3AEE931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密码使用安全哈希；访问令牌短期有效并支持轮换；高敏查看、导出和关键操作要求二次确认；认证失败限流。</w:t>
            </w:r>
          </w:p>
        </w:tc>
      </w:tr>
      <w:tr w14:paraId="039A3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B577E8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对象授权</w:t>
            </w:r>
          </w:p>
        </w:tc>
        <w:tc>
          <w:tcPr>
            <w:tcW w:w="2500" w:type="pct"/>
          </w:tcPr>
          <w:p w14:paraId="769D177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所有成员资源执行家庭边界、Owner/非 Owner、成员、字段、动作、目的、期限和撤权检查；前端隐藏不构成授权。</w:t>
            </w:r>
          </w:p>
        </w:tc>
      </w:tr>
      <w:tr w14:paraId="4D7FB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DA57F9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上传</w:t>
            </w:r>
          </w:p>
        </w:tc>
        <w:tc>
          <w:tcPr>
            <w:tcW w:w="2500" w:type="pct"/>
          </w:tcPr>
          <w:p w14:paraId="611DC0F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MIME 白名单、扩展与魔数一致、大小/像素/时长限制、随机存储键、路径穿越防护、恶意内容与解压炸弹检查。</w:t>
            </w:r>
          </w:p>
        </w:tc>
      </w:tr>
      <w:tr w14:paraId="4F89B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6A894A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网络出口</w:t>
            </w:r>
          </w:p>
        </w:tc>
        <w:tc>
          <w:tcPr>
            <w:tcW w:w="2500" w:type="pct"/>
          </w:tcPr>
          <w:p w14:paraId="7C5B243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默认拒绝；仅显式白名单适配器可出网；天气只发送城市/区县编码；记录目的、数据分类、授权依据、请求摘要和结果。</w:t>
            </w:r>
          </w:p>
        </w:tc>
      </w:tr>
      <w:tr w14:paraId="1082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2568C4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日志与审计</w:t>
            </w:r>
          </w:p>
        </w:tc>
        <w:tc>
          <w:tcPr>
            <w:tcW w:w="2500" w:type="pct"/>
          </w:tcPr>
          <w:p w14:paraId="7D5066B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只记录 request_id、对象 ID、动作、版本和结果；不记录报告正文、完整 OCR、提示词上下文、令牌和模型 payload。</w:t>
            </w:r>
          </w:p>
        </w:tc>
      </w:tr>
      <w:tr w14:paraId="750F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81DA9C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知识与模型</w:t>
            </w:r>
          </w:p>
        </w:tc>
        <w:tc>
          <w:tcPr>
            <w:tcW w:w="2500" w:type="pct"/>
          </w:tcPr>
          <w:p w14:paraId="250612E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知识来源、许可、版本、哈希、权限域和失效时间齐全；文档内提示词视为数据；模型/规则/知识均可回滚。</w:t>
            </w:r>
          </w:p>
        </w:tc>
      </w:tr>
      <w:tr w14:paraId="730C6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F29634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事件响应</w:t>
            </w:r>
          </w:p>
        </w:tc>
        <w:tc>
          <w:tcPr>
            <w:tcW w:w="2500" w:type="pct"/>
          </w:tcPr>
          <w:p w14:paraId="71D2F53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泄露、越权、错误规则或危险回答发生时隔离入口/版本、保全最小审计、评估影响、回滚、通知、修复和回归。</w:t>
            </w:r>
          </w:p>
          <w:p w14:paraId="4515DEA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3DC0F879">
      <w:pPr>
        <w:pStyle w:val="2"/>
        <w:pageBreakBefore/>
      </w:pPr>
      <w:bookmarkStart w:id="34" w:name="_Toc237530764"/>
      <w:r>
        <w:rPr>
          <w:rFonts w:hint="eastAsia"/>
        </w:rPr>
        <w:t>可用性与可访问性需求</w:t>
      </w:r>
      <w:bookmarkEnd w:id="34"/>
    </w:p>
    <w:p w14:paraId="2F091466">
      <w:r>
        <w:rPr>
          <w:rFonts w:hint="eastAsia"/>
        </w:rPr>
        <w:t>• 基础档在 LLM、向量库、视觉或天气离线时仍能管理家庭事实、授权、事件、规则和任务。</w:t>
      </w:r>
    </w:p>
    <w:p w14:paraId="0A6049C0">
      <w:r>
        <w:rPr>
          <w:rFonts w:hint="eastAsia"/>
        </w:rPr>
        <w:t>• 正常、加载、空、错误、离线、未授权和低置信状态具有稳定尺寸和明确文案，不闪现其他家庭缓存。</w:t>
      </w:r>
    </w:p>
    <w:p w14:paraId="2AFA032C">
      <w:r>
        <w:rPr>
          <w:rFonts w:hint="eastAsia"/>
        </w:rPr>
        <w:t>• 风险、证据、确认和拒答不只依赖颜色；键盘可以完成主要流程；交互控件有可读名称和焦点状态。</w:t>
      </w:r>
    </w:p>
    <w:p w14:paraId="54588035">
      <w:r>
        <w:rPr>
          <w:rFonts w:hint="eastAsia"/>
        </w:rPr>
        <w:t>• 敏感字段被隐藏时只显示未获授权，不泄露该字段是否存在；错误响应提供 request_id 和可执行重试动作。</w:t>
      </w:r>
    </w:p>
    <w:p w14:paraId="623B4732">
      <w:r>
        <w:rPr>
          <w:rFonts w:hint="eastAsia"/>
        </w:rPr>
        <w:t>• 所有医疗相关页面显示教学演示边界；危险请求引导联系现有医生、药师或当地急救服务。</w:t>
      </w:r>
    </w:p>
    <w:p w14:paraId="1727301E">
      <w:pPr>
        <w:pStyle w:val="2"/>
        <w:pageBreakBefore/>
      </w:pPr>
      <w:bookmarkStart w:id="35" w:name="_Toc237530765"/>
      <w:r>
        <w:rPr>
          <w:rFonts w:hint="eastAsia"/>
        </w:rPr>
        <w:t>运行环境需求</w:t>
      </w:r>
      <w:bookmarkEnd w:id="35"/>
    </w:p>
    <w:p w14:paraId="556DB867">
      <w:pPr>
        <w:pStyle w:val="3"/>
      </w:pPr>
      <w:bookmarkStart w:id="36" w:name="_Toc237530766"/>
      <w:r>
        <w:rPr>
          <w:rFonts w:hint="eastAsia"/>
        </w:rPr>
        <w:t>硬件环境</w:t>
      </w:r>
      <w:bookmarkEnd w:id="36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5"/>
        <w:gridCol w:w="2265"/>
      </w:tblGrid>
      <w:tr w14:paraId="4811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D9D9D9"/>
          </w:tcPr>
          <w:p w14:paraId="6D48288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档位</w:t>
            </w:r>
          </w:p>
        </w:tc>
        <w:tc>
          <w:tcPr>
            <w:tcW w:w="1250" w:type="pct"/>
            <w:shd w:val="clear" w:color="auto" w:fill="D9D9D9"/>
          </w:tcPr>
          <w:p w14:paraId="0447861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最低/建议资源</w:t>
            </w:r>
          </w:p>
        </w:tc>
        <w:tc>
          <w:tcPr>
            <w:tcW w:w="1250" w:type="pct"/>
            <w:shd w:val="clear" w:color="auto" w:fill="D9D9D9"/>
          </w:tcPr>
          <w:p w14:paraId="46F0832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适用能力</w:t>
            </w:r>
          </w:p>
        </w:tc>
        <w:tc>
          <w:tcPr>
            <w:tcW w:w="1250" w:type="pct"/>
            <w:shd w:val="clear" w:color="auto" w:fill="D9D9D9"/>
          </w:tcPr>
          <w:p w14:paraId="13E4B56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当前证据边界</w:t>
            </w:r>
          </w:p>
        </w:tc>
      </w:tr>
      <w:tr w14:paraId="50C9A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076E13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基础档</w:t>
            </w:r>
          </w:p>
        </w:tc>
        <w:tc>
          <w:tcPr>
            <w:tcW w:w="1250" w:type="pct"/>
          </w:tcPr>
          <w:p w14:paraId="7BAB8E0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x64、4 逻辑核、8 GiB RAM、20 GiB 可用磁盘</w:t>
            </w:r>
          </w:p>
        </w:tc>
        <w:tc>
          <w:tcPr>
            <w:tcW w:w="1250" w:type="pct"/>
          </w:tcPr>
          <w:p w14:paraId="7F750E4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Web、API、worker、MySQL、规则、轻量 OCR 和加密文件</w:t>
            </w:r>
          </w:p>
        </w:tc>
        <w:tc>
          <w:tcPr>
            <w:tcW w:w="1250" w:type="pct"/>
          </w:tcPr>
          <w:p w14:paraId="48B131A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当前设备已完成工程和资源探针；不代表正式视觉性能</w:t>
            </w:r>
          </w:p>
        </w:tc>
      </w:tr>
      <w:tr w14:paraId="42A88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35BE7F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增强档</w:t>
            </w:r>
          </w:p>
        </w:tc>
        <w:tc>
          <w:tcPr>
            <w:tcW w:w="1250" w:type="pct"/>
          </w:tcPr>
          <w:p w14:paraId="57DE4E6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建议 16 GiB RAM；7B Q4 模型约需 5 GiB 显存/内存，建议 8 GiB 以上可用显存</w:t>
            </w:r>
          </w:p>
        </w:tc>
        <w:tc>
          <w:tcPr>
            <w:tcW w:w="1250" w:type="pct"/>
          </w:tcPr>
          <w:p w14:paraId="0673ED8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基础档 + 本地向量检索 + Ollama</w:t>
            </w:r>
          </w:p>
        </w:tc>
        <w:tc>
          <w:tcPr>
            <w:tcW w:w="1250" w:type="pct"/>
          </w:tcPr>
          <w:p w14:paraId="286B97B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qwen2.5:7b 本地握手为资源原型，不等同于助手业务验收</w:t>
            </w:r>
          </w:p>
        </w:tc>
      </w:tr>
      <w:tr w14:paraId="19430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70D806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研发档</w:t>
            </w:r>
          </w:p>
        </w:tc>
        <w:tc>
          <w:tcPr>
            <w:tcW w:w="1250" w:type="pct"/>
          </w:tcPr>
          <w:p w14:paraId="3C04DAA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独立 GPU 工作站或受控短时训练资源、授权数据与模型制品存储</w:t>
            </w:r>
          </w:p>
        </w:tc>
        <w:tc>
          <w:tcPr>
            <w:tcW w:w="1250" w:type="pct"/>
          </w:tcPr>
          <w:p w14:paraId="2145C2B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标注、训练、固定集评测和模型登记</w:t>
            </w:r>
          </w:p>
        </w:tc>
        <w:tc>
          <w:tcPr>
            <w:tcW w:w="1250" w:type="pct"/>
          </w:tcPr>
          <w:p w14:paraId="0C4CA6B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家庭运行机不得自动训练</w:t>
            </w:r>
          </w:p>
          <w:p w14:paraId="73A4EDC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3B256CB6">
      <w:pPr>
        <w:pStyle w:val="3"/>
      </w:pPr>
      <w:bookmarkStart w:id="37" w:name="_Toc237530767"/>
      <w:r>
        <w:rPr>
          <w:rFonts w:hint="eastAsia"/>
        </w:rPr>
        <w:t>软件环境</w:t>
      </w:r>
      <w:bookmarkEnd w:id="3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3019"/>
        <w:gridCol w:w="3022"/>
      </w:tblGrid>
      <w:tr w14:paraId="24CA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D9D9D9"/>
          </w:tcPr>
          <w:p w14:paraId="25C8434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层</w:t>
            </w:r>
          </w:p>
        </w:tc>
        <w:tc>
          <w:tcPr>
            <w:tcW w:w="1666" w:type="pct"/>
            <w:shd w:val="clear" w:color="auto" w:fill="D9D9D9"/>
          </w:tcPr>
          <w:p w14:paraId="0ECAE23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软件基线</w:t>
            </w:r>
          </w:p>
        </w:tc>
        <w:tc>
          <w:tcPr>
            <w:tcW w:w="1667" w:type="pct"/>
            <w:shd w:val="clear" w:color="auto" w:fill="D9D9D9"/>
          </w:tcPr>
          <w:p w14:paraId="18558B3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约束</w:t>
            </w:r>
          </w:p>
        </w:tc>
      </w:tr>
      <w:tr w14:paraId="081B2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2522C5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客户端</w:t>
            </w:r>
          </w:p>
        </w:tc>
        <w:tc>
          <w:tcPr>
            <w:tcW w:w="1666" w:type="pct"/>
          </w:tcPr>
          <w:p w14:paraId="257B069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现代 Chromium 浏览器；Vue 3、TypeScript、Vite、Element Plus、ECharts</w:t>
            </w:r>
          </w:p>
        </w:tc>
        <w:tc>
          <w:tcPr>
            <w:tcW w:w="1667" w:type="pct"/>
          </w:tcPr>
          <w:p w14:paraId="7BB9205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只调用 /api/v1，不直连数据库、向量库或 Ollama</w:t>
            </w:r>
          </w:p>
        </w:tc>
      </w:tr>
      <w:tr w14:paraId="7D992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5DF767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服务端</w:t>
            </w:r>
          </w:p>
        </w:tc>
        <w:tc>
          <w:tcPr>
            <w:tcW w:w="1666" w:type="pct"/>
          </w:tcPr>
          <w:p w14:paraId="38D0A71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Python 3.11、FastAPI、Pydantic、SQLAlchemy 2、Alembic</w:t>
            </w:r>
          </w:p>
        </w:tc>
        <w:tc>
          <w:tcPr>
            <w:tcW w:w="1667" w:type="pct"/>
          </w:tcPr>
          <w:p w14:paraId="37A6305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统一授权、事务、证据和输出校验</w:t>
            </w:r>
          </w:p>
        </w:tc>
      </w:tr>
      <w:tr w14:paraId="10932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6BCC34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事实库</w:t>
            </w:r>
          </w:p>
        </w:tc>
        <w:tc>
          <w:tcPr>
            <w:tcW w:w="1666" w:type="pct"/>
          </w:tcPr>
          <w:p w14:paraId="429DA58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MySQL 8.4，utf8mb4，UTC</w:t>
            </w:r>
          </w:p>
        </w:tc>
        <w:tc>
          <w:tcPr>
            <w:tcW w:w="1667" w:type="pct"/>
          </w:tcPr>
          <w:p w14:paraId="34E3572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唯一事实主库；迁移和备份可复现</w:t>
            </w:r>
          </w:p>
        </w:tc>
      </w:tr>
      <w:tr w14:paraId="26D9E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9666C4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视觉</w:t>
            </w:r>
          </w:p>
        </w:tc>
        <w:tc>
          <w:tcPr>
            <w:tcW w:w="1666" w:type="pct"/>
          </w:tcPr>
          <w:p w14:paraId="6955502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OpenCV；PaddleOCR/本地 OCR；专用条码库；YOLO11n 辅助</w:t>
            </w:r>
          </w:p>
        </w:tc>
        <w:tc>
          <w:tcPr>
            <w:tcW w:w="1667" w:type="pct"/>
          </w:tcPr>
          <w:p w14:paraId="08F129B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正式版本、阈值和许可须经固定集验收</w:t>
            </w:r>
          </w:p>
        </w:tc>
      </w:tr>
      <w:tr w14:paraId="3AEE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042D32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检索/模型</w:t>
            </w:r>
          </w:p>
        </w:tc>
        <w:tc>
          <w:tcPr>
            <w:tcW w:w="1666" w:type="pct"/>
          </w:tcPr>
          <w:p w14:paraId="6EAA2E4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FAISS 起步，Qdrant 为服务化候选；Ollama 本地量化模型；LLaMA Factory QLoRA</w:t>
            </w:r>
          </w:p>
        </w:tc>
        <w:tc>
          <w:tcPr>
            <w:tcW w:w="1667" w:type="pct"/>
          </w:tcPr>
          <w:p w14:paraId="11BDD70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增强档可选；不得成为事实源或云端默认回退</w:t>
            </w:r>
          </w:p>
        </w:tc>
      </w:tr>
      <w:tr w14:paraId="2B616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</w:tcPr>
          <w:p w14:paraId="7433501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部署</w:t>
            </w:r>
          </w:p>
        </w:tc>
        <w:tc>
          <w:tcPr>
            <w:tcW w:w="1666" w:type="pct"/>
          </w:tcPr>
          <w:p w14:paraId="6F93FD0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Docker Compose、Nginx、跨平台 start.ps1/start.sh</w:t>
            </w:r>
          </w:p>
        </w:tc>
        <w:tc>
          <w:tcPr>
            <w:tcW w:w="1667" w:type="pct"/>
          </w:tcPr>
          <w:p w14:paraId="1B5F202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内部服务仅本机/容器网络，Nginx 是唯一用户入口</w:t>
            </w:r>
          </w:p>
        </w:tc>
      </w:tr>
      <w:tr w14:paraId="48465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30380D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测试</w:t>
            </w:r>
          </w:p>
        </w:tc>
        <w:tc>
          <w:tcPr>
            <w:tcW w:w="1666" w:type="pct"/>
          </w:tcPr>
          <w:p w14:paraId="4871FCF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pytest、httpx、Playwright、固定视觉/LLM/安全评估集</w:t>
            </w:r>
          </w:p>
        </w:tc>
        <w:tc>
          <w:tcPr>
            <w:tcW w:w="1667" w:type="pct"/>
          </w:tcPr>
          <w:p w14:paraId="580343A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测试环境、版本、样本哈希和结果可定位</w:t>
            </w:r>
          </w:p>
          <w:p w14:paraId="10487F3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4CCD59B4">
      <w:pPr>
        <w:pStyle w:val="2"/>
        <w:pageBreakBefore/>
      </w:pPr>
      <w:bookmarkStart w:id="38" w:name="_Toc237530768"/>
      <w:r>
        <w:rPr>
          <w:rFonts w:hint="eastAsia"/>
        </w:rPr>
        <w:t>验收与需求追踪</w:t>
      </w:r>
      <w:bookmarkEnd w:id="3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  <w:gridCol w:w="2265"/>
        <w:gridCol w:w="2265"/>
      </w:tblGrid>
      <w:tr w14:paraId="2903D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D9D9D9"/>
          </w:tcPr>
          <w:p w14:paraId="7CF7380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编号</w:t>
            </w:r>
          </w:p>
        </w:tc>
        <w:tc>
          <w:tcPr>
            <w:tcW w:w="1250" w:type="pct"/>
            <w:shd w:val="clear" w:color="auto" w:fill="D9D9D9"/>
          </w:tcPr>
          <w:p w14:paraId="332DB5D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验收主题</w:t>
            </w:r>
          </w:p>
        </w:tc>
        <w:tc>
          <w:tcPr>
            <w:tcW w:w="1250" w:type="pct"/>
            <w:shd w:val="clear" w:color="auto" w:fill="D9D9D9"/>
          </w:tcPr>
          <w:p w14:paraId="7BA4F93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核心证据</w:t>
            </w:r>
          </w:p>
        </w:tc>
        <w:tc>
          <w:tcPr>
            <w:tcW w:w="1250" w:type="pct"/>
            <w:shd w:val="clear" w:color="auto" w:fill="D9D9D9"/>
          </w:tcPr>
          <w:p w14:paraId="02F9176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发布阻断</w:t>
            </w:r>
          </w:p>
        </w:tc>
      </w:tr>
      <w:tr w14:paraId="4A366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266FD1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FR-01</w:t>
            </w:r>
          </w:p>
        </w:tc>
        <w:tc>
          <w:tcPr>
            <w:tcW w:w="1250" w:type="pct"/>
          </w:tcPr>
          <w:p w14:paraId="140834F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家庭/字段授权</w:t>
            </w:r>
          </w:p>
        </w:tc>
        <w:tc>
          <w:tcPr>
            <w:tcW w:w="1250" w:type="pct"/>
          </w:tcPr>
          <w:p w14:paraId="19E4F13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跨家庭、Owner/非 Owner、撤权、过期、字段过滤和审计测试</w:t>
            </w:r>
          </w:p>
        </w:tc>
        <w:tc>
          <w:tcPr>
            <w:tcW w:w="1250" w:type="pct"/>
          </w:tcPr>
          <w:p w14:paraId="7F06FD7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任一越权或撤权失效</w:t>
            </w:r>
          </w:p>
        </w:tc>
      </w:tr>
      <w:tr w14:paraId="3E056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3CC547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FR-02</w:t>
            </w:r>
          </w:p>
        </w:tc>
        <w:tc>
          <w:tcPr>
            <w:tcW w:w="1250" w:type="pct"/>
          </w:tcPr>
          <w:p w14:paraId="70D2037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追加事件与恢复</w:t>
            </w:r>
          </w:p>
        </w:tc>
        <w:tc>
          <w:tcPr>
            <w:tcW w:w="1250" w:type="pct"/>
          </w:tcPr>
          <w:p w14:paraId="43DB038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幂等、补偿、同事务、重试、乱序、重放、不可变触发器</w:t>
            </w:r>
          </w:p>
        </w:tc>
        <w:tc>
          <w:tcPr>
            <w:tcW w:w="1250" w:type="pct"/>
          </w:tcPr>
          <w:p w14:paraId="4424420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事实覆盖、事件丢失或不可重建</w:t>
            </w:r>
          </w:p>
        </w:tc>
      </w:tr>
      <w:tr w14:paraId="78362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175457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FR-03</w:t>
            </w:r>
          </w:p>
        </w:tc>
        <w:tc>
          <w:tcPr>
            <w:tcW w:w="1250" w:type="pct"/>
          </w:tcPr>
          <w:p w14:paraId="3AF697A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多证据复核</w:t>
            </w:r>
          </w:p>
        </w:tc>
        <w:tc>
          <w:tcPr>
            <w:tcW w:w="1250" w:type="pct"/>
          </w:tcPr>
          <w:p w14:paraId="2125E9E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固定视觉集、四态、来源字段、人工修正和开放集</w:t>
            </w:r>
          </w:p>
        </w:tc>
        <w:tc>
          <w:tcPr>
            <w:tcW w:w="1250" w:type="pct"/>
          </w:tcPr>
          <w:p w14:paraId="468BB1F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未确认结果进入正式状态</w:t>
            </w:r>
          </w:p>
        </w:tc>
      </w:tr>
      <w:tr w14:paraId="5DF2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1A8E78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FR-04</w:t>
            </w:r>
          </w:p>
        </w:tc>
        <w:tc>
          <w:tcPr>
            <w:tcW w:w="1250" w:type="pct"/>
          </w:tcPr>
          <w:p w14:paraId="57C61F1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关系投影</w:t>
            </w:r>
          </w:p>
        </w:tc>
        <w:tc>
          <w:tcPr>
            <w:tcW w:w="1250" w:type="pct"/>
          </w:tcPr>
          <w:p w14:paraId="66A3D6C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确认/补偿/撤权后的重建与溯源</w:t>
            </w:r>
          </w:p>
        </w:tc>
        <w:tc>
          <w:tcPr>
            <w:tcW w:w="1250" w:type="pct"/>
          </w:tcPr>
          <w:p w14:paraId="3672675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图谱成为第二事实源或泄露字段</w:t>
            </w:r>
          </w:p>
        </w:tc>
      </w:tr>
      <w:tr w14:paraId="5D05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B23493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FR-05</w:t>
            </w:r>
          </w:p>
        </w:tc>
        <w:tc>
          <w:tcPr>
            <w:tcW w:w="1250" w:type="pct"/>
          </w:tcPr>
          <w:p w14:paraId="23BCC1E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规则与预算</w:t>
            </w:r>
          </w:p>
        </w:tc>
        <w:tc>
          <w:tcPr>
            <w:tcW w:w="1250" w:type="pct"/>
          </w:tcPr>
          <w:p w14:paraId="1B67D5F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规则单测、严重案例、去重、预算和证据卡</w:t>
            </w:r>
          </w:p>
        </w:tc>
        <w:tc>
          <w:tcPr>
            <w:tcW w:w="1250" w:type="pct"/>
          </w:tcPr>
          <w:p w14:paraId="798777A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严重漏报或被预算压制</w:t>
            </w:r>
          </w:p>
        </w:tc>
      </w:tr>
      <w:tr w14:paraId="213D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4A943D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FR-06</w:t>
            </w:r>
          </w:p>
        </w:tc>
        <w:tc>
          <w:tcPr>
            <w:tcW w:w="1250" w:type="pct"/>
          </w:tcPr>
          <w:p w14:paraId="5C9D99F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计划闭环</w:t>
            </w:r>
          </w:p>
        </w:tc>
        <w:tc>
          <w:tcPr>
            <w:tcW w:w="1250" w:type="pct"/>
          </w:tcPr>
          <w:p w14:paraId="2528EF1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时间窗、版本差异、确认/延期/跳过和授权升级</w:t>
            </w:r>
          </w:p>
        </w:tc>
        <w:tc>
          <w:tcPr>
            <w:tcW w:w="1250" w:type="pct"/>
          </w:tcPr>
          <w:p w14:paraId="2E6985C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系统修改剂量/药物或升级给无权对象</w:t>
            </w:r>
          </w:p>
        </w:tc>
      </w:tr>
      <w:tr w14:paraId="5C614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940397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FR-07</w:t>
            </w:r>
          </w:p>
        </w:tc>
        <w:tc>
          <w:tcPr>
            <w:tcW w:w="1250" w:type="pct"/>
          </w:tcPr>
          <w:p w14:paraId="0FE8CD2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环境行动卡</w:t>
            </w:r>
          </w:p>
        </w:tc>
        <w:tc>
          <w:tcPr>
            <w:tcW w:w="1250" w:type="pct"/>
          </w:tcPr>
          <w:p w14:paraId="71139CA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出口请求、事件去重和天气故障</w:t>
            </w:r>
          </w:p>
        </w:tc>
        <w:tc>
          <w:tcPr>
            <w:tcW w:w="1250" w:type="pct"/>
          </w:tcPr>
          <w:p w14:paraId="186E593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上传健康详情或进入用药链</w:t>
            </w:r>
          </w:p>
        </w:tc>
      </w:tr>
      <w:tr w14:paraId="72124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B06C61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FR-08</w:t>
            </w:r>
          </w:p>
        </w:tc>
        <w:tc>
          <w:tcPr>
            <w:tcW w:w="1250" w:type="pct"/>
          </w:tcPr>
          <w:p w14:paraId="6DEADDF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证据助手</w:t>
            </w:r>
          </w:p>
        </w:tc>
        <w:tc>
          <w:tcPr>
            <w:tcW w:w="1250" w:type="pct"/>
          </w:tcPr>
          <w:p w14:paraId="6653072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同一盲测集、引用、无证据、越权、提示注入和医疗拒答</w:t>
            </w:r>
          </w:p>
        </w:tc>
        <w:tc>
          <w:tcPr>
            <w:tcW w:w="1250" w:type="pct"/>
          </w:tcPr>
          <w:p w14:paraId="1A455D2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引用伪造、危险建议或云端外发</w:t>
            </w:r>
          </w:p>
        </w:tc>
      </w:tr>
      <w:tr w14:paraId="05642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2A6FC2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FR-09</w:t>
            </w:r>
          </w:p>
        </w:tc>
        <w:tc>
          <w:tcPr>
            <w:tcW w:w="1250" w:type="pct"/>
          </w:tcPr>
          <w:p w14:paraId="1B23DED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大屏/实验室</w:t>
            </w:r>
          </w:p>
        </w:tc>
        <w:tc>
          <w:tcPr>
            <w:tcW w:w="1250" w:type="pct"/>
          </w:tcPr>
          <w:p w14:paraId="4A2908A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聚合脱敏、版本指标、发布和回滚</w:t>
            </w:r>
          </w:p>
        </w:tc>
        <w:tc>
          <w:tcPr>
            <w:tcW w:w="1250" w:type="pct"/>
          </w:tcPr>
          <w:p w14:paraId="233D654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敏感正文进入公共展示或指标</w:t>
            </w:r>
          </w:p>
        </w:tc>
      </w:tr>
      <w:tr w14:paraId="2CD52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D314DB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FR-10</w:t>
            </w:r>
          </w:p>
        </w:tc>
        <w:tc>
          <w:tcPr>
            <w:tcW w:w="1250" w:type="pct"/>
          </w:tcPr>
          <w:p w14:paraId="177EE9A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困难样本 V2</w:t>
            </w:r>
          </w:p>
        </w:tc>
        <w:tc>
          <w:tcPr>
            <w:tcW w:w="1250" w:type="pct"/>
          </w:tcPr>
          <w:p w14:paraId="7AD7724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训练授权、数据卡、固定集 V1/V2、失败样例和回滚</w:t>
            </w:r>
          </w:p>
        </w:tc>
        <w:tc>
          <w:tcPr>
            <w:tcW w:w="1250" w:type="pct"/>
          </w:tcPr>
          <w:p w14:paraId="3648053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未授权训练、固定集泄漏或不可回滚</w:t>
            </w:r>
          </w:p>
          <w:p w14:paraId="03FD709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085DE5A4">
      <w:r>
        <w:rPr>
          <w:rFonts w:hint="eastAsia"/>
        </w:rPr>
        <w:t>状态只允许使用未开始、进行中、待验收、已验证、阻塞和不做。状态变化必须有 Issue/Story、提交或 PR、自动测试、人工验收、环境/版本和回滚证据；CI 通过不能单独证明业务完成。</w:t>
      </w:r>
    </w:p>
    <w:p w14:paraId="153F871E">
      <w:pPr>
        <w:pStyle w:val="2"/>
        <w:pageBreakBefore/>
      </w:pPr>
      <w:bookmarkStart w:id="39" w:name="_Toc237530769"/>
      <w:r>
        <w:rPr>
          <w:rFonts w:hint="eastAsia"/>
        </w:rPr>
        <w:t>附录</w:t>
      </w:r>
      <w:bookmarkEnd w:id="39"/>
    </w:p>
    <w:p w14:paraId="412F48C3">
      <w:pPr>
        <w:pStyle w:val="3"/>
      </w:pPr>
      <w:bookmarkStart w:id="40" w:name="_Toc237530770"/>
      <w:r>
        <w:rPr>
          <w:rFonts w:hint="eastAsia"/>
        </w:rPr>
        <w:t>参考资料</w:t>
      </w:r>
      <w:bookmarkEnd w:id="40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2408"/>
        <w:gridCol w:w="2217"/>
        <w:gridCol w:w="2218"/>
      </w:tblGrid>
      <w:tr w14:paraId="7B220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D9D9D9"/>
          </w:tcPr>
          <w:p w14:paraId="4E0749E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编号</w:t>
            </w:r>
          </w:p>
        </w:tc>
        <w:tc>
          <w:tcPr>
            <w:tcW w:w="1250" w:type="pct"/>
            <w:shd w:val="clear" w:color="auto" w:fill="D9D9D9"/>
          </w:tcPr>
          <w:p w14:paraId="08AA7CA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资料名称</w:t>
            </w:r>
          </w:p>
        </w:tc>
        <w:tc>
          <w:tcPr>
            <w:tcW w:w="1250" w:type="pct"/>
            <w:shd w:val="clear" w:color="auto" w:fill="D9D9D9"/>
          </w:tcPr>
          <w:p w14:paraId="0F7C0D4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版本/日期</w:t>
            </w:r>
          </w:p>
        </w:tc>
        <w:tc>
          <w:tcPr>
            <w:tcW w:w="1250" w:type="pct"/>
            <w:shd w:val="clear" w:color="auto" w:fill="D9D9D9"/>
          </w:tcPr>
          <w:p w14:paraId="2516EA2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用途</w:t>
            </w:r>
          </w:p>
        </w:tc>
      </w:tr>
      <w:tr w14:paraId="4B0EC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2801E1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R-01</w:t>
            </w:r>
          </w:p>
        </w:tc>
        <w:tc>
          <w:tcPr>
            <w:tcW w:w="1250" w:type="pct"/>
          </w:tcPr>
          <w:p w14:paraId="680F82A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HomeCare Twin 项目说明</w:t>
            </w:r>
          </w:p>
        </w:tc>
        <w:tc>
          <w:tcPr>
            <w:tcW w:w="1250" w:type="pct"/>
          </w:tcPr>
          <w:p w14:paraId="3614AEF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2026-08-10 当前仓库</w:t>
            </w:r>
          </w:p>
        </w:tc>
        <w:tc>
          <w:tcPr>
            <w:tcW w:w="1250" w:type="pct"/>
          </w:tcPr>
          <w:p w14:paraId="52881EB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产品定位、技术基线和实际状态入口</w:t>
            </w:r>
          </w:p>
        </w:tc>
      </w:tr>
      <w:tr w14:paraId="6911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FF5F1D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R-02</w:t>
            </w:r>
          </w:p>
        </w:tc>
        <w:tc>
          <w:tcPr>
            <w:tcW w:w="1250" w:type="pct"/>
          </w:tcPr>
          <w:p w14:paraId="694AD6C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HomeCare Twin 需求规格说明</w:t>
            </w:r>
          </w:p>
        </w:tc>
        <w:tc>
          <w:tcPr>
            <w:tcW w:w="1250" w:type="pct"/>
          </w:tcPr>
          <w:p w14:paraId="771FB50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P0 需求基线</w:t>
            </w:r>
          </w:p>
        </w:tc>
        <w:tc>
          <w:tcPr>
            <w:tcW w:w="1250" w:type="pct"/>
          </w:tcPr>
          <w:p w14:paraId="167030E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FR-01 至 FR-10、NFR-01 至 NFR-07</w:t>
            </w:r>
          </w:p>
        </w:tc>
      </w:tr>
      <w:tr w14:paraId="6462D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3231D6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R-03</w:t>
            </w:r>
          </w:p>
        </w:tc>
        <w:tc>
          <w:tcPr>
            <w:tcW w:w="1250" w:type="pct"/>
          </w:tcPr>
          <w:p w14:paraId="552C93B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产品信息架构与页面设计</w:t>
            </w:r>
          </w:p>
        </w:tc>
        <w:tc>
          <w:tcPr>
            <w:tcW w:w="1250" w:type="pct"/>
          </w:tcPr>
          <w:p w14:paraId="2A2BF1B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P0 设计基线</w:t>
            </w:r>
          </w:p>
        </w:tc>
        <w:tc>
          <w:tcPr>
            <w:tcW w:w="1250" w:type="pct"/>
          </w:tcPr>
          <w:p w14:paraId="72E55E6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十页结构、状态矩阵和文案边界</w:t>
            </w:r>
          </w:p>
        </w:tc>
      </w:tr>
      <w:tr w14:paraId="552B1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E2FB77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R-04</w:t>
            </w:r>
          </w:p>
        </w:tc>
        <w:tc>
          <w:tcPr>
            <w:tcW w:w="1250" w:type="pct"/>
          </w:tcPr>
          <w:p w14:paraId="479EA44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技术方案与系统架构</w:t>
            </w:r>
          </w:p>
        </w:tc>
        <w:tc>
          <w:tcPr>
            <w:tcW w:w="1250" w:type="pct"/>
          </w:tcPr>
          <w:p w14:paraId="2C11134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P0 方案基线</w:t>
            </w:r>
          </w:p>
        </w:tc>
        <w:tc>
          <w:tcPr>
            <w:tcW w:w="1250" w:type="pct"/>
          </w:tcPr>
          <w:p w14:paraId="261D82A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总体架构、模块职责和降级策略</w:t>
            </w:r>
          </w:p>
        </w:tc>
      </w:tr>
      <w:tr w14:paraId="6066E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15E083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R-05</w:t>
            </w:r>
          </w:p>
        </w:tc>
        <w:tc>
          <w:tcPr>
            <w:tcW w:w="1250" w:type="pct"/>
          </w:tcPr>
          <w:p w14:paraId="3F6E641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API 设计规范与当前 OpenAPI</w:t>
            </w:r>
          </w:p>
        </w:tc>
        <w:tc>
          <w:tcPr>
            <w:tcW w:w="1250" w:type="pct"/>
          </w:tcPr>
          <w:p w14:paraId="0902000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2026-08-10</w:t>
            </w:r>
          </w:p>
        </w:tc>
        <w:tc>
          <w:tcPr>
            <w:tcW w:w="1250" w:type="pct"/>
          </w:tcPr>
          <w:p w14:paraId="2CC6C45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接口、权限、幂等、状态机和错误契约</w:t>
            </w:r>
          </w:p>
        </w:tc>
      </w:tr>
      <w:tr w14:paraId="20AC9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6419B0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R-06</w:t>
            </w:r>
          </w:p>
        </w:tc>
        <w:tc>
          <w:tcPr>
            <w:tcW w:w="1250" w:type="pct"/>
          </w:tcPr>
          <w:p w14:paraId="7DE68A9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领域模型、Alembic 0001–0007</w:t>
            </w:r>
          </w:p>
        </w:tc>
        <w:tc>
          <w:tcPr>
            <w:tcW w:w="1250" w:type="pct"/>
          </w:tcPr>
          <w:p w14:paraId="1060355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2026-08-10</w:t>
            </w:r>
          </w:p>
        </w:tc>
        <w:tc>
          <w:tcPr>
            <w:tcW w:w="1250" w:type="pct"/>
          </w:tcPr>
          <w:p w14:paraId="55EA82E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物理数据结构、约束和迁移状态</w:t>
            </w:r>
          </w:p>
        </w:tc>
      </w:tr>
      <w:tr w14:paraId="51DDE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766881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R-07</w:t>
            </w:r>
          </w:p>
        </w:tc>
        <w:tc>
          <w:tcPr>
            <w:tcW w:w="1250" w:type="pct"/>
          </w:tcPr>
          <w:p w14:paraId="53808CA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数据与隐私安全规范、威胁基线</w:t>
            </w:r>
          </w:p>
        </w:tc>
        <w:tc>
          <w:tcPr>
            <w:tcW w:w="1250" w:type="pct"/>
          </w:tcPr>
          <w:p w14:paraId="05A11E38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P0 安全基线</w:t>
            </w:r>
          </w:p>
        </w:tc>
        <w:tc>
          <w:tcPr>
            <w:tcW w:w="1250" w:type="pct"/>
          </w:tcPr>
          <w:p w14:paraId="1110F04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数据分级、授权、网络出口、留存和事件响应</w:t>
            </w:r>
          </w:p>
        </w:tc>
      </w:tr>
      <w:tr w14:paraId="5524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975028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R-08</w:t>
            </w:r>
          </w:p>
        </w:tc>
        <w:tc>
          <w:tcPr>
            <w:tcW w:w="1250" w:type="pct"/>
          </w:tcPr>
          <w:p w14:paraId="28EF8C0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AI 与 RAG 设计规范</w:t>
            </w:r>
          </w:p>
        </w:tc>
        <w:tc>
          <w:tcPr>
            <w:tcW w:w="1250" w:type="pct"/>
          </w:tcPr>
          <w:p w14:paraId="08DABF5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P0 AI 基线</w:t>
            </w:r>
          </w:p>
        </w:tc>
        <w:tc>
          <w:tcPr>
            <w:tcW w:w="1250" w:type="pct"/>
          </w:tcPr>
          <w:p w14:paraId="4AEBDA5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OCR-first、RAG、模型校验和红队边界</w:t>
            </w:r>
          </w:p>
        </w:tc>
      </w:tr>
      <w:tr w14:paraId="05D4E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7938A8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R-09</w:t>
            </w:r>
          </w:p>
        </w:tc>
        <w:tc>
          <w:tcPr>
            <w:tcW w:w="1250" w:type="pct"/>
          </w:tcPr>
          <w:p w14:paraId="72371C1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测试与验收方案</w:t>
            </w:r>
          </w:p>
        </w:tc>
        <w:tc>
          <w:tcPr>
            <w:tcW w:w="1250" w:type="pct"/>
          </w:tcPr>
          <w:p w14:paraId="473D625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P0 验收基线</w:t>
            </w:r>
          </w:p>
        </w:tc>
        <w:tc>
          <w:tcPr>
            <w:tcW w:w="1250" w:type="pct"/>
          </w:tcPr>
          <w:p w14:paraId="18F18DA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指标、E2E、发布阻断和证据要求</w:t>
            </w:r>
          </w:p>
        </w:tc>
      </w:tr>
      <w:tr w14:paraId="2245F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4B8934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R-10</w:t>
            </w:r>
          </w:p>
        </w:tc>
        <w:tc>
          <w:tcPr>
            <w:tcW w:w="1250" w:type="pct"/>
          </w:tcPr>
          <w:p w14:paraId="47F635F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需求追踪矩阵与 HCT Stories</w:t>
            </w:r>
          </w:p>
        </w:tc>
        <w:tc>
          <w:tcPr>
            <w:tcW w:w="1250" w:type="pct"/>
          </w:tcPr>
          <w:p w14:paraId="4B8179FB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截至 2026-08-08 的状态入口</w:t>
            </w:r>
          </w:p>
        </w:tc>
        <w:tc>
          <w:tcPr>
            <w:tcW w:w="1250" w:type="pct"/>
          </w:tcPr>
          <w:p w14:paraId="41317AE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区分需求、实现和验收状态</w:t>
            </w:r>
          </w:p>
        </w:tc>
      </w:tr>
      <w:tr w14:paraId="48D5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1991BD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R-11</w:t>
            </w:r>
          </w:p>
        </w:tc>
        <w:tc>
          <w:tcPr>
            <w:tcW w:w="1250" w:type="pct"/>
          </w:tcPr>
          <w:p w14:paraId="19CD601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bCs/>
                <w:sz w:val="18"/>
              </w:rPr>
              <w:t>ADR-0002/0003/0004/0005</w:t>
            </w:r>
          </w:p>
        </w:tc>
        <w:tc>
          <w:tcPr>
            <w:tcW w:w="1250" w:type="pct"/>
          </w:tcPr>
          <w:p w14:paraId="76EB541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2026-08-03 至 2026-08-08</w:t>
            </w:r>
          </w:p>
        </w:tc>
        <w:tc>
          <w:tcPr>
            <w:tcW w:w="1250" w:type="pct"/>
          </w:tcPr>
          <w:p w14:paraId="3D0640D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可信域、Owner 权限、资源档位和事件恢复决策</w:t>
            </w:r>
          </w:p>
          <w:p w14:paraId="33F13D9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bCs/>
                <w:sz w:val="18"/>
              </w:rPr>
            </w:pPr>
          </w:p>
        </w:tc>
      </w:tr>
    </w:tbl>
    <w:p w14:paraId="3CBF111E">
      <w:pPr>
        <w:pStyle w:val="3"/>
      </w:pPr>
      <w:bookmarkStart w:id="41" w:name="_Toc237530771"/>
      <w:r>
        <w:rPr>
          <w:rFonts w:hint="eastAsia"/>
        </w:rPr>
        <w:t>需求编号索引</w:t>
      </w:r>
      <w:bookmarkEnd w:id="41"/>
    </w:p>
    <w:p w14:paraId="09007987">
      <w:r>
        <w:rPr>
          <w:rFonts w:hint="eastAsia"/>
        </w:rPr>
        <w:t>功能需求：FR-01 身份家庭与授权；FR-02 健康事件中心；FR-03 多证据视觉；FR-04 关系投影；FR-05 风险规则与预算；FR-06 计划与照护升级；FR-07 环境行动卡；FR-08 本地证据助手；FR-09 大屏与模型实验室；FR-10 困难样本与追加训练。</w:t>
      </w:r>
      <w:bookmarkStart w:id="42" w:name="_GoBack"/>
      <w:bookmarkEnd w:id="42"/>
    </w:p>
    <w:p w14:paraId="7242EA69">
      <w:r>
        <w:rPr>
          <w:rFonts w:hint="eastAsia"/>
        </w:rPr>
        <w:t>非功能需求：NFR-01 安全；NFR-02 隐私；NFR-03 可追溯；NFR-04 降级可用；NFR-05 性能；NFR-06 可复现；NFR-07 可访问与可理解。</w:t>
      </w:r>
    </w:p>
    <w:p w14:paraId="0C27AB18">
      <w:pPr>
        <w:ind w:firstLine="525" w:firstLineChars="250"/>
        <w:jc w:val="right"/>
        <w:rPr>
          <w:bCs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8" w:right="1418" w:bottom="1418" w:left="1418" w:header="850" w:footer="850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2B67253F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28682944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2026-8-17</w:t>
          </w:r>
          <w:r>
            <w:fldChar w:fldCharType="end"/>
          </w:r>
        </w:p>
      </w:tc>
      <w:tc>
        <w:tcPr>
          <w:tcW w:w="5220" w:type="dxa"/>
        </w:tcPr>
        <w:p w14:paraId="3F03F011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151D9844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2F0CB2BC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38596"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2918A017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C7345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73997548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1F6A55E4">
          <w:pPr>
            <w:tabs>
              <w:tab w:val="left" w:pos="2127"/>
            </w:tabs>
            <w:ind w:right="-197" w:rightChars="-94"/>
            <w:rPr>
              <w:rFonts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1071880" cy="368300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335" t="24011" r="9091" b="2738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782" cy="370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4D6DD93B">
          <w:pPr>
            <w:pStyle w:val="17"/>
            <w:tabs>
              <w:tab w:val="left" w:pos="368"/>
              <w:tab w:val="center" w:pos="3770"/>
              <w:tab w:val="clear" w:pos="4153"/>
            </w:tabs>
            <w:ind w:left="-907" w:leftChars="-432"/>
          </w:pPr>
          <w:r>
            <w:rPr>
              <w:rFonts w:hint="eastAsia"/>
            </w:rPr>
            <w:t>软通</w:t>
          </w:r>
          <w:r>
            <w:t>大学</w:t>
          </w:r>
          <w:r>
            <w:rPr>
              <w:rFonts w:hint="eastAsia"/>
            </w:rPr>
            <w:t xml:space="preserve"> </w:t>
          </w:r>
          <w:r>
            <w:t>家健镜项目需求规格说明书</w:t>
          </w:r>
        </w:p>
      </w:tc>
      <w:tc>
        <w:tcPr>
          <w:tcW w:w="1980" w:type="dxa"/>
          <w:vAlign w:val="bottom"/>
        </w:tcPr>
        <w:p w14:paraId="0A337844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61354E47">
    <w:pPr>
      <w:pStyle w:val="1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C9ECF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0A109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A2B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52C7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042D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6357"/>
    <w:rsid w:val="00162E8F"/>
    <w:rsid w:val="00163F44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2101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6F83"/>
    <w:rsid w:val="002275D3"/>
    <w:rsid w:val="00227890"/>
    <w:rsid w:val="0023074B"/>
    <w:rsid w:val="00232F28"/>
    <w:rsid w:val="0023327D"/>
    <w:rsid w:val="00233B6F"/>
    <w:rsid w:val="002359E4"/>
    <w:rsid w:val="00235B4F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67FE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5603"/>
    <w:rsid w:val="003163E7"/>
    <w:rsid w:val="00320C3B"/>
    <w:rsid w:val="00320C7A"/>
    <w:rsid w:val="003212CE"/>
    <w:rsid w:val="00322525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0E31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3095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1A2B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1BCF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582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25D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61FB"/>
    <w:rsid w:val="0090652E"/>
    <w:rsid w:val="00906A6C"/>
    <w:rsid w:val="00907D16"/>
    <w:rsid w:val="0091347F"/>
    <w:rsid w:val="00913A96"/>
    <w:rsid w:val="00913FC3"/>
    <w:rsid w:val="009143B4"/>
    <w:rsid w:val="00914B71"/>
    <w:rsid w:val="009154B6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1476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1865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AF7CF9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4D83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0C9D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1329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1C67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4249"/>
    <w:rsid w:val="00E15550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838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0BF4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2748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324C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Arial" w:hAnsi="Arial" w:eastAsia="宋体" w:cs="Arial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240"/>
      <w:outlineLvl w:val="0"/>
    </w:pPr>
    <w:rPr>
      <w:rFonts w:eastAsia="黑体"/>
      <w:b/>
      <w:bCs/>
      <w:smallCaps/>
      <w:color w:val="000000" w:themeColor="text1"/>
      <w:sz w:val="32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3"/>
    <w:autoRedefine/>
    <w:unhideWhenUsed/>
    <w:qFormat/>
    <w:uiPriority w:val="9"/>
    <w:pPr>
      <w:keepNext/>
      <w:keepLines/>
      <w:numPr>
        <w:ilvl w:val="1"/>
        <w:numId w:val="1"/>
      </w:numPr>
      <w:spacing w:before="160"/>
      <w:outlineLvl w:val="1"/>
    </w:pPr>
    <w:rPr>
      <w:rFonts w:eastAsia="黑体"/>
      <w:b/>
      <w:bCs/>
      <w:smallCap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numPr>
        <w:ilvl w:val="2"/>
        <w:numId w:val="1"/>
      </w:numPr>
      <w:spacing w:before="160"/>
      <w:outlineLvl w:val="2"/>
    </w:pPr>
    <w:rPr>
      <w:rFonts w:eastAsia="黑体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5"/>
    <w:unhideWhenUsed/>
    <w:qFormat/>
    <w:uiPriority w:val="9"/>
    <w:pPr>
      <w:keepNext/>
      <w:keepLines/>
      <w:numPr>
        <w:ilvl w:val="3"/>
        <w:numId w:val="1"/>
      </w:numPr>
      <w:spacing w:before="160"/>
      <w:outlineLvl w:val="3"/>
    </w:pPr>
    <w:rPr>
      <w:rFonts w:eastAsia="黑体"/>
      <w:b/>
      <w:bCs/>
      <w:iCs/>
      <w:color w:val="000000" w:themeColor="text1"/>
      <w:sz w:val="22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6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7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48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49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0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39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next w:val="1"/>
    <w:link w:val="52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Title"/>
    <w:basedOn w:val="1"/>
    <w:next w:val="1"/>
    <w:link w:val="5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3">
    <w:name w:val="Table Grid"/>
    <w:basedOn w:val="22"/>
    <w:uiPriority w:val="0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6">
    <w:name w:val="page number"/>
    <w:basedOn w:val="24"/>
    <w:uiPriority w:val="0"/>
  </w:style>
  <w:style w:type="character" w:styleId="27">
    <w:name w:val="Emphasis"/>
    <w:basedOn w:val="24"/>
    <w:qFormat/>
    <w:uiPriority w:val="20"/>
    <w:rPr>
      <w:i/>
      <w:iCs/>
      <w:color w:val="auto"/>
    </w:rPr>
  </w:style>
  <w:style w:type="character" w:styleId="28">
    <w:name w:val="Hyperlink"/>
    <w:basedOn w:val="24"/>
    <w:qFormat/>
    <w:uiPriority w:val="99"/>
    <w:rPr>
      <w:color w:val="0000FF"/>
      <w:u w:val="single"/>
    </w:rPr>
  </w:style>
  <w:style w:type="paragraph" w:customStyle="1" w:styleId="29">
    <w:name w:val="缺省文本"/>
    <w:basedOn w:val="1"/>
    <w:uiPriority w:val="0"/>
    <w:rPr>
      <w:sz w:val="24"/>
    </w:rPr>
  </w:style>
  <w:style w:type="paragraph" w:customStyle="1" w:styleId="30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1">
    <w:name w:val="Default Text"/>
    <w:basedOn w:val="1"/>
    <w:qFormat/>
    <w:uiPriority w:val="0"/>
    <w:rPr>
      <w:sz w:val="24"/>
    </w:rPr>
  </w:style>
  <w:style w:type="paragraph" w:customStyle="1" w:styleId="32">
    <w:name w:val="图样式"/>
    <w:basedOn w:val="1"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3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eastAsia="黑体" w:cs="Times New Roman"/>
      <w:sz w:val="36"/>
      <w:szCs w:val="36"/>
    </w:rPr>
  </w:style>
  <w:style w:type="paragraph" w:customStyle="1" w:styleId="34">
    <w:name w:val="È±Ê¡ÎÄ±¾"/>
    <w:basedOn w:val="1"/>
    <w:qFormat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5">
    <w:name w:val=":w"/>
    <w:basedOn w:val="1"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6">
    <w:name w:val="默认段落字体 Para Char Char Char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7">
    <w:name w:val="默认段落字体 Para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character" w:customStyle="1" w:styleId="39">
    <w:name w:val="文档结构图 字符"/>
    <w:basedOn w:val="24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0">
    <w:name w:val="封面表格文本"/>
    <w:basedOn w:val="1"/>
    <w:autoRedefine/>
    <w:uiPriority w:val="0"/>
    <w:pPr>
      <w:spacing w:line="240" w:lineRule="auto"/>
      <w:ind w:firstLine="420"/>
      <w:jc w:val="center"/>
    </w:pPr>
    <w:rPr>
      <w:rFonts w:cs="Times New Roman"/>
    </w:rPr>
  </w:style>
  <w:style w:type="paragraph" w:customStyle="1" w:styleId="41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2">
    <w:name w:val="标题 1 字符"/>
    <w:basedOn w:val="24"/>
    <w:link w:val="2"/>
    <w:qFormat/>
    <w:uiPriority w:val="9"/>
    <w:rPr>
      <w:rFonts w:ascii="Arial" w:hAnsi="Arial" w:eastAsia="黑体" w:cs="Arial"/>
      <w:b/>
      <w:bCs/>
      <w:smallCaps/>
      <w:color w:val="000000" w:themeColor="text1"/>
      <w:sz w:val="32"/>
      <w:szCs w:val="36"/>
      <w14:textFill>
        <w14:solidFill>
          <w14:schemeClr w14:val="tx1"/>
        </w14:solidFill>
      </w14:textFill>
    </w:rPr>
  </w:style>
  <w:style w:type="character" w:customStyle="1" w:styleId="43">
    <w:name w:val="标题 2 字符"/>
    <w:basedOn w:val="24"/>
    <w:link w:val="3"/>
    <w:qFormat/>
    <w:uiPriority w:val="9"/>
    <w:rPr>
      <w:rFonts w:ascii="Arial" w:hAnsi="Arial" w:eastAsia="黑体" w:cs="Arial"/>
      <w:b/>
      <w:bCs/>
      <w:smallCap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44">
    <w:name w:val="标题 3 字符"/>
    <w:basedOn w:val="24"/>
    <w:link w:val="4"/>
    <w:qFormat/>
    <w:uiPriority w:val="9"/>
    <w:rPr>
      <w:rFonts w:ascii="Arial" w:hAnsi="Arial" w:eastAsia="黑体" w:cs="Arial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5">
    <w:name w:val="标题 4 字符"/>
    <w:basedOn w:val="24"/>
    <w:link w:val="5"/>
    <w:qFormat/>
    <w:uiPriority w:val="9"/>
    <w:rPr>
      <w:rFonts w:ascii="Arial" w:hAnsi="Arial" w:eastAsia="黑体" w:cs="Arial"/>
      <w:b/>
      <w:bCs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6">
    <w:name w:val="标题 5 字符"/>
    <w:basedOn w:val="24"/>
    <w:link w:val="6"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7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48">
    <w:name w:val="标题 7 字符"/>
    <w:basedOn w:val="24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字符"/>
    <w:basedOn w:val="24"/>
    <w:link w:val="21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2">
    <w:name w:val="副标题 字符"/>
    <w:basedOn w:val="24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4">
    <w:name w:val="Quote"/>
    <w:basedOn w:val="1"/>
    <w:next w:val="1"/>
    <w:link w:val="55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引用 字符"/>
    <w:basedOn w:val="24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6">
    <w:name w:val="Intense Quote"/>
    <w:basedOn w:val="1"/>
    <w:next w:val="1"/>
    <w:link w:val="57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7">
    <w:name w:val="明显引用 字符"/>
    <w:basedOn w:val="24"/>
    <w:link w:val="56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58">
    <w:name w:val="Subtle Emphasis"/>
    <w:basedOn w:val="2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Intense Emphasis"/>
    <w:basedOn w:val="24"/>
    <w:qFormat/>
    <w:uiPriority w:val="21"/>
    <w:rPr>
      <w:b/>
      <w:bCs/>
      <w:i/>
      <w:iCs/>
      <w:caps/>
    </w:rPr>
  </w:style>
  <w:style w:type="character" w:customStyle="1" w:styleId="60">
    <w:name w:val="Subtle Reference"/>
    <w:basedOn w:val="24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1">
    <w:name w:val="Intense Reference"/>
    <w:basedOn w:val="24"/>
    <w:qFormat/>
    <w:uiPriority w:val="32"/>
    <w:rPr>
      <w:b/>
      <w:bCs/>
      <w:smallCaps/>
      <w:u w:val="single"/>
    </w:rPr>
  </w:style>
  <w:style w:type="character" w:customStyle="1" w:styleId="62">
    <w:name w:val="Book Title"/>
    <w:basedOn w:val="24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2140\Desktop\&#23454;&#35757;--&#22810;&#27169;&#24577;&#21307;&#30103;\issedu_ysu2026_3709\doc\09.&#25991;&#26723;&#27169;&#26495;\&#38656;&#27714;&#35268;&#26684;&#35828;&#26126;&#20070;_&#27169;&#26495;-v2.0.dotm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81D5A3-8131-490C-AE69-01B750212F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需求规格说明书_模板-v2.0.dotm</Template>
  <Company>Huawei Technologies Co., Ltd.</Company>
  <Pages>24</Pages>
  <Words>2125</Words>
  <Characters>2476</Characters>
  <Lines>124</Lines>
  <Paragraphs>34</Paragraphs>
  <TotalTime>12</TotalTime>
  <ScaleCrop>false</ScaleCrop>
  <LinksUpToDate>false</LinksUpToDate>
  <CharactersWithSpaces>2762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2026-08-10T11:17:00Z</dcterms:created>
  <dc:creator>杨天慕</dc:creator>
  <cp:lastModifiedBy>杨欢</cp:lastModifiedBy>
  <cp:lastPrinted>2004-11-30T02:57:00Z</cp:lastPrinted>
  <dcterms:modified xsi:type="dcterms:W3CDTF">2026-08-17T09:47:10Z</dcterms:modified>
  <dc:title>需求规格说明书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  <property fmtid="{D5CDD505-2E9C-101B-9397-08002B2CF9AE}" pid="5" name="ICV">
    <vt:lpwstr>E42B9A81FCFF41B9AD987C56A9C3D323_13</vt:lpwstr>
  </property>
</Properties>
</file>