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04" w:rsidRPr="00686A39" w:rsidRDefault="00130E62" w:rsidP="00686A39">
      <w:pPr>
        <w:jc w:val="center"/>
        <w:rPr>
          <w:b/>
          <w:sz w:val="28"/>
          <w:szCs w:val="28"/>
          <w:u w:val="single"/>
        </w:rPr>
      </w:pPr>
      <w:r w:rsidRPr="00686A39">
        <w:rPr>
          <w:b/>
          <w:sz w:val="28"/>
          <w:szCs w:val="28"/>
          <w:u w:val="single"/>
        </w:rPr>
        <w:t>Dissertation : le référé-liberté est-il un vrai référé</w:t>
      </w:r>
      <w:r w:rsidR="00686A39">
        <w:rPr>
          <w:b/>
          <w:sz w:val="28"/>
          <w:szCs w:val="28"/>
          <w:u w:val="single"/>
        </w:rPr>
        <w:t> ?</w:t>
      </w:r>
    </w:p>
    <w:p w:rsidR="00130E62" w:rsidRDefault="00130E62" w:rsidP="00130E62">
      <w:pPr>
        <w:ind w:firstLine="708"/>
        <w:jc w:val="both"/>
      </w:pPr>
      <w:r w:rsidRPr="00130E62">
        <w:t>Le « référé-liberté » est une procédure administrative d'urgence permettant d'obtenir, dans un délai très bref (en principe 48h), « toutes mesures nécessaires » quand l'administration, dans l'exercice de l'un de ses pouvoirs, porte une « atteinte grave et manifestement illégale » à une liberté fondamentale.</w:t>
      </w:r>
      <w:r>
        <w:t xml:space="preserve"> Un référé en soi est</w:t>
      </w:r>
      <w:r w:rsidR="00686A39">
        <w:t xml:space="preserve"> </w:t>
      </w:r>
      <w:r w:rsidR="00686A39" w:rsidRPr="00686A39">
        <w:t>une procédure permettant de demander à une juridiction qu'elle ordonne des mesures provisoires mais rapides tendant à préserver les droits du demandeur. Un référé est très souvent introduit dans l'attente d'un jugement sur le fond.</w:t>
      </w:r>
      <w:r>
        <w:t xml:space="preserve"> En ce sens, le référé a souvent pour but d’éviter une atteinte qui ne pourrait l’être avec un recours normal dont la procédure est trop lente. </w:t>
      </w:r>
      <w:r w:rsidR="007D22CC">
        <w:t>En plus du référé liberté, il existe également le référé suspension ou encore le référé mesures utile : ces trois référés constituent alors l’ensemble des référés d’urgence.</w:t>
      </w:r>
    </w:p>
    <w:p w:rsidR="00010654" w:rsidRDefault="00130E62" w:rsidP="00010654">
      <w:pPr>
        <w:ind w:firstLine="708"/>
        <w:jc w:val="both"/>
      </w:pPr>
      <w:r>
        <w:t>Le référé en question, c’est-à-dire le référé liberté a été créé par la loi du 30 juin 2000 et se situe désormais à l’art L.521-2 du code de justice administrative</w:t>
      </w:r>
      <w:r w:rsidR="00010654">
        <w:t>. Ce récent référé protège des atteintes aux libertés fondamentales graves. Cependant, aucune distinction n’est faite entre l’atteinte faite suite à une décision prise dans la compétence de l’administration de celle prise hors de son champ de compétence, qui devrait alors relever du juge judiciaire, puisqu’il s’agirait d’une voie de fait.</w:t>
      </w:r>
    </w:p>
    <w:p w:rsidR="00686A39" w:rsidRDefault="00686A39" w:rsidP="00010654">
      <w:pPr>
        <w:ind w:firstLine="708"/>
        <w:jc w:val="both"/>
      </w:pPr>
      <w:r>
        <w:t>Il existe en ce sujet l’intérêt de s’interroger sur les points permettant de justifier qu’il s’agit d’un vrai référé mais également à l’inverse de prouver une dimension contestable : certains auteurs ont en effet tendance à contester le caractère provisoire de ce référé par l’absence de nécessite de conditions, pourtant réclamés dans les autres référés.</w:t>
      </w:r>
    </w:p>
    <w:p w:rsidR="00686A39" w:rsidRDefault="00686A39" w:rsidP="00010654">
      <w:pPr>
        <w:ind w:firstLine="708"/>
        <w:jc w:val="both"/>
      </w:pPr>
      <w:r>
        <w:t>Il s’agit alors de savoir dans quelle mesure les conditions du référé</w:t>
      </w:r>
      <w:r w:rsidR="007D22CC">
        <w:t xml:space="preserve"> sont existantes dans le référé liberté et à l’inverse, dans quelle mesure ce dernier est-il contesté en les termes de référé ?</w:t>
      </w:r>
    </w:p>
    <w:p w:rsidR="007D22CC" w:rsidRDefault="007D22CC" w:rsidP="00010654">
      <w:pPr>
        <w:ind w:firstLine="708"/>
        <w:jc w:val="both"/>
      </w:pPr>
      <w:r>
        <w:t>Il d’agira alors de voir dans quelle mesur</w:t>
      </w:r>
      <w:bookmarkStart w:id="0" w:name="_GoBack"/>
      <w:bookmarkEnd w:id="0"/>
      <w:r>
        <w:t xml:space="preserve">e </w:t>
      </w:r>
      <w:r w:rsidR="00CF7CE4">
        <w:t>la notion de référé est respectée par le référé liberté (I) avant de voir que l’absence de certaines conditions mènent à contester cette même notion de référé (II).</w:t>
      </w:r>
    </w:p>
    <w:p w:rsidR="007D22CC" w:rsidRPr="00CF7CE4" w:rsidRDefault="007D22CC" w:rsidP="007D22CC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 w:rsidRPr="00CF7CE4">
        <w:rPr>
          <w:b/>
          <w:u w:val="single"/>
        </w:rPr>
        <w:t>Le respect des conditions de référé</w:t>
      </w:r>
    </w:p>
    <w:p w:rsidR="00CF7CE4" w:rsidRDefault="00CF7CE4" w:rsidP="00CF7CE4">
      <w:pPr>
        <w:ind w:firstLine="708"/>
        <w:jc w:val="both"/>
      </w:pPr>
      <w:r>
        <w:t>La notion de référé pour le référé liberté semble justifié, notamment parce qu’il existe une rapidité dans ce référé (A) mais aussi parce qu’il a pour but la protection des libertés fondamentales (B).</w:t>
      </w:r>
    </w:p>
    <w:p w:rsidR="007D22CC" w:rsidRPr="003B1448" w:rsidRDefault="007D22CC" w:rsidP="007D22CC">
      <w:pPr>
        <w:pStyle w:val="Paragraphedeliste"/>
        <w:numPr>
          <w:ilvl w:val="0"/>
          <w:numId w:val="3"/>
        </w:numPr>
        <w:jc w:val="both"/>
        <w:rPr>
          <w:b/>
        </w:rPr>
      </w:pPr>
      <w:r w:rsidRPr="003B1448">
        <w:rPr>
          <w:b/>
        </w:rPr>
        <w:t>Le caractère rapide du référé</w:t>
      </w:r>
    </w:p>
    <w:p w:rsidR="007D22CC" w:rsidRDefault="007D22CC" w:rsidP="007D22CC">
      <w:pPr>
        <w:pStyle w:val="Paragraphedeliste"/>
        <w:numPr>
          <w:ilvl w:val="0"/>
          <w:numId w:val="7"/>
        </w:numPr>
        <w:jc w:val="both"/>
      </w:pPr>
      <w:r>
        <w:t>Référé d’extrême urgence pour éviter que la décision soit entièrement exécutée</w:t>
      </w:r>
    </w:p>
    <w:p w:rsidR="007D22CC" w:rsidRDefault="007D22CC" w:rsidP="007D22CC">
      <w:pPr>
        <w:pStyle w:val="Paragraphedeliste"/>
        <w:numPr>
          <w:ilvl w:val="0"/>
          <w:numId w:val="7"/>
        </w:numPr>
        <w:jc w:val="both"/>
      </w:pPr>
      <w:r>
        <w:t>Décision sous 48h : affaire Dieudonné 2014</w:t>
      </w:r>
    </w:p>
    <w:p w:rsidR="007D22CC" w:rsidRPr="003B1448" w:rsidRDefault="007D22CC" w:rsidP="007D22CC">
      <w:pPr>
        <w:pStyle w:val="Paragraphedeliste"/>
        <w:numPr>
          <w:ilvl w:val="0"/>
          <w:numId w:val="3"/>
        </w:numPr>
        <w:jc w:val="both"/>
        <w:rPr>
          <w:b/>
        </w:rPr>
      </w:pPr>
      <w:r w:rsidRPr="003B1448">
        <w:rPr>
          <w:b/>
        </w:rPr>
        <w:t>La préservation des droits du requérant</w:t>
      </w:r>
    </w:p>
    <w:p w:rsidR="007D22CC" w:rsidRDefault="00CF7CE4" w:rsidP="007D22CC">
      <w:pPr>
        <w:pStyle w:val="Paragraphedeliste"/>
        <w:numPr>
          <w:ilvl w:val="0"/>
          <w:numId w:val="8"/>
        </w:numPr>
        <w:jc w:val="both"/>
      </w:pPr>
      <w:r>
        <w:t>Le critère d’atteinte grave et manifestement illégale aux libertés fondamentales</w:t>
      </w:r>
    </w:p>
    <w:p w:rsidR="00CF7CE4" w:rsidRDefault="00CF7CE4" w:rsidP="007D22CC">
      <w:pPr>
        <w:pStyle w:val="Paragraphedeliste"/>
        <w:numPr>
          <w:ilvl w:val="0"/>
          <w:numId w:val="8"/>
        </w:numPr>
        <w:jc w:val="both"/>
      </w:pPr>
      <w:r>
        <w:t>Une vision large des libertés fondamentales : religieuse, de convictions (Témoins de Jéhovah contre ville de Lyon) allant jusqu’à déroger à la loi française : Mme Gonzalez Gomez.</w:t>
      </w:r>
    </w:p>
    <w:p w:rsidR="00CF7CE4" w:rsidRDefault="00CF7CE4" w:rsidP="003B1448">
      <w:pPr>
        <w:ind w:firstLine="708"/>
        <w:jc w:val="both"/>
      </w:pPr>
      <w:r>
        <w:lastRenderedPageBreak/>
        <w:t xml:space="preserve">Si ces précédentes conditions sont réunies, il y a cependant certaines conditions qui sont manquantes </w:t>
      </w:r>
      <w:r w:rsidR="003B1448">
        <w:t>pour pouvoir reconnaitre pleinement la qualité de référé au référé liberté, malgré son nom.</w:t>
      </w:r>
    </w:p>
    <w:p w:rsidR="007D22CC" w:rsidRPr="003B1448" w:rsidRDefault="007D22CC" w:rsidP="007D22CC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 w:rsidRPr="003B1448">
        <w:rPr>
          <w:b/>
          <w:u w:val="single"/>
        </w:rPr>
        <w:t>L’absence de conditions de référé</w:t>
      </w:r>
    </w:p>
    <w:p w:rsidR="003B1448" w:rsidRDefault="003B1448" w:rsidP="003B1448">
      <w:pPr>
        <w:ind w:firstLine="708"/>
        <w:jc w:val="both"/>
      </w:pPr>
      <w:r>
        <w:t xml:space="preserve">La notion de référé semble contestable notamment par l’absence de caractère provisoire de la décision (A). De plus, ce référé semble déroger à la séparation des juridiction en </w:t>
      </w:r>
      <w:proofErr w:type="spellStart"/>
      <w:r>
        <w:t>attayant</w:t>
      </w:r>
      <w:proofErr w:type="spellEnd"/>
      <w:r>
        <w:t xml:space="preserve"> la voie de fait à la juridiction judiciaire (B) : il existe alors un autre but que de donner une décision provisoire dans l’intérêt des requérants : ce référé a aussi pour but d’augmenter sa compétence pour le juge administratif.</w:t>
      </w:r>
    </w:p>
    <w:p w:rsidR="007D22CC" w:rsidRPr="003B1448" w:rsidRDefault="007D22CC" w:rsidP="007D22CC">
      <w:pPr>
        <w:pStyle w:val="Paragraphedeliste"/>
        <w:numPr>
          <w:ilvl w:val="0"/>
          <w:numId w:val="4"/>
        </w:numPr>
        <w:jc w:val="both"/>
        <w:rPr>
          <w:b/>
        </w:rPr>
      </w:pPr>
      <w:r w:rsidRPr="003B1448">
        <w:rPr>
          <w:b/>
        </w:rPr>
        <w:t>L’absence de décision provisoire</w:t>
      </w:r>
    </w:p>
    <w:p w:rsidR="007D22CC" w:rsidRDefault="007D22CC" w:rsidP="007D22CC">
      <w:pPr>
        <w:pStyle w:val="Paragraphedeliste"/>
        <w:numPr>
          <w:ilvl w:val="0"/>
          <w:numId w:val="5"/>
        </w:numPr>
        <w:jc w:val="both"/>
      </w:pPr>
      <w:r>
        <w:t>Absence de recours principal obligatoire</w:t>
      </w:r>
    </w:p>
    <w:p w:rsidR="007D22CC" w:rsidRDefault="007D22CC" w:rsidP="007D22CC">
      <w:pPr>
        <w:pStyle w:val="Paragraphedeliste"/>
        <w:numPr>
          <w:ilvl w:val="0"/>
          <w:numId w:val="5"/>
        </w:numPr>
        <w:jc w:val="both"/>
      </w:pPr>
      <w:r>
        <w:t>Absence de recours principal reniant le caractère provisoire du référé</w:t>
      </w:r>
    </w:p>
    <w:p w:rsidR="007D22CC" w:rsidRPr="003B1448" w:rsidRDefault="007D22CC" w:rsidP="007D22CC">
      <w:pPr>
        <w:pStyle w:val="Paragraphedeliste"/>
        <w:numPr>
          <w:ilvl w:val="0"/>
          <w:numId w:val="4"/>
        </w:numPr>
        <w:jc w:val="both"/>
        <w:rPr>
          <w:b/>
        </w:rPr>
      </w:pPr>
      <w:r w:rsidRPr="003B1448">
        <w:rPr>
          <w:b/>
        </w:rPr>
        <w:t>L’attrait de la voie de fait</w:t>
      </w:r>
    </w:p>
    <w:p w:rsidR="007D22CC" w:rsidRDefault="007D22CC" w:rsidP="007D22CC">
      <w:pPr>
        <w:pStyle w:val="Paragraphedeliste"/>
        <w:numPr>
          <w:ilvl w:val="0"/>
          <w:numId w:val="6"/>
        </w:numPr>
        <w:jc w:val="both"/>
      </w:pPr>
      <w:r>
        <w:t xml:space="preserve">Depuis CE, 2013, commune de </w:t>
      </w:r>
      <w:proofErr w:type="spellStart"/>
      <w:r>
        <w:t>Chirongui</w:t>
      </w:r>
      <w:proofErr w:type="spellEnd"/>
      <w:r>
        <w:t> : la disparition du critère d’un acte pris dans l’attribution des fonctions de l’administration</w:t>
      </w:r>
    </w:p>
    <w:p w:rsidR="007D22CC" w:rsidRDefault="007D22CC" w:rsidP="007D22CC">
      <w:pPr>
        <w:pStyle w:val="Paragraphedeliste"/>
        <w:numPr>
          <w:ilvl w:val="0"/>
          <w:numId w:val="6"/>
        </w:numPr>
        <w:jc w:val="both"/>
      </w:pPr>
      <w:r>
        <w:t>La diminution des compétences du juge judiciaire</w:t>
      </w:r>
    </w:p>
    <w:p w:rsidR="00010654" w:rsidRDefault="00010654" w:rsidP="00010654">
      <w:pPr>
        <w:pStyle w:val="Paragraphedeliste"/>
        <w:numPr>
          <w:ilvl w:val="0"/>
          <w:numId w:val="1"/>
        </w:numPr>
        <w:jc w:val="both"/>
      </w:pPr>
    </w:p>
    <w:sectPr w:rsidR="00010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0B81"/>
    <w:multiLevelType w:val="hybridMultilevel"/>
    <w:tmpl w:val="888854FA"/>
    <w:lvl w:ilvl="0" w:tplc="4F3AC08E">
      <w:start w:val="1"/>
      <w:numFmt w:val="upperLetter"/>
      <w:lvlText w:val="%1-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331161A5"/>
    <w:multiLevelType w:val="hybridMultilevel"/>
    <w:tmpl w:val="38906A78"/>
    <w:lvl w:ilvl="0" w:tplc="D9A415D6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423BC7"/>
    <w:multiLevelType w:val="hybridMultilevel"/>
    <w:tmpl w:val="F620D2AE"/>
    <w:lvl w:ilvl="0" w:tplc="1658A192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46CC337C"/>
    <w:multiLevelType w:val="hybridMultilevel"/>
    <w:tmpl w:val="FAF2A74C"/>
    <w:lvl w:ilvl="0" w:tplc="D152D4D2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498F2B59"/>
    <w:multiLevelType w:val="hybridMultilevel"/>
    <w:tmpl w:val="142C2D18"/>
    <w:lvl w:ilvl="0" w:tplc="9022EEFE">
      <w:start w:val="1"/>
      <w:numFmt w:val="upperLetter"/>
      <w:lvlText w:val="%1-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5B8A0D57"/>
    <w:multiLevelType w:val="hybridMultilevel"/>
    <w:tmpl w:val="1E424B10"/>
    <w:lvl w:ilvl="0" w:tplc="63201C7C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6A0352C4"/>
    <w:multiLevelType w:val="hybridMultilevel"/>
    <w:tmpl w:val="D68C5E20"/>
    <w:lvl w:ilvl="0" w:tplc="0608E05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7C517A7F"/>
    <w:multiLevelType w:val="hybridMultilevel"/>
    <w:tmpl w:val="F4F05266"/>
    <w:lvl w:ilvl="0" w:tplc="FBC2C75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2"/>
    <w:rsid w:val="00010654"/>
    <w:rsid w:val="000B3604"/>
    <w:rsid w:val="00130E62"/>
    <w:rsid w:val="003B1448"/>
    <w:rsid w:val="00686A39"/>
    <w:rsid w:val="007D22CC"/>
    <w:rsid w:val="00C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D9FE"/>
  <w15:chartTrackingRefBased/>
  <w15:docId w15:val="{16B9E44F-932E-4089-9581-3540BA7D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francois1 guergadic</dc:creator>
  <cp:keywords/>
  <dc:description/>
  <cp:lastModifiedBy>francois1 guergadic</cp:lastModifiedBy>
  <cp:revision>1</cp:revision>
  <dcterms:created xsi:type="dcterms:W3CDTF">2016-11-04T10:09:00Z</dcterms:created>
  <dcterms:modified xsi:type="dcterms:W3CDTF">2016-11-04T20:55:00Z</dcterms:modified>
</cp:coreProperties>
</file>