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B3A6B"/>
          <w:sz w:val="52"/>
          <w:szCs w:val="52"/>
        </w:rPr>
        <w:t xml:space="preserve">SEVENTH GENERATION BRIEF</w:t>
      </w:r>
    </w:p>
    <w:p>
      <w:pPr>
        <w:spacing w:after="60" w:before="0"/>
      </w:pPr>
      <w:r>
        <w:rPr>
          <w:rFonts w:ascii="Arial" w:cs="Arial" w:eastAsia="Arial" w:hAnsi="Arial"/>
          <w:color w:val="1A1A2E"/>
          <w:sz w:val="28"/>
          <w:szCs w:val="28"/>
        </w:rPr>
        <w:t xml:space="preserve">The 2026 Iran Conflict: Irreversible Domestic Harm and the Case for Immediate Congressional Action</w:t>
      </w:r>
    </w:p>
    <w:p>
      <w:pPr>
        <w:spacing w:after="480" w:before="60"/>
      </w:pPr>
      <w:r>
        <w:rPr>
          <w:rFonts w:ascii="Arial" w:cs="Arial" w:eastAsia="Arial" w:hAnsi="Arial"/>
          <w:i/>
          <w:iCs/>
          <w:color w:val="888888"/>
          <w:sz w:val="20"/>
          <w:szCs w:val="20"/>
        </w:rPr>
        <w:t xml:space="preserve">Prepared by the Federated Village Project  |  April 4, 2026</w:t>
      </w:r>
    </w:p>
    <w:p>
      <w:pPr>
        <w:pBdr>
          <w:bottom w:val="single" w:color="1B3A6B" w:sz="4" w:space="1"/>
        </w:pBdr>
        <w:spacing w:after="200" w:before="200"/>
      </w:pPr>
      <w:r>
        <w:t xml:space="preserve"/>
      </w:r>
    </w:p>
    <w:p>
      <w:pPr>
        <w:spacing w:after="120" w:before="240"/>
      </w:pPr>
      <w:r>
        <w:rPr>
          <w:rFonts w:ascii="Arial" w:cs="Arial" w:eastAsia="Arial" w:hAnsi="Arial"/>
          <w:b/>
          <w:bCs/>
          <w:color w:val="1B3A6B"/>
          <w:sz w:val="28"/>
          <w:szCs w:val="28"/>
        </w:rPr>
        <w:t xml:space="preserve">What Is This Document</w:t>
      </w:r>
    </w:p>
    <w:p>
      <w:pPr>
        <w:spacing w:after="120" w:before="60"/>
      </w:pPr>
      <w:r>
        <w:rPr>
          <w:rFonts w:ascii="Arial" w:cs="Arial" w:eastAsia="Arial" w:hAnsi="Arial"/>
          <w:sz w:val="22"/>
          <w:szCs w:val="22"/>
        </w:rPr>
        <w:t xml:space="preserve">This brief presents findings from a structured cross-model AI analysis of the 2026 US-Iran conflict and its domestic consequences, evaluated through the Seventh Generation Principle: every significant decision must be assessed for what it irreversibly forecloses for people living 140 years from now.</w:t>
      </w:r>
    </w:p>
    <w:p>
      <w:pPr>
        <w:spacing w:after="120" w:before="60"/>
      </w:pPr>
      <w:r>
        <w:rPr>
          <w:rFonts w:ascii="Arial" w:cs="Arial" w:eastAsia="Arial" w:hAnsi="Arial"/>
          <w:sz w:val="22"/>
          <w:szCs w:val="22"/>
        </w:rPr>
        <w:t xml:space="preserve">Four major AI models — Kimi K2.5 (Moonshot AI), Qwen 3.5 35B, Gemma 4 26B (Google), and GLM-5V — were run simultaneously on the same factual basis, each producing independent constitutional analyses. A fifth model (DeepSeek-R1) synthesized where they agreed, where they diverged, and what each uniquely identified that the others missed.</w:t>
      </w:r>
    </w:p>
    <w:p>
      <w:pPr>
        <w:spacing w:after="120" w:before="60"/>
      </w:pPr>
      <w:r>
        <w:rPr>
          <w:rFonts w:ascii="Arial" w:cs="Arial" w:eastAsia="Arial" w:hAnsi="Arial"/>
          <w:sz w:val="22"/>
          <w:szCs w:val="22"/>
        </w:rPr>
        <w:t xml:space="preserve">This methodology — heterogeneous AI deliberation — surfaces findings that no single model reaches alone. The consensus findings represent the most robust conclusions; the unique insights represent what only one analytical voice caught. Both matter.</w:t>
      </w:r>
    </w:p>
    <w:p>
      <w:pPr>
        <w:spacing w:after="120" w:before="0"/>
      </w:pPr>
      <w:r>
        <w:t xml:space="preserve"/>
      </w:r>
    </w:p>
    <w:p>
      <w:pPr>
        <w:pStyle w:val="Heading1"/>
        <w:spacing w:after="120" w:before="360"/>
      </w:pPr>
      <w:r>
        <w:rPr>
          <w:rFonts w:ascii="Arial" w:cs="Arial" w:eastAsia="Arial" w:hAnsi="Arial"/>
          <w:b/>
          <w:bCs/>
          <w:color w:val="1B3A6B"/>
          <w:sz w:val="28"/>
          <w:szCs w:val="2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B3A6B" w:sz="12"/>
              <w:bottom w:val="none" w:color="FFFFFF" w:sz="0"/>
              <w:right w:val="none" w:color="FFFFFF" w:sz="0"/>
            </w:tcBorders>
            <w:shd w:fill="EEF2F8" w:val="clear"/>
            <w:tcMar>
              <w:top w:type="dxa" w:w="120"/>
              <w:left w:type="dxa" w:w="240"/>
              <w:bottom w:type="dxa" w:w="120"/>
              <w:right w:type="dxa" w:w="120"/>
            </w:tcMar>
          </w:tcPr>
          <w:p>
            <w:pPr>
              <w:spacing w:after="60" w:before="60"/>
            </w:pPr>
            <w:r>
              <w:rPr>
                <w:rFonts w:ascii="Arial" w:cs="Arial" w:eastAsia="Arial" w:hAnsi="Arial"/>
                <w:i/>
                <w:iCs/>
                <w:color w:val="1A1A2E"/>
                <w:sz w:val="22"/>
                <w:szCs w:val="22"/>
              </w:rPr>
              <w:t xml:space="preserve">The 2026 crisis is not a resource shock but a constitutional singularity: the moment humanity’s governing systems — legal, financial, epistemic, and geopolitical — prove incapable of stewarding the material and knowledge base required for their own continuity.</w:t>
            </w:r>
          </w:p>
        </w:tc>
      </w:tr>
    </w:tbl>
    <w:p>
      <w:pPr>
        <w:spacing w:after="120" w:before="0"/>
      </w:pPr>
      <w:r>
        <w:t xml:space="preserve"/>
      </w:r>
    </w:p>
    <w:p>
      <w:pPr>
        <w:spacing w:after="120" w:before="60"/>
      </w:pPr>
      <w:r>
        <w:rPr>
          <w:rFonts w:ascii="Arial" w:cs="Arial" w:eastAsia="Arial" w:hAnsi="Arial"/>
          <w:sz w:val="22"/>
          <w:szCs w:val="22"/>
        </w:rPr>
        <w:t xml:space="preserve">Three irreversible processes are now underway simultaneously:</w:t>
      </w:r>
    </w:p>
    <w:p>
      <w:pPr>
        <w:pStyle w:val="ListParagraph"/>
        <w:numPr>
          <w:ilvl w:val="0"/>
          <w:numId w:val="2"/>
        </w:numPr>
        <w:spacing w:after="60" w:before="40"/>
      </w:pPr>
      <w:r>
        <w:rPr>
          <w:rFonts w:ascii="Arial" w:cs="Arial" w:eastAsia="Arial" w:hAnsi="Arial"/>
          <w:sz w:val="22"/>
          <w:szCs w:val="22"/>
        </w:rPr>
        <w:t xml:space="preserve">The global helium supply has been severed. Qatar’s Ras Laffan facility — 30–38% of world output — declared force majeure after Iranian strikes. Helium stranded in cryogenic containers is venting to the atmosphere and escaping Earth’s gravity permanently. It cannot be recovered.</w:t>
      </w:r>
    </w:p>
    <w:p>
      <w:pPr>
        <w:pStyle w:val="ListParagraph"/>
        <w:numPr>
          <w:ilvl w:val="0"/>
          <w:numId w:val="2"/>
        </w:numPr>
        <w:spacing w:after="60" w:before="40"/>
      </w:pPr>
      <w:r>
        <w:rPr>
          <w:rFonts w:ascii="Arial" w:cs="Arial" w:eastAsia="Arial" w:hAnsi="Arial"/>
          <w:sz w:val="22"/>
          <w:szCs w:val="22"/>
        </w:rPr>
        <w:t xml:space="preserve">The nitrogen fertilizer supply chain is broken. Strait of Hormuz closure blocks both natural gas feedstock and shipping routes for existing stocks. The 2026 harvest will reflect this. The soil degradation that follows a fertilizer interruption takes decades to repair.</w:t>
      </w:r>
    </w:p>
    <w:p>
      <w:pPr>
        <w:pStyle w:val="ListParagraph"/>
        <w:numPr>
          <w:ilvl w:val="0"/>
          <w:numId w:val="2"/>
        </w:numPr>
        <w:spacing w:after="60" w:before="40"/>
      </w:pPr>
      <w:r>
        <w:rPr>
          <w:rFonts w:ascii="Arial" w:cs="Arial" w:eastAsia="Arial" w:hAnsi="Arial"/>
          <w:sz w:val="22"/>
          <w:szCs w:val="22"/>
        </w:rPr>
        <w:t xml:space="preserve">Dollar reserve status is eroding under pressure it was not designed to withstand. Each use of financial sanctions against essential civilian resources accelerates the construction of alternative trade systems that, once operational, do not revert.</w:t>
      </w:r>
    </w:p>
    <w:p>
      <w:pPr>
        <w:spacing w:after="120" w:before="0"/>
      </w:pPr>
      <w:r>
        <w:t xml:space="preserve"/>
      </w:r>
    </w:p>
    <w:p>
      <w:pPr>
        <w:spacing w:after="120" w:before="60"/>
      </w:pPr>
      <w:r>
        <w:rPr>
          <w:rFonts w:ascii="Arial" w:cs="Arial" w:eastAsia="Arial" w:hAnsi="Arial"/>
          <w:sz w:val="22"/>
          <w:szCs w:val="22"/>
        </w:rPr>
        <w:t xml:space="preserve">The Suez Crisis of 1956 is the closest historical parallel. Britain attacked Egypt against US wishes, achieved military success, and was forced into permanent withdrawal within weeks — its reserve currency status destroyed in months. The critical structural difference: in 1956, an external power (the United States) imposed the correction. In 2026, the United States is the acting hegemon. There is no Eisenhower. Without an external correction mechanism, the damage compounds until it becomes transformation.</w:t>
      </w:r>
    </w:p>
    <w:p>
      <w:pPr>
        <w:spacing w:after="120" w:before="0"/>
      </w:pPr>
      <w:r>
        <w:t xml:space="preserve"/>
      </w:r>
    </w:p>
    <w:p>
      <w:pPr>
        <w:pStyle w:val="Heading1"/>
        <w:spacing w:after="120" w:before="360"/>
      </w:pPr>
      <w:r>
        <w:rPr>
          <w:rFonts w:ascii="Arial" w:cs="Arial" w:eastAsia="Arial" w:hAnsi="Arial"/>
          <w:b/>
          <w:bCs/>
          <w:color w:val="1B3A6B"/>
          <w:sz w:val="28"/>
          <w:szCs w:val="28"/>
        </w:rPr>
        <w:t xml:space="preserve">Core Findings: Where All Four Models Agreed</w:t>
      </w:r>
    </w:p>
    <w:p>
      <w:pPr>
        <w:spacing w:after="120" w:before="60"/>
      </w:pPr>
      <w:r>
        <w:rPr>
          <w:rFonts w:ascii="Arial" w:cs="Arial" w:eastAsia="Arial" w:hAnsi="Arial"/>
          <w:sz w:val="22"/>
          <w:szCs w:val="22"/>
        </w:rPr>
        <w:t xml:space="preserve">The following findings were reached independently by all four models. Cross-model consensus is the strongest form of analytical confidence this methodology produces.</w:t>
      </w:r>
    </w:p>
    <w:p>
      <w:pPr>
        <w:spacing w:after="120" w:before="0"/>
      </w:pPr>
      <w:r>
        <w:t xml:space="preserve"/>
      </w:r>
    </w:p>
    <w:p>
      <w:pPr>
        <w:pStyle w:val="Heading2"/>
        <w:spacing w:after="80" w:before="280"/>
      </w:pPr>
      <w:r>
        <w:rPr>
          <w:rFonts w:ascii="Arial" w:cs="Arial" w:eastAsia="Arial" w:hAnsi="Arial"/>
          <w:b/>
          <w:bCs/>
          <w:color w:val="1B3A6B"/>
          <w:sz w:val="24"/>
          <w:szCs w:val="24"/>
        </w:rPr>
        <w:t xml:space="preserve">1. Helium: Epistemic Foreclosure, Not Just Resource Shortage</w:t>
      </w:r>
    </w:p>
    <w:p>
      <w:pPr>
        <w:spacing w:after="120" w:before="60"/>
      </w:pPr>
      <w:r>
        <w:rPr>
          <w:rFonts w:ascii="Arial" w:cs="Arial" w:eastAsia="Arial" w:hAnsi="Arial"/>
          <w:sz w:val="22"/>
          <w:szCs w:val="22"/>
        </w:rPr>
        <w:t xml:space="preserve">Helium is non-renewable on any human timescale. Once released to atmosphere it escapes Earth’s gravity and is permanently gone. The current crisis is not depleting helium through use — it is destroying it through negligence: stranded cryogenic containers venting while transport corridors remain closed.</w:t>
      </w:r>
    </w:p>
    <w:p>
      <w:pPr>
        <w:spacing w:after="120" w:before="60"/>
      </w:pPr>
      <w:r>
        <w:rPr>
          <w:rFonts w:ascii="Arial" w:cs="Arial" w:eastAsia="Arial" w:hAnsi="Arial"/>
          <w:sz w:val="22"/>
          <w:szCs w:val="22"/>
        </w:rPr>
        <w:t xml:space="preserve">The loss is not limited to MRI machines and semiconductor manufacturing. Helium maintains the International Temperature Scale (ITS-90) and quantum electrical standards. Without it, metrological traceability drifts — within a generation, temperature and magnetic field calibrations across research institutions become incomparable. Climate data from 2026 forward becomes incompatible with post-2050 measurements. Fusion research fails not from theoretical limits but from calibration divergence.</w:t>
      </w:r>
    </w:p>
    <w:p>
      <w:pPr>
        <w:spacing w:after="120" w:before="60"/>
      </w:pPr>
      <w:r>
        <w:rPr>
          <w:rFonts w:ascii="Arial" w:cs="Arial" w:eastAsia="Arial" w:hAnsi="Arial"/>
          <w:sz w:val="22"/>
          <w:szCs w:val="22"/>
        </w:rPr>
        <w:t xml:space="preserve">All four models identified this as irreplaceable resource depletion activating a harm that compounds across centuries, not decades.</w:t>
      </w:r>
    </w:p>
    <w:p>
      <w:pPr>
        <w:spacing w:after="120" w:before="0"/>
      </w:pPr>
      <w:r>
        <w:t xml:space="preserve"/>
      </w:r>
    </w:p>
    <w:p>
      <w:pPr>
        <w:pStyle w:val="Heading2"/>
        <w:spacing w:after="80" w:before="280"/>
      </w:pPr>
      <w:r>
        <w:rPr>
          <w:rFonts w:ascii="Arial" w:cs="Arial" w:eastAsia="Arial" w:hAnsi="Arial"/>
          <w:b/>
          <w:bCs/>
          <w:color w:val="1B3A6B"/>
          <w:sz w:val="24"/>
          <w:szCs w:val="24"/>
        </w:rPr>
        <w:t xml:space="preserve">2. Weaponizing the Dollar Destroys the Trust Commons</w:t>
      </w:r>
    </w:p>
    <w:p>
      <w:pPr>
        <w:spacing w:after="120" w:before="60"/>
      </w:pPr>
      <w:r>
        <w:rPr>
          <w:rFonts w:ascii="Arial" w:cs="Arial" w:eastAsia="Arial" w:hAnsi="Arial"/>
          <w:sz w:val="22"/>
          <w:szCs w:val="22"/>
        </w:rPr>
        <w:t xml:space="preserve">Each use of financial infrastructure as a weapon against essential civilian resources withdraws from a non-renewable commons: the trust that makes long-term cross-border agreements possible. Unlike oil, trust does not regenerate when pressure eases.</w:t>
      </w:r>
    </w:p>
    <w:p>
      <w:pPr>
        <w:spacing w:after="120" w:before="60"/>
      </w:pPr>
      <w:r>
        <w:rPr>
          <w:rFonts w:ascii="Arial" w:cs="Arial" w:eastAsia="Arial" w:hAnsi="Arial"/>
          <w:sz w:val="22"/>
          <w:szCs w:val="22"/>
        </w:rPr>
        <w:t xml:space="preserve">Once nations experience that survival-critical supply chains can be severed by Treasury action, multi-decade agreements become impossible to secure. The 30-year financing required for fusion research, nuclear waste stewardship, and climate infrastructure cannot be contracted in a world where any agreement can be unilaterally voided for national security. This closes the door on the very long-horizon cooperation that planetary challenges require.</w:t>
      </w:r>
    </w:p>
    <w:p>
      <w:pPr>
        <w:spacing w:after="120" w:before="0"/>
      </w:pPr>
      <w:r>
        <w:t xml:space="preserve"/>
      </w:r>
    </w:p>
    <w:p>
      <w:pPr>
        <w:pStyle w:val="Heading2"/>
        <w:spacing w:after="80" w:before="280"/>
      </w:pPr>
      <w:r>
        <w:rPr>
          <w:rFonts w:ascii="Arial" w:cs="Arial" w:eastAsia="Arial" w:hAnsi="Arial"/>
          <w:b/>
          <w:bCs/>
          <w:color w:val="1B3A6B"/>
          <w:sz w:val="24"/>
          <w:szCs w:val="24"/>
        </w:rPr>
        <w:t xml:space="preserve">3. The Absence of a Correction Mechanism Is the Lock-In</w:t>
      </w:r>
    </w:p>
    <w:p>
      <w:pPr>
        <w:spacing w:after="120" w:before="60"/>
      </w:pPr>
      <w:r>
        <w:rPr>
          <w:rFonts w:ascii="Arial" w:cs="Arial" w:eastAsia="Arial" w:hAnsi="Arial"/>
          <w:sz w:val="22"/>
          <w:szCs w:val="22"/>
        </w:rPr>
        <w:t xml:space="preserve">In 1956, the United States forced Britain to withdraw from Suez in weeks by threatening to crash the pound. The correction was swift because an external constraint existed. Britain’s decline was brutal but bounded.</w:t>
      </w:r>
    </w:p>
    <w:p>
      <w:pPr>
        <w:spacing w:after="120" w:before="60"/>
      </w:pPr>
      <w:r>
        <w:rPr>
          <w:rFonts w:ascii="Arial" w:cs="Arial" w:eastAsia="Arial" w:hAnsi="Arial"/>
          <w:sz w:val="22"/>
          <w:szCs w:val="22"/>
        </w:rPr>
        <w:t xml:space="preserve">The United States in 2026 faces no equivalent external constraint. The structural position of hegemony means self-damaging behavior can persist far longer than any subordinate power could endure — long enough to convert temporary damage into permanent structural transformation. The remaining correction mechanisms are catastrophic: reserve currency collapse, military defeat, domestic systemic failure. These do not correct; they destroy and replace.</w:t>
      </w:r>
    </w:p>
    <w:p>
      <w:pPr>
        <w:spacing w:after="120" w:before="0"/>
      </w:pPr>
      <w:r>
        <w:t xml:space="preserve"/>
      </w:r>
    </w:p>
    <w:p>
      <w:pPr>
        <w:pStyle w:val="Heading2"/>
        <w:spacing w:after="80" w:before="280"/>
      </w:pPr>
      <w:r>
        <w:rPr>
          <w:rFonts w:ascii="Arial" w:cs="Arial" w:eastAsia="Arial" w:hAnsi="Arial"/>
          <w:b/>
          <w:bCs/>
          <w:color w:val="1B3A6B"/>
          <w:sz w:val="24"/>
          <w:szCs w:val="24"/>
        </w:rPr>
        <w:t xml:space="preserve">4. The Fertilizer Crisis Is a Soil Inheritance Problem</w:t>
      </w:r>
    </w:p>
    <w:p>
      <w:pPr>
        <w:spacing w:after="120" w:before="60"/>
      </w:pPr>
      <w:r>
        <w:rPr>
          <w:rFonts w:ascii="Arial" w:cs="Arial" w:eastAsia="Arial" w:hAnsi="Arial"/>
          <w:sz w:val="22"/>
          <w:szCs w:val="22"/>
        </w:rPr>
        <w:t xml:space="preserve">Synthetic ammonia currently sustains approximately 40% of global dietary protein. Disruption does not cascade primarily through immediate starvation — it cascades through soil mining. Farmers unable to afford fertilizer draw down soil organic matter to maintain yields, depleting a commons that requires decades to regenerate.</w:t>
      </w:r>
    </w:p>
    <w:p>
      <w:pPr>
        <w:spacing w:after="120" w:before="60"/>
      </w:pPr>
      <w:r>
        <w:rPr>
          <w:rFonts w:ascii="Arial" w:cs="Arial" w:eastAsia="Arial" w:hAnsi="Arial"/>
          <w:sz w:val="22"/>
          <w:szCs w:val="22"/>
        </w:rPr>
        <w:t xml:space="preserve">Industrial agriculture has already destroyed 33% of global topsoil. A forced interruption in the fertilizer supply, during a window when alternatives could have been built but were not, steals from 2166 in the form of agricultural land that may never fully recover.</w:t>
      </w:r>
    </w:p>
    <w:p>
      <w:pPr>
        <w:spacing w:after="120" w:before="0"/>
      </w:pPr>
      <w:r>
        <w:t xml:space="preserve"/>
      </w:r>
    </w:p>
    <w:p>
      <w:pPr>
        <w:pStyle w:val="Heading1"/>
        <w:spacing w:after="120" w:before="360"/>
      </w:pPr>
      <w:r>
        <w:rPr>
          <w:rFonts w:ascii="Arial" w:cs="Arial" w:eastAsia="Arial" w:hAnsi="Arial"/>
          <w:b/>
          <w:bCs/>
          <w:color w:val="1B3A6B"/>
          <w:sz w:val="28"/>
          <w:szCs w:val="28"/>
        </w:rPr>
        <w:t xml:space="preserve">What Each Model Saw That the Others Missed</w:t>
      </w:r>
    </w:p>
    <w:p>
      <w:pPr>
        <w:spacing w:after="120" w:before="60"/>
      </w:pPr>
      <w:r>
        <w:rPr>
          <w:rFonts w:ascii="Arial" w:cs="Arial" w:eastAsia="Arial" w:hAnsi="Arial"/>
          <w:sz w:val="22"/>
          <w:szCs w:val="22"/>
        </w:rPr>
        <w:t xml:space="preserve">The most valuable outputs from the cross-check are the findings only one model produced. A single model’s blind spot is everyone else’s.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Unique Finding</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Kimi K2.5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of Metrological Sovereignty. Helium is essential not just for applications but for defining physical reality — maintaining the Kelvin, voltage, and resistance standards. Loss causes “metrological drift” where global scientific data becomes incomparable across borders and decades, crippling climate science and fusion research from the inside.</w:t>
            </w:r>
          </w:p>
        </w:tc>
      </w:tr>
      <w:tr>
        <w:tc>
          <w:tcPr>
            <w:tcW w:type="dxa" w:w="2200"/>
            <w:tcBorders>
              <w:top w:val="single" w:color="CCCCCC" w:sz="1"/>
              <w:left w:val="single" w:color="CCCCCC" w:sz="1"/>
              <w:bottom w:val="single" w:color="CCCCCC" w:sz="1"/>
              <w:right w:val="single" w:color="CCCCCC" w:sz="1"/>
            </w:tcBorders>
            <w:shd w:fill="D0DAF0" w:val="clear"/>
            <w:tcMar>
              <w:top w:type="dxa" w:w="80"/>
              <w:left w:type="dxa" w:w="120"/>
              <w:bottom w:type="dxa" w:w="80"/>
              <w:right w:type="dxa" w:w="120"/>
            </w:tcMar>
          </w:tcPr>
          <w:p>
            <w:r>
              <w:rPr>
                <w:rFonts w:ascii="Arial" w:cs="Arial" w:eastAsia="Arial" w:hAnsi="Arial"/>
                <w:b/>
                <w:bCs/>
                <w:sz w:val="20"/>
                <w:szCs w:val="20"/>
              </w:rPr>
              <w:t xml:space="preserve">Qwen 3.5 35B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as a Depletable Commons. Financial trust does not regenerate when pressure eases. Qwen identified the precise legal moment of no return: legislative codification of “Resource Weaponization” into domestic US law creates a path dependency of distrust, making every future long-term resource agreement legally unenforceable.</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sz w:val="20"/>
                <w:szCs w:val="20"/>
              </w:rPr>
              <w:t xml:space="preserve">GLM-5V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Epistemic Trap of Unconstrained Hegemony. The master-key finding: the absence of an external correction mechanism means the US can persist in self-damaging behavior until temporary damage becomes permanent transformation. The lock-in is not the initial decision but the structural impossibility of reversal.</w:t>
            </w:r>
          </w:p>
        </w:tc>
      </w:tr>
      <w:tr>
        <w:tc>
          <w:tcPr>
            <w:tcW w:type="dxa" w:w="2200"/>
            <w:tcBorders>
              <w:top w:val="single" w:color="CCCCCC" w:sz="1"/>
              <w:left w:val="single" w:color="CCCCCC" w:sz="1"/>
              <w:bottom w:val="single" w:color="CCCCCC" w:sz="1"/>
              <w:right w:val="single" w:color="CCCCCC" w:sz="1"/>
            </w:tcBorders>
            <w:shd w:fill="D0DAF0" w:val="clear"/>
            <w:tcMar>
              <w:top w:type="dxa" w:w="80"/>
              <w:left w:type="dxa" w:w="120"/>
              <w:bottom w:type="dxa" w:w="80"/>
              <w:right w:type="dxa" w:w="120"/>
            </w:tcMar>
          </w:tcPr>
          <w:p>
            <w:r>
              <w:rPr>
                <w:rFonts w:ascii="Arial" w:cs="Arial" w:eastAsia="Arial" w:hAnsi="Arial"/>
                <w:b/>
                <w:bCs/>
                <w:sz w:val="20"/>
                <w:szCs w:val="20"/>
              </w:rPr>
              <w:t xml:space="preserve">Gemma 4 26B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Foreclosure of Physical Agency. The ultimate consequence is not scarcity or decline but the loss of the capacity to act on the world at a high technological level. Future generations are trapped in a “managed descent” they did not choose, unable to execute the solutions they can imagine.</w:t>
            </w:r>
          </w:p>
        </w:tc>
      </w:tr>
    </w:tbl>
    <w:p>
      <w:pPr>
        <w:spacing w:after="120" w:before="0"/>
      </w:pPr>
      <w:r>
        <w:t xml:space="preserve"/>
      </w:r>
    </w:p>
    <w:p>
      <w:pPr>
        <w:pStyle w:val="Heading1"/>
        <w:spacing w:after="120" w:before="360"/>
      </w:pPr>
      <w:r>
        <w:rPr>
          <w:rFonts w:ascii="Arial" w:cs="Arial" w:eastAsia="Arial" w:hAnsi="Arial"/>
          <w:b/>
          <w:bCs/>
          <w:color w:val="1B3A6B"/>
          <w:sz w:val="28"/>
          <w:szCs w:val="28"/>
        </w:rPr>
        <w:t xml:space="preserve">What Congress Must Do: 90-Day Action Plan</w:t>
      </w:r>
    </w:p>
    <w:p>
      <w:pPr>
        <w:spacing w:after="120" w:before="60"/>
      </w:pPr>
      <w:r>
        <w:rPr>
          <w:rFonts w:ascii="Arial" w:cs="Arial" w:eastAsia="Arial" w:hAnsi="Arial"/>
          <w:sz w:val="22"/>
          <w:szCs w:val="22"/>
        </w:rPr>
        <w:t xml:space="preserve">The following actions are drawn directly from the mitigation architectures produced by the cross-check panel. They are ordered by urgency. The first three can be initiated under existing authority without new legislation.</w:t>
      </w:r>
    </w:p>
    <w:p>
      <w:pPr>
        <w:spacing w:after="120" w:before="0"/>
      </w:pPr>
      <w:r>
        <w:t xml:space="preserve"/>
      </w:r>
    </w:p>
    <w:p>
      <w:pPr>
        <w:pStyle w:val="Heading2"/>
        <w:spacing w:after="80" w:before="280"/>
      </w:pPr>
      <w:r>
        <w:rPr>
          <w:rFonts w:ascii="Arial" w:cs="Arial" w:eastAsia="Arial" w:hAnsi="Arial"/>
          <w:b/>
          <w:bCs/>
          <w:color w:val="1B3A6B"/>
          <w:sz w:val="24"/>
          <w:szCs w:val="24"/>
        </w:rPr>
        <w:t xml:space="preserve">Immediate — Executive Authority Available Now</w:t>
      </w:r>
    </w:p>
    <w:p>
      <w:pPr>
        <w:pStyle w:val="ListParagraph"/>
        <w:numPr>
          <w:ilvl w:val="0"/>
          <w:numId w:val="3"/>
        </w:numPr>
        <w:spacing w:after="80" w:before="60"/>
      </w:pPr>
      <w:r>
        <w:rPr>
          <w:rFonts w:ascii="Arial" w:cs="Arial" w:eastAsia="Arial" w:hAnsi="Arial"/>
          <w:b/>
          <w:bCs/>
          <w:sz w:val="22"/>
          <w:szCs w:val="22"/>
        </w:rPr>
        <w:t xml:space="preserve">HELIUM &amp; FERTILIZER CARVE-OUT: </w:t>
      </w:r>
      <w:r>
        <w:rPr>
          <w:rFonts w:ascii="Arial" w:cs="Arial" w:eastAsia="Arial" w:hAnsi="Arial"/>
          <w:sz w:val="22"/>
          <w:szCs w:val="22"/>
        </w:rPr>
        <w:t xml:space="preserve">Invoke Defense Production Act Title III to suspend the sanctions elements blocking Iranian helium and fertilizer exports for civilian humanitarian and industrial use. This does not resolve the geopolitical conflict. It decouples the resource survival question from the military contest. The US can oppose Iran militarily while refusing to allow resource warfare to destroy its own industrial base.</w:t>
      </w:r>
    </w:p>
    <w:p>
      <w:pPr>
        <w:pStyle w:val="ListParagraph"/>
        <w:numPr>
          <w:ilvl w:val="0"/>
          <w:numId w:val="3"/>
        </w:numPr>
        <w:spacing w:after="80" w:before="60"/>
      </w:pPr>
      <w:r>
        <w:rPr>
          <w:rFonts w:ascii="Arial" w:cs="Arial" w:eastAsia="Arial" w:hAnsi="Arial"/>
          <w:b/>
          <w:bCs/>
          <w:sz w:val="22"/>
          <w:szCs w:val="22"/>
        </w:rPr>
        <w:t xml:space="preserve">STOP THE VENTING: </w:t>
      </w:r>
      <w:r>
        <w:rPr>
          <w:rFonts w:ascii="Arial" w:cs="Arial" w:eastAsia="Arial" w:hAnsi="Arial"/>
          <w:sz w:val="22"/>
          <w:szCs w:val="22"/>
        </w:rPr>
        <w:t xml:space="preserve">Issue sovereign guarantees for helium recapture at all domestic medical and industrial sites. Every cubic meter venting from stranded cryogenic equipment is permanently gone. Mandate emergency recapture protocols at hospitals, research facilities, and semiconductor fabs now. Each percentage point retained is helium available to future generations.</w:t>
      </w:r>
    </w:p>
    <w:p>
      <w:pPr>
        <w:pStyle w:val="ListParagraph"/>
        <w:numPr>
          <w:ilvl w:val="0"/>
          <w:numId w:val="3"/>
        </w:numPr>
        <w:spacing w:after="80" w:before="60"/>
      </w:pPr>
      <w:r>
        <w:rPr>
          <w:rFonts w:ascii="Arial" w:cs="Arial" w:eastAsia="Arial" w:hAnsi="Arial"/>
          <w:b/>
          <w:bCs/>
          <w:sz w:val="22"/>
          <w:szCs w:val="22"/>
        </w:rPr>
        <w:t xml:space="preserve">IEA RESERVE POOLING: </w:t>
      </w:r>
      <w:r>
        <w:rPr>
          <w:rFonts w:ascii="Arial" w:cs="Arial" w:eastAsia="Arial" w:hAnsi="Arial"/>
          <w:sz w:val="22"/>
          <w:szCs w:val="22"/>
        </w:rPr>
        <w:t xml:space="preserve">Invoke IEA treaty Article 5 requiring mandatory strategic reserve pooling for essential non-energy materials. The US failed to do this when Qatar declared force majeure on March 3, 2026. That window has passed for helium specifically, but the mechanism can still be applied to fertilizer precursors and rare earths.</w:t>
      </w:r>
    </w:p>
    <w:p>
      <w:pPr>
        <w:spacing w:after="120" w:before="0"/>
      </w:pPr>
      <w:r>
        <w:t xml:space="preserve"/>
      </w:r>
    </w:p>
    <w:p>
      <w:pPr>
        <w:pStyle w:val="Heading2"/>
        <w:spacing w:after="80" w:before="280"/>
      </w:pPr>
      <w:r>
        <w:rPr>
          <w:rFonts w:ascii="Arial" w:cs="Arial" w:eastAsia="Arial" w:hAnsi="Arial"/>
          <w:b/>
          <w:bCs/>
          <w:color w:val="1B3A6B"/>
          <w:sz w:val="24"/>
          <w:szCs w:val="24"/>
        </w:rPr>
        <w:t xml:space="preserve">30-Day Actions — Require Emergency Legislation</w:t>
      </w:r>
    </w:p>
    <w:p>
      <w:pPr>
        <w:pStyle w:val="ListParagraph"/>
        <w:numPr>
          <w:ilvl w:val="0"/>
          <w:numId w:val="3"/>
        </w:numPr>
        <w:spacing w:after="80" w:before="60"/>
      </w:pPr>
      <w:r>
        <w:rPr>
          <w:rFonts w:ascii="Arial" w:cs="Arial" w:eastAsia="Arial" w:hAnsi="Arial"/>
          <w:b/>
          <w:bCs/>
          <w:sz w:val="22"/>
          <w:szCs w:val="22"/>
        </w:rPr>
        <w:t xml:space="preserve">CRITICAL COMMONS TRUST: </w:t>
      </w:r>
      <w:r>
        <w:rPr>
          <w:rFonts w:ascii="Arial" w:cs="Arial" w:eastAsia="Arial" w:hAnsi="Arial"/>
          <w:sz w:val="22"/>
          <w:szCs w:val="22"/>
        </w:rPr>
        <w:t xml:space="preserve">Establish a Seventh Generation Trust over helium, nitrogen, and phosphorus — a legally binding trust immune to executive sanction power, managed by a bipartisan independent board with veto authority over Treasury regarding flows of life-support resources. Modeled on Native American tribal environmental law precedent.</w:t>
      </w:r>
    </w:p>
    <w:p>
      <w:pPr>
        <w:pStyle w:val="ListParagraph"/>
        <w:numPr>
          <w:ilvl w:val="0"/>
          <w:numId w:val="3"/>
        </w:numPr>
        <w:spacing w:after="80" w:before="60"/>
      </w:pPr>
      <w:r>
        <w:rPr>
          <w:rFonts w:ascii="Arial" w:cs="Arial" w:eastAsia="Arial" w:hAnsi="Arial"/>
          <w:b/>
          <w:bCs/>
          <w:sz w:val="22"/>
          <w:szCs w:val="22"/>
        </w:rPr>
        <w:t xml:space="preserve">DISTRIBUTED AMMONIA: </w:t>
      </w:r>
      <w:r>
        <w:rPr>
          <w:rFonts w:ascii="Arial" w:cs="Arial" w:eastAsia="Arial" w:hAnsi="Arial"/>
          <w:sz w:val="22"/>
          <w:szCs w:val="22"/>
        </w:rPr>
        <w:t xml:space="preserve">Fund community-scale electrolytic ammonia production units (100–500 kg/day capacity, $2–5M per unit) at 50+ locations using emergency wartime procurement authority. These units operate on local renewables, independent of natural gas and global shipping. Each unit operational in 2027 prevents decades of soil mining in its service area.</w:t>
      </w:r>
    </w:p>
    <w:p>
      <w:pPr>
        <w:pStyle w:val="ListParagraph"/>
        <w:numPr>
          <w:ilvl w:val="0"/>
          <w:numId w:val="3"/>
        </w:numPr>
        <w:spacing w:after="80" w:before="60"/>
      </w:pPr>
      <w:r>
        <w:rPr>
          <w:rFonts w:ascii="Arial" w:cs="Arial" w:eastAsia="Arial" w:hAnsi="Arial"/>
          <w:b/>
          <w:bCs/>
          <w:sz w:val="22"/>
          <w:szCs w:val="22"/>
        </w:rPr>
        <w:t xml:space="preserve">HELIUM RECYCLING MANDATE: </w:t>
      </w:r>
      <w:r>
        <w:rPr>
          <w:rFonts w:ascii="Arial" w:cs="Arial" w:eastAsia="Arial" w:hAnsi="Arial"/>
          <w:sz w:val="22"/>
          <w:szCs w:val="22"/>
        </w:rPr>
        <w:t xml:space="preserve">Mandate a Helium Stewardship standard: 90% of helium used in MRI and semiconductor lithography must be captured and recycled within the facility. Pair with federal procurement preference for facilities meeting this standard. Creates immediate market signal.</w:t>
      </w:r>
    </w:p>
    <w:p>
      <w:pPr>
        <w:spacing w:after="120" w:before="0"/>
      </w:pPr>
      <w:r>
        <w:t xml:space="preserve"/>
      </w:r>
    </w:p>
    <w:p>
      <w:pPr>
        <w:pStyle w:val="Heading2"/>
        <w:spacing w:after="80" w:before="280"/>
      </w:pPr>
      <w:r>
        <w:rPr>
          <w:rFonts w:ascii="Arial" w:cs="Arial" w:eastAsia="Arial" w:hAnsi="Arial"/>
          <w:b/>
          <w:bCs/>
          <w:color w:val="1B3A6B"/>
          <w:sz w:val="24"/>
          <w:szCs w:val="24"/>
        </w:rPr>
        <w:t xml:space="preserve">90-Day Actions — Structural</w:t>
      </w:r>
    </w:p>
    <w:p>
      <w:pPr>
        <w:pStyle w:val="ListParagraph"/>
        <w:numPr>
          <w:ilvl w:val="0"/>
          <w:numId w:val="3"/>
        </w:numPr>
        <w:spacing w:after="80" w:before="60"/>
      </w:pPr>
      <w:r>
        <w:rPr>
          <w:rFonts w:ascii="Arial" w:cs="Arial" w:eastAsia="Arial" w:hAnsi="Arial"/>
          <w:b/>
          <w:bCs/>
          <w:sz w:val="22"/>
          <w:szCs w:val="22"/>
        </w:rPr>
        <w:t xml:space="preserve">KNOWLEDGE PRESERVATION: </w:t>
      </w:r>
      <w:r>
        <w:rPr>
          <w:rFonts w:ascii="Arial" w:cs="Arial" w:eastAsia="Arial" w:hAnsi="Arial"/>
          <w:sz w:val="22"/>
          <w:szCs w:val="22"/>
        </w:rPr>
        <w:t xml:space="preserve">Direct NIST, IEEE, APS, and AMA to establish a Helium-Dependent Technology Archive: a comprehensive living database of which technologies require helium, minimum viable quantities to keep one global instance of each critical capability alive, and protocols for “helium sabbatical” — pausing capabilities without losing them. When helium becomes genuinely scarce (~2080–2100), the generation operating then will need to know what to save and how to save it.</w:t>
      </w:r>
    </w:p>
    <w:p>
      <w:pPr>
        <w:pStyle w:val="ListParagraph"/>
        <w:numPr>
          <w:ilvl w:val="0"/>
          <w:numId w:val="3"/>
        </w:numPr>
        <w:spacing w:after="80" w:before="60"/>
      </w:pPr>
      <w:r>
        <w:rPr>
          <w:rFonts w:ascii="Arial" w:cs="Arial" w:eastAsia="Arial" w:hAnsi="Arial"/>
          <w:b/>
          <w:bCs/>
          <w:sz w:val="22"/>
          <w:szCs w:val="22"/>
        </w:rPr>
        <w:t xml:space="preserve">NON-DOLLAR CLEARING: </w:t>
      </w:r>
      <w:r>
        <w:rPr>
          <w:rFonts w:ascii="Arial" w:cs="Arial" w:eastAsia="Arial" w:hAnsi="Arial"/>
          <w:sz w:val="22"/>
          <w:szCs w:val="22"/>
        </w:rPr>
        <w:t xml:space="preserve">Establish bilateral and multilateral clearing arrangements for helium, ammonia, and rare earths that operate outside the SWIFT system for essential items. Modeled on the European INSTEX mechanism. Protects the flow of survival-critical goods even when the dollar is under stress.</w:t>
      </w:r>
    </w:p>
    <w:p>
      <w:pPr>
        <w:pStyle w:val="ListParagraph"/>
        <w:numPr>
          <w:ilvl w:val="0"/>
          <w:numId w:val="3"/>
        </w:numPr>
        <w:spacing w:after="80" w:before="60"/>
      </w:pPr>
      <w:r>
        <w:rPr>
          <w:rFonts w:ascii="Arial" w:cs="Arial" w:eastAsia="Arial" w:hAnsi="Arial"/>
          <w:b/>
          <w:bCs/>
          <w:sz w:val="22"/>
          <w:szCs w:val="22"/>
        </w:rPr>
        <w:t xml:space="preserve">INTERGENERATIONAL REVIEW: </w:t>
      </w:r>
      <w:r>
        <w:rPr>
          <w:rFonts w:ascii="Arial" w:cs="Arial" w:eastAsia="Arial" w:hAnsi="Arial"/>
          <w:sz w:val="22"/>
          <w:szCs w:val="22"/>
        </w:rPr>
        <w:t xml:space="preserve">Require Seventh Generation Impact Statements for any executive action affecting critical non-renewable resources — modeled on environmental impact statements but with a 140-year temporal horizon and a private right of action for “unborn heirs” via trustee.</w:t>
      </w:r>
    </w:p>
    <w:p>
      <w:pPr>
        <w:spacing w:after="120" w:before="0"/>
      </w:pPr>
      <w:r>
        <w:t xml:space="preserve"/>
      </w:r>
    </w:p>
    <w:p>
      <w:pPr>
        <w:pStyle w:val="Heading1"/>
        <w:spacing w:after="120" w:before="360"/>
      </w:pPr>
      <w:r>
        <w:rPr>
          <w:rFonts w:ascii="Arial" w:cs="Arial" w:eastAsia="Arial" w:hAnsi="Arial"/>
          <w:b/>
          <w:bCs/>
          <w:color w:val="1B3A6B"/>
          <w:sz w:val="28"/>
          <w:szCs w:val="28"/>
        </w:rPr>
        <w:t xml:space="preserve">The Synthesis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B3A6B" w:sz="12"/>
              <w:bottom w:val="none" w:color="FFFFFF" w:sz="0"/>
              <w:right w:val="none" w:color="FFFFFF" w:sz="0"/>
            </w:tcBorders>
            <w:shd w:fill="EEF2F8" w:val="clear"/>
            <w:tcMar>
              <w:top w:type="dxa" w:w="120"/>
              <w:left w:type="dxa" w:w="240"/>
              <w:bottom w:type="dxa" w:w="120"/>
              <w:right w:type="dxa" w:w="120"/>
            </w:tcMar>
          </w:tcPr>
          <w:p>
            <w:pPr>
              <w:spacing w:after="60" w:before="60"/>
            </w:pPr>
            <w:r>
              <w:rPr>
                <w:rFonts w:ascii="Arial" w:cs="Arial" w:eastAsia="Arial" w:hAnsi="Arial"/>
                <w:i/>
                <w:iCs/>
                <w:color w:val="1A1A2E"/>
                <w:sz w:val="22"/>
                <w:szCs w:val="22"/>
              </w:rPr>
              <w:t xml:space="preserve">Unchecked hegemony becomes a doomsday device, not through malice, but through its structurally inevitable failure to perceive and correct its own consumption of the future. The lock-in is total because it occurs simultaneously across every system meant to provide resilience.</w:t>
            </w:r>
          </w:p>
        </w:tc>
      </w:tr>
    </w:tbl>
    <w:p>
      <w:pPr>
        <w:spacing w:after="120" w:before="0"/>
      </w:pPr>
      <w:r>
        <w:t xml:space="preserve"/>
      </w:r>
    </w:p>
    <w:p>
      <w:pPr>
        <w:spacing w:after="120" w:before="60"/>
      </w:pPr>
      <w:r>
        <w:rPr>
          <w:rFonts w:ascii="Arial" w:cs="Arial" w:eastAsia="Arial" w:hAnsi="Arial"/>
          <w:sz w:val="22"/>
          <w:szCs w:val="22"/>
        </w:rPr>
        <w:t xml:space="preserve">The cross-check panel collectively established that the 2026 crisis represents a fundamental failure to distinguish between political coercion and ecological necessity. The deepest constitutional finding — one that only emerges from the friction between four independent analytical voices — is this: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B3A6B" w:sz="12"/>
              <w:bottom w:val="none" w:color="FFFFFF" w:sz="0"/>
              <w:right w:val="none" w:color="FFFFFF" w:sz="0"/>
            </w:tcBorders>
            <w:shd w:fill="EEF2F8" w:val="clear"/>
            <w:tcMar>
              <w:top w:type="dxa" w:w="120"/>
              <w:left w:type="dxa" w:w="240"/>
              <w:bottom w:type="dxa" w:w="120"/>
              <w:right w:type="dxa" w:w="120"/>
            </w:tcMar>
          </w:tcPr>
          <w:p>
            <w:pPr>
              <w:spacing w:after="60" w:before="60"/>
            </w:pPr>
            <w:r>
              <w:rPr>
                <w:rFonts w:ascii="Arial" w:cs="Arial" w:eastAsia="Arial" w:hAnsi="Arial"/>
                <w:i/>
                <w:iCs/>
                <w:color w:val="1A1A2E"/>
                <w:sz w:val="22"/>
                <w:szCs w:val="22"/>
              </w:rPr>
              <w:t xml:space="preserve">The weaponization of the global trade infrastructure to pursue tactical geopolitical goals systematically collapses the distinction between attacking an adversary and attacking the planet’s life-support systems.</w:t>
            </w:r>
          </w:p>
        </w:tc>
      </w:tr>
    </w:tbl>
    <w:p>
      <w:pPr>
        <w:spacing w:after="120" w:before="0"/>
      </w:pPr>
      <w:r>
        <w:t xml:space="preserve"/>
      </w:r>
    </w:p>
    <w:p>
      <w:pPr>
        <w:spacing w:after="120" w:before="60"/>
      </w:pPr>
      <w:r>
        <w:rPr>
          <w:rFonts w:ascii="Arial" w:cs="Arial" w:eastAsia="Arial" w:hAnsi="Arial"/>
          <w:sz w:val="22"/>
          <w:szCs w:val="22"/>
        </w:rPr>
        <w:t xml:space="preserve">The Seventh Generation asks one question of every significant decision: what will the generation born in 2166 inherit, be denied, and be forced to rebuild from scratch because of choices made today?</w:t>
      </w:r>
    </w:p>
    <w:p>
      <w:pPr>
        <w:spacing w:after="120" w:before="0"/>
      </w:pPr>
      <w:r>
        <w:t xml:space="preserve"/>
      </w:r>
    </w:p>
    <w:p>
      <w:pPr>
        <w:spacing w:after="120" w:before="60"/>
      </w:pPr>
      <w:r>
        <w:rPr>
          <w:rFonts w:ascii="Arial" w:cs="Arial" w:eastAsia="Arial" w:hAnsi="Arial"/>
          <w:sz w:val="22"/>
          <w:szCs w:val="22"/>
        </w:rPr>
        <w:t xml:space="preserve">Based on the current trajectory, four independent AI systems from three countries — with different training, different emphases, and different blind spots — independently converged on this answer: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B3A6B" w:sz="12"/>
              <w:bottom w:val="none" w:color="FFFFFF" w:sz="0"/>
              <w:right w:val="none" w:color="FFFFFF" w:sz="0"/>
            </w:tcBorders>
            <w:shd w:fill="EEF2F8" w:val="clear"/>
            <w:tcMar>
              <w:top w:type="dxa" w:w="120"/>
              <w:left w:type="dxa" w:w="240"/>
              <w:bottom w:type="dxa" w:w="120"/>
              <w:right w:type="dxa" w:w="120"/>
            </w:tcMar>
          </w:tcPr>
          <w:p>
            <w:pPr>
              <w:spacing w:after="60" w:before="60"/>
            </w:pPr>
            <w:r>
              <w:rPr>
                <w:rFonts w:ascii="Arial" w:cs="Arial" w:eastAsia="Arial" w:hAnsi="Arial"/>
                <w:i/>
                <w:iCs/>
                <w:color w:val="1A1A2E"/>
                <w:sz w:val="22"/>
                <w:szCs w:val="22"/>
              </w:rPr>
              <w:t xml:space="preserve">They will inherit a world of technological twilight and fractured autarkic enclaves. They will be denied the cooling gases required for advanced medicine and clean energy, the fertile soils for agriculture, and the global cooperation architecture required to address planetary-scale threats. They will be forced to rebuild — from a baseline of scarcity and suspicion — the very concept of long-term human coordination.</w:t>
            </w:r>
          </w:p>
        </w:tc>
      </w:tr>
    </w:tbl>
    <w:p>
      <w:pPr>
        <w:spacing w:after="120" w:before="0"/>
      </w:pPr>
      <w:r>
        <w:t xml:space="preserve"/>
      </w:r>
    </w:p>
    <w:p>
      <w:pPr>
        <w:spacing w:after="120" w:before="60"/>
      </w:pPr>
      <w:r>
        <w:rPr>
          <w:rFonts w:ascii="Arial" w:cs="Arial" w:eastAsia="Arial" w:hAnsi="Arial"/>
          <w:sz w:val="22"/>
          <w:szCs w:val="22"/>
        </w:rPr>
        <w:t xml:space="preserve">This outcome is not yet locked in. The actions listed in this brief represent the window before it is.</w:t>
      </w:r>
    </w:p>
    <w:p>
      <w:pPr>
        <w:pBdr>
          <w:bottom w:val="single" w:color="1B3A6B" w:sz="4" w:space="1"/>
        </w:pBdr>
        <w:spacing w:after="200" w:before="200"/>
      </w:pPr>
      <w:r>
        <w:t xml:space="preserve"/>
      </w:r>
    </w:p>
    <w:p>
      <w:pPr>
        <w:pStyle w:val="Heading2"/>
        <w:spacing w:after="80" w:before="280"/>
      </w:pPr>
      <w:r>
        <w:rPr>
          <w:rFonts w:ascii="Arial" w:cs="Arial" w:eastAsia="Arial" w:hAnsi="Arial"/>
          <w:b/>
          <w:bCs/>
          <w:color w:val="1B3A6B"/>
          <w:sz w:val="24"/>
          <w:szCs w:val="24"/>
        </w:rPr>
        <w:t xml:space="preserve">About This Analysis</w:t>
      </w:r>
    </w:p>
    <w:p>
      <w:pPr>
        <w:spacing w:after="120" w:before="60"/>
      </w:pPr>
      <w:r>
        <w:rPr>
          <w:rFonts w:ascii="Arial" w:cs="Arial" w:eastAsia="Arial" w:hAnsi="Arial"/>
          <w:sz w:val="22"/>
          <w:szCs w:val="22"/>
        </w:rPr>
        <w:t xml:space="preserve">This brief was produced by the Federated Village Project using the Seventh Generation Scout — an open-source constitutional forecasting agent that combines live web research (Perplexity Sonar) with cross-model deliberation. The four panel models (Kimi K2.5, Qwen 3.5 35B, Gemma 4 26B, GLM-5V) ran in parallel on identical factual inputs. Synthesis was performed by DeepSeek-R1. No single model’s output is presented as the finding; the findings emerge from the intersection and divergence of all four.</w:t>
      </w:r>
    </w:p>
    <w:p>
      <w:pPr>
        <w:spacing w:after="120" w:before="60"/>
      </w:pPr>
      <w:r>
        <w:rPr>
          <w:rFonts w:ascii="Arial" w:cs="Arial" w:eastAsia="Arial" w:hAnsi="Arial"/>
          <w:i/>
          <w:iCs/>
          <w:color w:val="666666"/>
          <w:sz w:val="22"/>
          <w:szCs w:val="22"/>
        </w:rPr>
        <w:t xml:space="preserve">Source logs from all runs are preserved in the Federated Village repository. The Scout agent and its full analysis methodology are available at github.com/Mfox-research99/federated-village.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before="0"/>
    </w:pPr>
    <w:r>
      <w:rPr>
        <w:rFonts w:ascii="Arial" w:cs="Arial" w:eastAsia="Arial" w:hAnsi="Arial"/>
        <w:color w:val="666666"/>
        <w:sz w:val="18"/>
        <w:szCs w:val="18"/>
      </w:rPr>
      <w:t xml:space="preserve">Federated Village Project  |  federated-village.org</w:t>
    </w:r>
    <w: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026"/>
      </w:tabs>
      <w:spacing w:after="0"/>
    </w:pPr>
    <w:r>
      <w:rPr>
        <w:rFonts w:ascii="Arial" w:cs="Arial" w:eastAsia="Arial" w:hAnsi="Arial"/>
        <w:color w:val="666666"/>
        <w:sz w:val="18"/>
        <w:szCs w:val="18"/>
      </w:rPr>
      <w:t xml:space="preserve">SEVENTH GENERATION BRIEF  |  APRIL 2026</w:t>
    </w:r>
    <w:r>
      <w:t xml:space="preserve">	</w:t>
    </w:r>
    <w:r>
      <w:rPr>
        <w:rFonts w:ascii="Arial" w:cs="Arial" w:eastAsia="Arial" w:hAnsi="Arial"/>
        <w:color w:val="999999"/>
        <w:sz w:val="18"/>
        <w:szCs w:val="18"/>
      </w:rPr>
      <w:t xml:space="preserve">CONFIDENTIAL — FOR LEGISLATIVE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3A6B"/>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2026-04-04T21:38:45.106Z</dcterms:created>
  <dcterms:modified xsi:type="dcterms:W3CDTF">2026-04-04T21:38:45.106Z</dcterms:modified>
</cp:coreProperties>
</file>

<file path=docProps/custom.xml><?xml version="1.0" encoding="utf-8"?>
<Properties xmlns="http://schemas.openxmlformats.org/officeDocument/2006/custom-properties" xmlns:vt="http://schemas.openxmlformats.org/officeDocument/2006/docPropsVTypes"/>
</file>