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5C" w:val="clear"/>
            <w:tcMar>
              <w:top w:type="dxa" w:w="320"/>
              <w:left w:type="dxa" w:w="480"/>
              <w:bottom w:type="dxa" w:w="32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AMERICAN PRODUCTIVITY TAX REFORM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A Single Rate That Replaces Them All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FFFFF"/>
                <w:sz w:val="22"/>
                <w:szCs w:val="22"/>
              </w:rPr>
              <w:t xml:space="preserve">A Legislative Brief for the United States Congress</w:t>
            </w:r>
          </w:p>
          <w:p>
            <w:pPr>
              <w:pBdr>
                <w:top w:val="single" w:color="B8860B" w:sz="4"/>
              </w:pBd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B8860B"/>
                <w:sz w:val="18"/>
                <w:szCs w:val="18"/>
              </w:rPr>
              <w:t xml:space="preserve">April 5, 2026</w:t>
            </w:r>
          </w:p>
        </w:tc>
      </w:tr>
    </w:tbl>
    <w:p>
      <w:pPr>
        <w:spacing w:after="0" w:before="1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B8860B" w:sz="6"/>
              <w:left w:val="single" w:color="B8860B" w:sz="6"/>
              <w:bottom w:val="single" w:color="B8860B" w:sz="6"/>
              <w:right w:val="single" w:color="B8860B" w:sz="6"/>
            </w:tcBorders>
            <w:shd w:fill="F5F0E0" w:val="clear"/>
            <w:tcMar>
              <w:top w:type="dxa" w:w="160"/>
              <w:left w:type="dxa" w:w="360"/>
              <w:bottom w:type="dxa" w:w="16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8"/>
                <w:szCs w:val="28"/>
              </w:rPr>
              <w:t xml:space="preserve">READY FOR LEGISLATIVE INTRODUCTION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i/>
                <w:iCs/>
                <w:color w:val="1B3A5C"/>
                <w:sz w:val="20"/>
                <w:szCs w:val="20"/>
              </w:rPr>
              <w:t xml:space="preserve">“The core architecture is sound, internally consistent, and constitutionally grounded. This proposal is ready.”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I. What This Is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This is not a new tax on top of existing taxes. It is not a social spending proposal. It is not wealth redistribution. It is a complete replacement of the most complex, punitive, and economically destructive tax system in the developed world with a single flat rate applied automatically at the clearing layer — the same way an ATM fee works.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returns. No audits. No criminal liability for getting it wrong.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industry of attorneys and accountants needed to navigate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 offshore subsidiary structures to exploit. No lobbyists writing carve-outs.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Same rate on every cleared transaction — every dollar of commerce, every financial trade, every wire transfer. Government transactions included.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Every American business — from the corner store to Apple — pays far less than today. Workers are freed from job-lock because healthcare and pensions come from the tax base, not from employers. American productive capacity is unleashed because the barriers to starting, running, and growing a business are eliminated.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only entities that pay more are those that generate income by moving money rather than by making things: high-frequency traders, private equity, hedge funds. Friction on speculation. Freedom for production.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This is the flat tax conservatives have wanted for decades. It is also the most significant expansion of economic security for working Americans in a century. These are not contradictory. They are the same instrument.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II. The Derivation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Milton Friedman’s equation of exchange: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60"/>
              <w:left w:type="dxa" w:w="480"/>
              <w:bottom w:type="dxa" w:w="16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44"/>
                <w:szCs w:val="44"/>
              </w:rPr>
              <w:t xml:space="preserve">MV = PQ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 = money supply  •  V = velocity of money  •  P = price level  •  Q = real output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Every existing tax taxes P and Q — what people make, grow, and sell. Income tax, capital gains, payroll, excise: all derivatives of the productive economy. The velocity tax taxes V: the path integral of monetary movement. The total accumulated distance money travels at every clearing event, regardless of direction or destination.</w:t>
      </w:r>
    </w:p>
    <w:p>
      <w:pPr>
        <w:spacing w:after="0" w:before="6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Financial transaction volume exceeds GDP by orders of magnitude. A stock position traded 1,000 times in a day with zero net price change: income tax sees zero, capital gains sees zero, velocity tax sees 2,000 transaction legs. This is where the modern economy actually lives — and no existing tax touches it.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20"/>
              <w:left w:type="dxa" w:w="480"/>
              <w:bottom w:type="dxa" w:w="120"/>
              <w:right w:type="dxa" w:w="4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2"/>
                <w:szCs w:val="32"/>
              </w:rPr>
              <w:t xml:space="preserve">t(V) = t₀ + k × max(0, V − V₀)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Rate rises with excess velocity above productive baseline — self-correcting without legislative action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Rate range: 0.25–0.7% flat. Revenue sufficient to replace the entire federal tax apparatus. Self-collecting at the clearing layer. Cannot be wrong. Cannot be audited.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Attribution: Michael Fox, 1989. Independent parallel derivation: Edgar L. Feige (University of Wisconsin–Madison), 2000.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III. The Math — What Every Business Saves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Small Business (5 employees, $50K average wage, $500K revenue)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520"/>
        <w:gridCol w:w="2520"/>
      </w:tblGrid>
      <w:tr>
        <w:tc>
          <w:tcPr>
            <w:tcW w:type="dxa" w:w="46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Tax Item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System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 @ 0.35%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Employer FICA (7.65% of wages)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$19,125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Healthcare (employer share)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$26,250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PAID — Productivity Dividend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Workers’ compensation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$7,500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Federal income tax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State income tax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$2,500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Compliance (accountant/payroll)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$8,000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Tax on $500K sales + $200K purchases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$2,450</w:t>
            </w:r>
          </w:p>
        </w:tc>
      </w:tr>
      <w:tr>
        <w:tc>
          <w:tcPr>
            <w:tcW w:type="dxa" w:w="46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ANNUAL TAX BURDEN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$74,925</w:t>
            </w:r>
          </w:p>
        </w:tc>
        <w:tc>
          <w:tcPr>
            <w:tcW w:type="dxa" w:w="25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AF4E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$2,450</w:t>
            </w:r>
          </w:p>
        </w:tc>
      </w:tr>
      <w:tr>
        <w:tc>
          <w:tcPr>
            <w:tcW w:type="dxa" w:w="9720"/>
            <w:tcBorders>
              <w:top w:val="single" w:color="2E6B2E" w:sz="6"/>
              <w:left w:val="single" w:color="2E6B2E" w:sz="6"/>
              <w:bottom w:val="single" w:color="2E6B2E" w:sz="6"/>
              <w:right w:val="single" w:color="2E6B2E" w:sz="6"/>
            </w:tcBorders>
            <w:shd w:fill="EAF4E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6B2E"/>
                <w:sz w:val="22"/>
                <w:szCs w:val="22"/>
              </w:rPr>
              <w:t xml:space="preserve">NET SAVING: $72,475 per year  —  97% reduction  —  Criminal liability: ELIMINATED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The velocity tax cannot be wrong. There is nothing to audit. There is no criminal liability. That alone is worth an enormous amount to any small business owner.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5-Tier Supply Chain vs. Amazon (same $1,000 product)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40"/>
        <w:gridCol w:w="2040"/>
        <w:gridCol w:w="2040"/>
      </w:tblGrid>
      <w:tr>
        <w:tc>
          <w:tcPr>
            <w:tcW w:type="dxa" w:w="36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Supply Chain Tier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Taxes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Raw materials supplier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$14.99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$0.53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Parts processor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$250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$37.46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$1.23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Component assembler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$450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$67.43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$2.45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Final assembler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$700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$104.89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$4.03</w:t>
            </w:r>
          </w:p>
        </w:tc>
      </w:tr>
      <w:tr>
        <w:tc>
          <w:tcPr>
            <w:tcW w:type="dxa" w:w="36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Distributor / retailer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$1,000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$149.85</w:t>
            </w:r>
          </w:p>
        </w:tc>
        <w:tc>
          <w:tcPr>
            <w:tcW w:type="dxa" w:w="20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$5.95</w:t>
            </w:r>
          </w:p>
        </w:tc>
      </w:tr>
      <w:tr>
        <w:tc>
          <w:tcPr>
            <w:tcW w:type="dxa" w:w="36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TOTAL CHAIN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$374.62</w:t>
            </w:r>
          </w:p>
        </w:tc>
        <w:tc>
          <w:tcPr>
            <w:tcW w:type="dxa" w:w="20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AF4E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$14.18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Current taxes are 26× larger than velocity tax across the full chain. Amazon vs. small chain: today’s system disadvantages the small chain by $254.62 per $1,000 of product. Under velocity tax: $10.68. A 24× improvement in competitive position.</w:t>
      </w:r>
    </w:p>
    <w:p>
      <w:pPr>
        <w:spacing w:after="0" w:before="16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1B3A5C"/>
          <w:sz w:val="24"/>
          <w:szCs w:val="24"/>
        </w:rPr>
        <w:t xml:space="preserve">Large Corporations — Annual Tax Savings</w:t>
      </w:r>
    </w:p>
    <w:p>
      <w:pPr>
        <w:spacing w:after="0" w:before="6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1920"/>
        <w:gridCol w:w="1920"/>
        <w:gridCol w:w="1920"/>
        <w:gridCol w:w="1080"/>
      </w:tblGrid>
      <w:tr>
        <w:tc>
          <w:tcPr>
            <w:tcW w:type="dxa" w:w="28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Burden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Velocity Tax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Net Saving</w:t>
            </w:r>
          </w:p>
        </w:tc>
        <w:tc>
          <w:tcPr>
            <w:tcW w:type="dxa" w:w="10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Reduction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Apple Inc.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$35.6B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$2.3B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$33.3B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94%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Amazon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$20.3B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$3.7B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$16.5B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82%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Home Depot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$8.9B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$0.9B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$8.1B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Walmart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$21.1B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$4.0B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$17.2B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81%</w:t>
            </w:r>
          </w:p>
        </w:tc>
      </w:tr>
      <w:tr>
        <w:tc>
          <w:tcPr>
            <w:tcW w:type="dxa" w:w="28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ExxonMobil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$19.1B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$2.5B</w:t>
            </w:r>
          </w:p>
        </w:tc>
        <w:tc>
          <w:tcPr>
            <w:tcW w:type="dxa" w:w="19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$16.7B</w:t>
            </w:r>
          </w:p>
        </w:tc>
        <w:tc>
          <w:tcPr>
            <w:tcW w:type="dxa" w:w="10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87%</w:t>
            </w:r>
          </w:p>
        </w:tc>
      </w:tr>
      <w:tr>
        <w:tc>
          <w:tcPr>
            <w:tcW w:type="dxa" w:w="28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COMBINED (5 cos.)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$105.0B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$13.3B</w:t>
            </w:r>
          </w:p>
        </w:tc>
        <w:tc>
          <w:tcPr>
            <w:tcW w:type="dxa" w:w="19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F5F0E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$91.7B</w:t>
            </w:r>
          </w:p>
        </w:tc>
        <w:tc>
          <w:tcPr>
            <w:tcW w:type="dxa" w:w="10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87%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Who pays more: HFT firms, private equity, hedge funds. Citadel alone executes ~$65T/year in notional transactions. At 0.35%: ~$227B in velocity tax against near-zero income taxes today. These are the only entities facing a higher burden — and they are exactly the entities generating the financial fragility this instrument is designed to dampen.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IV. The American Productivity Dividend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Prior versions called this the “social dividend.” The name obscured what it actually is: the direct return to every American from the productivity of the economy they contribute to. It is not a government benefit. It is infrastructure for a productive economy — the same logic as roads, power grids, and internet access.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6480"/>
      </w:tblGrid>
      <w:tr>
        <w:tc>
          <w:tcPr>
            <w:tcW w:type="dxa" w:w="32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48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healthcare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Eliminates $7–8K/employee/year employer overhead. Workers freed from job-lock. Entrepreneurship enabled. H1B benefit arbitrage eliminated — domestic workers cost-competitive.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Guaranteed income floor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Not dependency — the foundation from which free people make free choices. Every startup founder, farmer in a bad season, or displaced worker has a floor they cannot fall through.</w:t>
            </w:r>
          </w:p>
        </w:tc>
      </w:tr>
      <w:tr>
        <w:tc>
          <w:tcPr>
            <w:tcW w:type="dxa" w:w="32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pensions</w:t>
            </w:r>
          </w:p>
        </w:tc>
        <w:tc>
          <w:tcPr>
            <w:tcW w:type="dxa" w:w="64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Workers not trapped in bad jobs by fear of retirement insecurity. More dynamic, flexible labor markets. Workforce can take long-horizon productive risk.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Stop taxing work. Start taxing money-moving. Workers earn the Dividend through the productivity of the economy they contribute to. It is earned, distributed, and self-sustaining.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V. The Dollar and National Security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dollar’s reserve status is not an entitlement. Japan and South Korea are building yuan/euro settlement mechanisms for energy and helium. Saudi Arabia has discussed yuan-denominated oil contracts. Iran now accepts yuan for Strait of Hormuz passage. This infrastructure does not disappear when the Iran crisis ends.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2027 lock-in point: when alternative settlement rails achieve critical-mass network effects, dollar reserve restoration becomes thermodynamically impossible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2028 debt service threshold: when debt service exceeds ~30% of revenues, only austerity or monetization remain — both devastating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Suez parallel: Britain won militarily in 1956 and lost reserve currency status within months. The US is now the acting hegemon. There is no external correction mechanism.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color w:val="1B3A5C"/>
                <w:sz w:val="24"/>
                <w:szCs w:val="24"/>
              </w:rPr>
              <w:t xml:space="preserve">The velocity tax is not a response to the Iran crisis. It is the structural fiscal reform that the Iran crisis makes impossible to defer.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Three stabilization mechanisms: fiscal credibility (debt reduction from revenue surplus); productive capital attraction (the Productivity Dividend makes the US the best place to build); speculative friction (dampens financial volatility that prices instability into currency markets).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VI. The Three-Mode Counter-Cyclical Rate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From sound commercial banking practice: “My job was to be counter-cyclical — lend when things were tough, retract and build capital when things were good.” The velocity tax dynamic rate encodes this principle for the entire fiscal system.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40"/>
        <w:gridCol w:w="2640"/>
        <w:gridCol w:w="2640"/>
      </w:tblGrid>
      <w:tr>
        <w:tc>
          <w:tcPr>
            <w:tcW w:type="dxa" w:w="180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264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 — Prosperity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 above baseline, stable growth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Rises above t₀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Build reserves: debt paydown, banks build strategic capital (minerals, gold, foreign currency)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— Volatility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Elevated V, uncertain conditions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At or below t₀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5F5F5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Supports liquidity. Productive commerce continues. Uncertainty doesn’t tip to crisis.</w:t>
            </w:r>
          </w:p>
        </w:tc>
      </w:tr>
      <w:tr>
        <w:tc>
          <w:tcPr>
            <w:tcW w:type="dxa" w:w="18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 — Circuit Breaker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2% de-dollarization trigger OR Fed systemic certification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Universal rate ceiling, all transactions</w:t>
            </w:r>
          </w:p>
        </w:tc>
        <w:tc>
          <w:tcPr>
            <w:tcW w:type="dxa" w:w="26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30/60/90-day halt. No transaction classification. Everything slows — including the flight. Auto-resets.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2E6B2E" w:sz="6"/>
              <w:bottom w:val="none" w:color="FFFFFF" w:sz="0"/>
              <w:right w:val="none" w:color="FFFFFF" w:sz="0"/>
            </w:tcBorders>
            <w:shd w:fill="EAF4EA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2E6B2E"/>
                <w:sz w:val="20"/>
                <w:szCs w:val="20"/>
              </w:rPr>
              <w:t xml:space="preserve">PANEL VERDICT ON MODE 3: UNANIMOUSLY RESOLVED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i/>
                <w:iCs/>
                <w:color w:val="1A1A1A"/>
                <w:sz w:val="20"/>
                <w:szCs w:val="20"/>
              </w:rPr>
              <w:t xml:space="preserve">The universal circuit breaker applies a uniform rate ceiling to all transactions during a certified crisis — no intent-based classification required. The analogy to financial market trading halts is legally and operationally sound. The design is counter-cyclical, self-resetting, and does not require surveillance infrastructure that does not exist.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VII. Constitutional 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velocity tax is an excise tax on transaction events. Congress has plenary authority under Article I, Section 8. The Sixteenth Amendment is irrelevant — it authorizes income taxes; this instrument has no income measurement, no adjusted gross income, no returns. It is not an income tax.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Historical precedent: documentary stamp taxes, securities transaction taxes, telephone excise tax — all Constitutional without amendment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State baseline guarantee: current state and local revenue baseline guaranteed as statutory allocation. States lose nothing.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Government transparency bonus: all transactions including government captured at clearing layer. Congress gains real-time visibility into every agency’s spending, where and to whom. Never before available.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Legal challenges (someone will always sue): Direct Tax Apportionment — excise doctrine defeats it; Intergovernmental Immunity — South Carolina v. Baker (1988) defeats it. Both are litigable; both lose on modern precedent.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Personal transaction floor: a threshold for non-commercial person-to-person transfers (under $1,000) addresses Due Process concerns without creating gaming opportunity.</w:t>
      </w:r>
    </w:p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VIII. The Revenue Development Service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IRS enforcement function becomes obsolete when there are no returns to file and no avoidance to audit. The velocity tax is self-collecting — deducted at the clearing layer automatically. What remains is the infrastructure: 87,000 people and 600+ district offices, geographically distributed, with deep knowledge of local economies.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Transformation: each district office becomes a Regional Revenue Development Office. Mandate: deploy velocity tax revenue allocation into productive investment and workforce retraining. Performance measured by external federal data — BEA economic output, BLS employment in productive sectors, BLS median wage growth. Not self-reported. Not gameable at the district level.</w:t>
      </w:r>
    </w:p>
    <w:p>
      <w:pPr>
        <w:spacing w:after="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Leadership recruited from development finance, infrastructure banking, and community investment — not the IRS career pipeline. Statutory requirement. The majority of American workers need periodic retraining in a rapidly changing economy. District offices are the delivery mechanism for that — human productive capacity alongside physical infrastructure.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none" w:color="FFFFFF" w:sz="0"/>
              <w:left w:val="single" w:color="B8860B" w:sz="6"/>
              <w:bottom w:val="none" w:color="FFFFFF" w:sz="0"/>
              <w:right w:val="none" w:color="FFFFFF" w:sz="0"/>
            </w:tcBorders>
            <w:shd w:fill="F5F0E0" w:val="clear"/>
            <w:tcMar>
              <w:top w:type="dxa" w:w="100"/>
              <w:left w:type="dxa" w:w="240"/>
              <w:bottom w:type="dxa" w:w="1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ONE REMAINING DRAFTING TASK (GLM-5 panel note):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The RDS requires one additional legislative section — an operational charter specifying investment decision authority, coordination protocols with Commerce, Energy, Agriculture, and Labor, and the 87,000-employee conversion timeline. This is a drafting task for committee markup, not a structural redesign.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IX. The 10-Component Architecture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complete legislative package. Each component corresponds to a specific gap in the current system.</w:t>
      </w:r>
    </w:p>
    <w:p>
      <w:pPr>
        <w:spacing w:after="0" w:before="8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SINGLE TAX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[Article I, §8 — No Amendment Required]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Transaction excise tax replaces all federal taxes: income, capital gains, payroll, excise. Flat rate. Self-collecting at clearing layer. No returns. No audits. No criminal liability.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AMERICAN PRODUCTIVITY DIVIDEND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[Primary Allocation — Funded First]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Universal healthcare, guaranteed income floor, universal pensions. Statutory allocation — not discretionary. Funded before debt paydown. A bill that removes this ordering removes the purpose of the instrument.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STATE BASELINE GUARANTEE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[Concurrent with Implementation]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Current state and local revenue guaranteed as statutory allocation. Real-time government spending transparency gained as structural consequence.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SOVEREIGN DEBT PAYDOWN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[Revenue Surplus]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Surplus above Dividend and reserve fund reduces federal debt. Fiscal credibility rises. Dollar stabilizes structurally.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CONDITIONAL REBATE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[5–10% Returned for Productive Investment]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Revenue returned to financial institutions conditioned on deployment into: manufacturing, infrastructure, minerals, energy, housing, strategic reserves (gold, foreign currency, critical minerals).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REVENUE DEVELOPMENT SERVICE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[IRS Transformation]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87,000 employees, 600+ district offices, remandated. Deploys velocity tax revenue into productive investment and workforce development. Measured by BEA/BLS external data.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7. SEVENTH GENERATION OVERSIGHT COMMISSION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[14-Year Terms — Financial Sector Barred]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Seven commissioners. No financial sector affiliation (10 years before/after). Preemptive authority. Circuit breaker Mode 3 trigger. Plain-language quarterly public reports. Federal court standing as intergenerational trustee.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8. THREE-MODE RATE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[Counter-Cyclical by Design]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Prosperity: rate rises, build reserves. Volatility: rate falls, support liquidity. Crisis: universal circuit breaker — no transaction classification. Auto-resets after 30/60/90 days.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9. GOVERNMENT TRANSPARENCY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[Built Into Architecture]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All cleared transactions — including federal, state, and local government — captured. Real-time congressional visibility into every agency’s spending. First time in US history.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10. CITIZEN VISIBILITY</w:t>
            </w:r>
            <w:r>
              <w:rPr>
                <w:rFonts w:ascii="Arial" w:cs="Arial" w:eastAsia="Arial" w:hAnsi="Arial"/>
                <w:color w:val="B8860B"/>
                <w:sz w:val="18"/>
                <w:szCs w:val="18"/>
              </w:rPr>
              <w:t xml:space="preserve">   [Quarterly + Annual]</w:t>
            </w:r>
          </w:p>
        </w:tc>
      </w:tr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E8EE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Quarterly statements to all account-holders showing velocity tax paid and real-world equivalency. Public dashboards. Annual Fiscal Visibility Report auto-triggers congressional hearing if revenue exceeds Dividend allocation.</w:t>
            </w:r>
          </w:p>
        </w:tc>
      </w:tr>
    </w:tbl>
    <w:p>
      <w:pPr>
        <w:spacing w:after="0" w:before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X. The Single Risk Legislators Must Watch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200"/>
              <w:left w:type="dxa" w:w="360"/>
              <w:bottom w:type="dxa" w:w="20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6"/>
                <w:szCs w:val="26"/>
              </w:rPr>
              <w:t xml:space="preserve">EXEMPTION CREEP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The entities facing a net tax increase — high-frequency traders, certain financial intermediaries — possess sophisticated lobbying power and will immediately seek carve-outs, volume thresholds, or rebates. Any exemption breaches the structural integrity of the system and invites a cascade of complexity that would recreate the very morass this reform seeks to replace.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22"/>
                <w:szCs w:val="22"/>
              </w:rPr>
              <w:t xml:space="preserve">Uniformity is the reform. Defending uniformity is defending everything.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B8860B" w:sz="4"/>
        </w:pBdr>
        <w:spacing w:after="80" w:before="300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What 2166 Inherits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0"/>
      </w:tblGrid>
      <w:tr>
        <w:tc>
          <w:tcPr>
            <w:tcW w:type="dxa" w:w="9720"/>
            <w:tcBorders>
              <w:top w:val="single" w:color="1B3A5C" w:sz="6"/>
              <w:left w:val="single" w:color="1B3A5C" w:sz="6"/>
              <w:bottom w:val="single" w:color="1B3A5C" w:sz="6"/>
              <w:right w:val="single" w:color="1B3A5C" w:sz="6"/>
            </w:tcBorders>
            <w:shd w:fill="1B3A5C" w:val="clear"/>
            <w:tcMar>
              <w:top w:type="dxa" w:w="240"/>
              <w:left w:type="dxa" w:w="400"/>
              <w:bottom w:type="dxa" w:w="240"/>
              <w:right w:type="dxa" w:w="400"/>
            </w:tcMar>
          </w:tcPr>
          <w:p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“For the generation born in 2166: if implemented as written, they inherit a fiscal architecture severed from the 20th-century logic of taxing income and profit. Instead, they inherit a self-correcting system that taxes monetary velocity, automatically funding a universal baseline of health, income, and infrastructure. They inherit a state whose primary revenue instrument is a neutral clearing-layer excise, whose counter-cyclical stabilizer is a universal circuit breaker, and whose transformative agency is a network of regional development banks born from the ashes of the IRS.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i/>
                <w:iCs/>
                <w:color w:val="FFFFFF"/>
                <w:sz w:val="21"/>
                <w:szCs w:val="21"/>
              </w:rPr>
              <w:t xml:space="preserve">It is a bet that simplicity, universality, and real-time adjustment are more resilient foundations for a 22nd-century republic than the complex, discriminatory, and politically corrosive system it replaces.”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before="6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Velocity tax derivation: Michael Fox, 1989. Independent parallel derivation: Edgar L. Feige (University of Wisconsin–Madison), 2000. April 5, 2026.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5C" w:sz="4"/>
      </w:pBdr>
    </w:pPr>
  </w:p>
  <w:p>
    <w:pPr>
      <w:spacing w:before="80"/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American Productivity Tax Reform  •  Legislative Brief  •  April 5,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860B" w:sz="6"/>
      </w:pBdr>
      <w:tabs>
        <w:tab w:val="right" w:pos="9026"/>
      </w:tabs>
      <w:spacing w:after="80" w:before="0"/>
    </w:pPr>
    <w:r>
      <w:rPr>
        <w:rFonts w:ascii="Arial" w:cs="Arial" w:eastAsia="Arial" w:hAnsi="Arial"/>
        <w:color w:val="1B3A5C"/>
        <w:sz w:val="16"/>
        <w:szCs w:val="16"/>
      </w:rPr>
      <w:t xml:space="preserve">AMERICAN PRODUCTIVITY TAX REFORM  |  LEGISLATIVE BRIEF</w:t>
    </w:r>
    <w:r>
      <w:t xml:space="preserve">	</w:t>
    </w:r>
    <w:r>
      <w:rPr>
        <w:rFonts w:ascii="Arial" w:cs="Arial" w:eastAsia="Arial" w:hAnsi="Arial"/>
        <w:color w:val="555555"/>
        <w:sz w:val="16"/>
        <w:szCs w:val="16"/>
      </w:rPr>
      <w:t xml:space="preserve">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6"/>
        <w:szCs w:val="16"/>
      </w:rPr>
      <w:t xml:space="preserve"> of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30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2026-04-05T16:30:35.685Z</dcterms:created>
  <dcterms:modified xsi:type="dcterms:W3CDTF">2026-04-05T16:30:35.685Z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