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180"/>
              <w:left w:type="dxa" w:w="480"/>
              <w:bottom w:type="dxa" w:w="180"/>
              <w:right w:type="dxa" w:w="480"/>
            </w:tcMar>
          </w:tcPr>
          <w:p>
            <w:pPr>
              <w:jc w:val="center"/>
            </w:pPr>
            <w:r>
              <w:rPr>
                <w:rFonts w:ascii="Arial" w:cs="Arial" w:eastAsia="Arial" w:hAnsi="Arial"/>
                <w:b/>
                <w:bCs/>
                <w:color w:val="FFFFFF"/>
                <w:sz w:val="20"/>
                <w:szCs w:val="20"/>
              </w:rPr>
              <w:t xml:space="preserve">PRIVATE MEMORANDUM</w:t>
            </w:r>
          </w:p>
          <w:p>
            <w:pPr>
              <w:spacing w:before="80"/>
              <w:jc w:val="center"/>
            </w:pPr>
            <w:r>
              <w:rPr>
                <w:rFonts w:ascii="Arial" w:cs="Arial" w:eastAsia="Arial" w:hAnsi="Arial"/>
                <w:b/>
                <w:bCs/>
                <w:color w:val="FFFFFF"/>
                <w:sz w:val="36"/>
                <w:szCs w:val="36"/>
              </w:rPr>
              <w:t xml:space="preserve">Velocity Taxation: Implementation Safeguards</w:t>
            </w:r>
          </w:p>
          <w:p>
            <w:pPr>
              <w:spacing w:after="60" w:before="60"/>
              <w:jc w:val="center"/>
            </w:pPr>
            <w:r>
              <w:rPr>
                <w:rFonts w:ascii="Arial" w:cs="Arial" w:eastAsia="Arial" w:hAnsi="Arial"/>
                <w:b/>
                <w:bCs/>
                <w:color w:val="FFD700"/>
                <w:sz w:val="24"/>
                <w:szCs w:val="24"/>
              </w:rPr>
              <w:t xml:space="preserve">What Legislators Who Support This Proposal Must Protect</w:t>
            </w:r>
          </w:p>
          <w:p>
            <w:pPr>
              <w:pBdr>
                <w:top w:val="single" w:color="FFD700" w:sz="4"/>
              </w:pBdr>
              <w:spacing w:before="100"/>
              <w:jc w:val="center"/>
            </w:pPr>
            <w:r>
              <w:rPr>
                <w:rFonts w:ascii="Arial" w:cs="Arial" w:eastAsia="Arial" w:hAnsi="Arial"/>
                <w:i/>
                <w:iCs/>
                <w:color w:val="FFD700"/>
                <w:sz w:val="18"/>
                <w:szCs w:val="18"/>
              </w:rPr>
              <w:t xml:space="preserve">For allied legislators only  •  Not for public distribution  •  April 5, 2026</w:t>
            </w:r>
          </w:p>
        </w:tc>
      </w:tr>
    </w:tbl>
    <w:p>
      <w:pPr>
        <w:spacing w:after="0" w:before="2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00"/>
              <w:left w:type="dxa" w:w="240"/>
              <w:bottom w:type="dxa" w:w="100"/>
              <w:right w:type="dxa" w:w="240"/>
            </w:tcMar>
          </w:tcPr>
          <w:p>
            <w:r>
              <w:rPr>
                <w:rFonts w:ascii="Arial" w:cs="Arial" w:eastAsia="Arial" w:hAnsi="Arial"/>
                <w:b/>
                <w:bCs/>
                <w:color w:val="1B3A5C"/>
                <w:sz w:val="20"/>
                <w:szCs w:val="20"/>
              </w:rPr>
              <w:t xml:space="preserve">PURPOSE OF THIS MEMORANDUM</w:t>
            </w:r>
          </w:p>
          <w:p>
            <w:pPr>
              <w:spacing w:before="60"/>
            </w:pPr>
            <w:r>
              <w:rPr>
                <w:rFonts w:ascii="Arial" w:cs="Arial" w:eastAsia="Arial" w:hAnsi="Arial"/>
                <w:color w:val="1A1A1A"/>
                <w:sz w:val="20"/>
                <w:szCs w:val="20"/>
              </w:rPr>
              <w:t xml:space="preserve">The velocity tax proposal has genuine transformative potential. It also carries a specific risk that is rarely discussed openly: it can be captured and turned into precisely the opposite of what it is designed to accomplish. This memo names that risk directly, describes the four ways it manifests in legislative process, and specifies the statutory provisions that must be protected. A legislator who supports this proposal but does not protect these provisions is supporting the weaponized version without knowing it.</w:t>
            </w:r>
          </w:p>
        </w:tc>
      </w:tr>
    </w:tbl>
    <w:p>
      <w:pPr>
        <w:spacing w:after="0" w:before="200"/>
      </w:pPr>
      <w:r>
        <w:t xml:space="preserve"/>
      </w:r>
    </w:p>
    <w:p>
      <w:pPr>
        <w:pStyle w:val="Heading1"/>
        <w:pBdr>
          <w:bottom w:val="single" w:color="B8860B" w:sz="4"/>
        </w:pBdr>
        <w:spacing w:after="100" w:before="320"/>
      </w:pPr>
      <w:r>
        <w:rPr>
          <w:rFonts w:ascii="Arial" w:cs="Arial" w:eastAsia="Arial" w:hAnsi="Arial"/>
          <w:b/>
          <w:bCs/>
          <w:color w:val="1B3A5C"/>
          <w:sz w:val="28"/>
          <w:szCs w:val="28"/>
        </w:rPr>
        <w:t xml:space="preserve">I. The Core Principle</w:t>
      </w:r>
    </w:p>
    <w:p>
      <w:pPr>
        <w:spacing w:after="100" w:before="60"/>
      </w:pPr>
      <w:r>
        <w:rPr>
          <w:rFonts w:ascii="Arial" w:cs="Arial" w:eastAsia="Arial" w:hAnsi="Arial"/>
          <w:b w:val="false"/>
          <w:bCs w:val="false"/>
          <w:i w:val="false"/>
          <w:iCs w:val="false"/>
          <w:color w:val="1A1A1A"/>
          <w:sz w:val="22"/>
          <w:szCs w:val="22"/>
        </w:rPr>
        <w:t xml:space="preserve">Velocity taxation is structurally progressive by design: wealthy money travels farther by orders of magnitude, so a flat rate applied to all cleared transactions extracts proportionally far more from speculative capital than from a grocery purchase. A household spending $60,000 per year on consumption generates perhaps $120,000 in annual cleared transactions. A hedge fund executing high-frequency equity trades generates trillions. The same 0.35% rate bears entirely differently on each.</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i/>
                <w:iCs/>
                <w:color w:val="1B3A5C"/>
                <w:sz w:val="24"/>
                <w:szCs w:val="24"/>
              </w:rPr>
              <w:t xml:space="preserve">The proposal’s primary purpose is not debt paydown. It is the social dividend: universal healthcare, a guaranteed income floor, and universal pensions for every American. Debt paydown is the structural consequence that makes the instrument politically durable. Social programs are the reason it exists.</w:t>
            </w:r>
          </w:p>
        </w:tc>
      </w:tr>
    </w:tbl>
    <w:p>
      <w:pPr>
        <w:spacing w:after="0" w:before="120"/>
      </w:pPr>
      <w:r>
        <w:t xml:space="preserve"/>
      </w:r>
    </w:p>
    <w:p>
      <w:pPr>
        <w:spacing w:after="100" w:before="60"/>
      </w:pPr>
      <w:r>
        <w:rPr>
          <w:rFonts w:ascii="Arial" w:cs="Arial" w:eastAsia="Arial" w:hAnsi="Arial"/>
          <w:b w:val="false"/>
          <w:bCs w:val="false"/>
          <w:i w:val="false"/>
          <w:iCs w:val="false"/>
          <w:color w:val="1A1A1A"/>
          <w:sz w:val="22"/>
          <w:szCs w:val="22"/>
        </w:rPr>
        <w:t xml:space="preserve">Without the social dividend, velocity taxation is a regressive instrument: a flat tax on all economic activity whose revenue flows to bondholders via debt service. The design feature that makes it transformative is also the design feature that is most vulnerable to legislative stripping. This memo addresses that vulnerability directly.</w:t>
      </w:r>
    </w:p>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II. The Four Failure Modes</w:t>
      </w:r>
    </w:p>
    <w:p>
      <w:pPr>
        <w:spacing w:after="100" w:before="60"/>
      </w:pPr>
      <w:r>
        <w:rPr>
          <w:rFonts w:ascii="Arial" w:cs="Arial" w:eastAsia="Arial" w:hAnsi="Arial"/>
          <w:b w:val="false"/>
          <w:bCs w:val="false"/>
          <w:i w:val="false"/>
          <w:iCs w:val="false"/>
          <w:color w:val="1A1A1A"/>
          <w:sz w:val="22"/>
          <w:szCs w:val="22"/>
        </w:rPr>
        <w:t xml:space="preserve">Each of these has a historical precedent in US tax legislation. None requires malice — each can result from ordinary legislative negotiation without allies present to hold the line.</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1: THRESHOLD CREEP</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pilot begins with transactions over $1 million (equity trades over $100,000). This is the politically viable starting point: it only touches the financial sector. In subsequent legislative cycles, the threshold gets lowered — first to $10,000, then to $1,000, eventually to all consumer transactions. Each step appears modest. The cumulative result is a flat tax on every economic act, hitting the poor and middle class proportionally as hard as speculative traders. The social dividend, if it exists at all by this point, does not keep pace.</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2: SOCIAL PROGRAM DECOUPLING</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velocity tax passes as a standalone fiscal reform. The social dividend — healthcare, guaranteed income, pensions — is deferred to a ‘second bill’ that will be ‘taken up shortly.’ The second bill never passes. The velocity tax revenue flows to debt paydown. Bondholders, who are disproportionately wealthy, receive the benefit of lower debt service costs. The working population bears the transaction friction with no corresponding benefit. This is the exact outcome the proposal is designed to prevent.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3: PARAMETER CAPTURE</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velocity tax passes with proper social program allocation. But the key parameters — V₀ (productive velocity baseline), k (dampening coefficient), and t-bounds (rate range) — are set through a rulemaking process in which financial sector participants have disproportionate influence. V₀ is set high enough that most speculative trading falls ‘within productive baseline’ and pays only the minimum rate. The tax becomes, in practice, a modest flat fee on all transactions, generating insufficient revenue to fund the social programs, which are then cut as ‘underfunded.’</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4: SUNSET WITHOUT RENEWAL</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36-month pilot generates revenue and data. During the pilot, the financial sector lobbies intensively against renewal. CBO analysis is contested by financial industry-funded think tanks. The sunset clause triggers and the program expires. The social programs funded during the pilot are either discontinued (political damage) or transferred to deficit spending (restoring the structural problem the velocity tax was designed to solve). The only permanent beneficiary was the debt paydown that occurred during the pilot.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5: STRUCTURAL EXEMPTION (EXEMPTION CREEP)</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financial sector lobby requests ‘temporary’ exemptions for ‘liquidity-critical’ instruments: repo markets, interbank lending, currency swaps, derivatives clearing. Each exemption has a plausible-sounding justification — systemic risk, market function, international competitiveness. Each is granted separately, in conference or rulemaking, without a floor vote on the combined effect. The cumulative result: the highest-volume speculative transactions — exactly the ones the instrument is designed to tax — are exempt. What remains is a flat excise on productive commerce. The revenue base collapses. Social programs are cut as underfunded. The instrument has been structurally inverted. Note: the justification for each carve-out is always available. There is no instrument that cannot be argued as ‘systemic.’ Uniformity is not a design preference — it is the constitutional and economic load-bearing wall. The moment one exemption exists, every sector has an equivalent argument and the wall comes down.</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III. The Non-Negotiable Statutory Package</w:t>
      </w:r>
    </w:p>
    <w:p>
      <w:pPr>
        <w:spacing w:after="100" w:before="60"/>
      </w:pPr>
      <w:r>
        <w:rPr>
          <w:rFonts w:ascii="Arial" w:cs="Arial" w:eastAsia="Arial" w:hAnsi="Arial"/>
          <w:b w:val="false"/>
          <w:bCs w:val="false"/>
          <w:i w:val="false"/>
          <w:iCs w:val="false"/>
          <w:color w:val="1A1A1A"/>
          <w:sz w:val="22"/>
          <w:szCs w:val="22"/>
        </w:rPr>
        <w:t xml:space="preserve">The following five provisions must survive conference intact. Each corresponds to a specific failure mode. Losing any one of them converts the proposal from transformative to harmful.</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1: STATUTORY ALLOCATION LOCK (VS. FAILURE MODE 2)</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revenue allocation is not discretionary. The enabling legislation must specify: (1) social programs receive first priority in revenue allocation — healthcare, guaranteed income, and universal pensions funded before any other use; (2) a reserve fund receives second priority; (3) debt paydown receives the surplus after (1) and (2) are fully funded. This ordering is not advisory. It is statutory. A bill that removes this ordering has removed the purpose of the instrument.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2: THRESHOLD FLOOR WITH SUPERMAJORITY REQUIREMENT (VS. FAILURE MODE 1)</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minimum transaction threshold below which the velocity tax does not apply is established in the enabling legislation at $10,000 for consumer transactions and $100,000 for all other transactions. Lowering this threshold requires a two-thirds supermajority vote in both chambers — not ordinary legislation. This prevents threshold creep through simple majority horse-trading. Any proposal to lower the threshold without a corresponding increase in social program funding and a new CBO distributional analysis is not fiscal reform. It is redistribution upward.</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3: FINANCIAL SECTOR EXCLUSION FROM OVERSIGHT (VS. FAILURE MODE 3)</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Seventh Generation Monetary Oversight Commission (Action 10 of the legislative plan) is explicitly barred from financial sector participation — not as a preference, but as a statutory disqualification. Any person employed by, compensated by, or holding significant equity in any financial institution within 7 years prior to appointment is ineligible. This provision must be in the enabling legislation, not in the Commission’s operating rules, where it can be amended by the Commission itself. Parameter setting through notice-and-comment rulemaking with financial sector exclusion is the structural prevention of capture.</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4: RENEWAL WITH INDEPENDENT CERTIFICATION (VS. FAILURE MODE 4)</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36-month pilot renews only upon affirmative vote, with two required conditions: (1) an independent certification — by an entity that is not Treasury, not the Fed, and not CBO — that the social program allocations were fully funded and actually deployed during the pilot; and (2) a distributional impact analysis showing that the net effect on households below the median income is positive. If either condition is not met, the sunset triggers automatically and cannot be waived by executive action. This makes the social dividend inseparable from the instrument’s continuation.</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5: STATUTORY PROHIBITION ON INSTRUMENT-SPECIFIC EXEMPTIONS (VS. FAILURE MODE 5)</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enabling legislation must include an explicit prohibition: no transaction type, financial instrument, market sector, or counterparty class is exempt from the velocity tax rate. Any exemption — permanent, temporary, or conditional — requires the same two-thirds supermajority in both chambers as the threshold floor (Safeguard 2), plus a mandatory CBO analysis showing the distributional impact of the exemption on households below median income, published in full before the vote. ‘Systemic liquidity risk’ is not a statutory basis for exemption — it is the argument every exemption request will make. If the argument were sufficient, the circuit breaker mechanism (Mode 3) is the correct response: a universal rate ceiling applied to all transactions equally, not a carve-out for preferred instruments. Allied legislators must treat any exemption request as a structural attack on the instrument, regardless of the justification offered.</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IV. Red Lines in Legislative Negotiation</w:t>
      </w:r>
    </w:p>
    <w:p>
      <w:pPr>
        <w:spacing w:after="100" w:before="60"/>
      </w:pPr>
      <w:r>
        <w:rPr>
          <w:rFonts w:ascii="Arial" w:cs="Arial" w:eastAsia="Arial" w:hAnsi="Arial"/>
          <w:b w:val="false"/>
          <w:bCs w:val="false"/>
          <w:i w:val="false"/>
          <w:iCs w:val="false"/>
          <w:color w:val="1A1A1A"/>
          <w:sz w:val="22"/>
          <w:szCs w:val="22"/>
        </w:rPr>
        <w:t xml:space="preserve">The following table identifies the pressure points where the financial sector and its legislative allies will focus their negotiating effort. Each item describes what they will propose and what protection must be maintained.</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80"/>
        <w:gridCol w:w="6240"/>
      </w:tblGrid>
      <w:tr>
        <w:tc>
          <w:tcPr>
            <w:tcW w:type="dxa" w:w="3480"/>
            <w:tcBorders>
              <w:top w:val="single" w:color="1B3A5C" w:sz="6"/>
              <w:left w:val="single" w:color="1B3A5C" w:sz="6"/>
              <w:bottom w:val="single" w:color="1B3A5C" w:sz="6"/>
              <w:right w:val="single" w:color="1B3A5C" w:sz="6"/>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PRESSURE POINT</w:t>
            </w:r>
          </w:p>
        </w:tc>
        <w:tc>
          <w:tcPr>
            <w:tcW w:type="dxa" w:w="6240"/>
            <w:tcBorders>
              <w:top w:val="single" w:color="1B3A5C" w:sz="6"/>
              <w:left w:val="single" w:color="1B3A5C" w:sz="6"/>
              <w:bottom w:val="single" w:color="1B3A5C" w:sz="6"/>
              <w:right w:val="single" w:color="1B3A5C" w:sz="6"/>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WHAT TO PROTECT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"Pilot only" framing</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pilot's revenue allocation structure must be identical to the permanent program's. A pilot that funds debt paydown while the permanent program funds social programs creates no precedent and no constituency.</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"Revenue neutral" requirement</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Velocity taxation is explicitly NOT revenue neutral. It generates surplus. Demanding revenue neutrality as a condition forces offsetting tax cuts that benefit the wealthy and eliminate the social dividend. Reject this condition entirely.</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Bipartisan commission to "study" allocation</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revenue allocation must be in the bill, not delegated to a commission. Commissions delay, and delay is the mechanism through which social programs get decoupled from the instrument.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Financial industry carve-outs</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Any transaction exemption for a specific instrument or sector — derivatives, repo markets, currency swaps, interbank lending — is a carve-out. Each carve-out reduces the base and requires raising rates on what remains, which shifts burden toward smaller participants. Reject all sector-specific exemptions.</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"Phase in" social programs over 5 years</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Social programs must begin from the first dollar of revenue in the first month of the pilot. A phase-in structure allows the argument that the social dividend is ‘not yet operational’ to be used to justify sunset of the entire instrument before benefits accrue to the working population.</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IRS enforcement retained</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velocity tax is self-collecting at the clearing layer. There is no returns-based enforcement function. Retaining IRS enforcement infrastructure for the velocity tax is the mechanism through which audit-based avoidance strategies are later permitted. The transformation of the IRS from enforcement to economic development must be concurrent with implementation, not deferred.</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Financial sector carve-out requests of any kind</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political answer is simple and must be stated publicly: the federal government’s own transactions are subject to this rate. State and local government transactions are subject to this rate. No public entity — Congress, the Pentagon, the Treasury — receives an exemption. When the financial sector requests a carve-out, the answer on the floor is: explain why you deserve a privilege that the United States government itself does not receive. This framing makes a carve-out vote politically toxic. Use it.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‘Rebate instead of rate reduction’ as carve-out substitute</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conditional rebate IS available to high-frequency trading firms, hedge funds, and private equity — on exactly the same terms as any other financial institution. They pay the full rate. They get 5–10% back if they deploy into qualifying productive investment through a designated separate account with independent certification and criminal liability for misuse. This is not a carve-out. It is a productive investment incentive open to any entity willing to put capital to work in the real economy. If a financial institution asks for a rebate without the productive investment condition, that is a carve-out. Reject it.</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V. The Coalition Architecture</w:t>
      </w:r>
    </w:p>
    <w:p>
      <w:pPr>
        <w:spacing w:after="100" w:before="60"/>
      </w:pPr>
      <w:r>
        <w:rPr>
          <w:rFonts w:ascii="Arial" w:cs="Arial" w:eastAsia="Arial" w:hAnsi="Arial"/>
          <w:b w:val="false"/>
          <w:bCs w:val="false"/>
          <w:i w:val="false"/>
          <w:iCs w:val="false"/>
          <w:color w:val="1A1A1A"/>
          <w:sz w:val="22"/>
          <w:szCs w:val="22"/>
        </w:rPr>
        <w:t xml:space="preserve">Understanding who benefits and who opposes is essential for protecting the proposal through the legislative process. The opposing coalition is well-organized and well-funded. The supporting coalition is larger but requires activation.</w:t>
      </w:r>
    </w:p>
    <w:p>
      <w:pPr>
        <w:spacing w:after="0" w:before="120"/>
      </w:pPr>
      <w:r>
        <w:t xml:space="preserve"/>
      </w:r>
    </w:p>
    <w:p>
      <w:pPr>
        <w:spacing w:after="80" w:before="200"/>
      </w:pPr>
      <w:r>
        <w:rPr>
          <w:rFonts w:ascii="Arial" w:cs="Arial" w:eastAsia="Arial" w:hAnsi="Arial"/>
          <w:b/>
          <w:bCs/>
          <w:color w:val="1B3A5C"/>
          <w:sz w:val="24"/>
          <w:szCs w:val="24"/>
        </w:rPr>
        <w:t xml:space="preserve">Who Benefits (The Supporting Coalition)</w:t>
      </w:r>
    </w:p>
    <w:p>
      <w:pPr>
        <w:pStyle w:val="ListParagraph"/>
        <w:numPr>
          <w:ilvl w:val="0"/>
          <w:numId w:val="2"/>
        </w:numPr>
        <w:spacing w:after="40" w:before="40"/>
      </w:pPr>
      <w:r>
        <w:rPr>
          <w:rFonts w:ascii="Arial" w:cs="Arial" w:eastAsia="Arial" w:hAnsi="Arial"/>
          <w:b w:val="false"/>
          <w:bCs w:val="false"/>
          <w:color w:val="1A1A1A"/>
          <w:sz w:val="22"/>
          <w:szCs w:val="22"/>
        </w:rPr>
        <w:t xml:space="preserve">Working population: universal healthcare, guaranteed income, pensions — the largest existing political majority if activated</w:t>
      </w:r>
    </w:p>
    <w:p>
      <w:pPr>
        <w:pStyle w:val="ListParagraph"/>
        <w:numPr>
          <w:ilvl w:val="0"/>
          <w:numId w:val="2"/>
        </w:numPr>
        <w:spacing w:after="40" w:before="40"/>
      </w:pPr>
      <w:r>
        <w:rPr>
          <w:rFonts w:ascii="Arial" w:cs="Arial" w:eastAsia="Arial" w:hAnsi="Arial"/>
          <w:b w:val="false"/>
          <w:bCs w:val="false"/>
          <w:color w:val="1A1A1A"/>
          <w:sz w:val="22"/>
          <w:szCs w:val="22"/>
        </w:rPr>
        <w:t xml:space="preserve">Small and medium businesses: employer healthcare overhead eliminated entirely; workers with income security accept more flexible employment arrangements; a $7,000–8,000 per employee annual cost reduction that exceeds any transaction friction on productive commerce</w:t>
      </w:r>
    </w:p>
    <w:p>
      <w:pPr>
        <w:pStyle w:val="ListParagraph"/>
        <w:numPr>
          <w:ilvl w:val="0"/>
          <w:numId w:val="2"/>
        </w:numPr>
        <w:spacing w:after="40" w:before="40"/>
      </w:pPr>
      <w:r>
        <w:rPr>
          <w:rFonts w:ascii="Arial" w:cs="Arial" w:eastAsia="Arial" w:hAnsi="Arial"/>
          <w:b w:val="false"/>
          <w:bCs w:val="false"/>
          <w:color w:val="1A1A1A"/>
          <w:sz w:val="22"/>
          <w:szCs w:val="22"/>
        </w:rPr>
        <w:t xml:space="preserve">Domestic manufacturers and productive investors: conditional rebate mechanism returns a fraction of remitted tax conditioned on investment in tangible productive assets; the instrument explicitly favors production over speculation</w:t>
      </w:r>
    </w:p>
    <w:p>
      <w:pPr>
        <w:pStyle w:val="ListParagraph"/>
        <w:numPr>
          <w:ilvl w:val="0"/>
          <w:numId w:val="2"/>
        </w:numPr>
        <w:spacing w:after="40" w:before="40"/>
      </w:pPr>
      <w:r>
        <w:rPr>
          <w:rFonts w:ascii="Arial" w:cs="Arial" w:eastAsia="Arial" w:hAnsi="Arial"/>
          <w:b w:val="false"/>
          <w:bCs w:val="false"/>
          <w:color w:val="1A1A1A"/>
          <w:sz w:val="22"/>
          <w:szCs w:val="22"/>
        </w:rPr>
        <w:t xml:space="preserve">Retirees: universal pensions eliminate the retirement security anxiety that shapes electoral behavior more than any other single factor</w:t>
      </w:r>
    </w:p>
    <w:p>
      <w:pPr>
        <w:pStyle w:val="ListParagraph"/>
        <w:numPr>
          <w:ilvl w:val="0"/>
          <w:numId w:val="2"/>
        </w:numPr>
        <w:spacing w:after="40" w:before="40"/>
      </w:pPr>
      <w:r>
        <w:rPr>
          <w:rFonts w:ascii="Arial" w:cs="Arial" w:eastAsia="Arial" w:hAnsi="Arial"/>
          <w:b w:val="false"/>
          <w:bCs w:val="false"/>
          <w:color w:val="1A1A1A"/>
          <w:sz w:val="22"/>
          <w:szCs w:val="22"/>
        </w:rPr>
        <w:t xml:space="preserve">Entrepreneurs and startups: workers who have healthcare and income security take job risks — entrepreneurship requires the freedom to fail without catastrophic personal consequences</w:t>
      </w:r>
    </w:p>
    <w:p>
      <w:pPr>
        <w:pStyle w:val="ListParagraph"/>
        <w:numPr>
          <w:ilvl w:val="0"/>
          <w:numId w:val="2"/>
        </w:numPr>
        <w:spacing w:after="40" w:before="40"/>
      </w:pPr>
      <w:r>
        <w:rPr>
          <w:rFonts w:ascii="Arial" w:cs="Arial" w:eastAsia="Arial" w:hAnsi="Arial"/>
          <w:b w:val="false"/>
          <w:bCs w:val="false"/>
          <w:color w:val="1A1A1A"/>
          <w:sz w:val="22"/>
          <w:szCs w:val="22"/>
        </w:rPr>
        <w:t xml:space="preserve">Rural districts: district-based revenue deployment through the transformed IRS network means agricultural infrastructure, rural broadband, water systems — exactly the capital rural districts cannot attract through private markets</w:t>
      </w:r>
    </w:p>
    <w:p>
      <w:pPr>
        <w:spacing w:after="0" w:before="120"/>
      </w:pPr>
      <w:r>
        <w:t xml:space="preserve"/>
      </w:r>
    </w:p>
    <w:p>
      <w:pPr>
        <w:spacing w:after="80" w:before="200"/>
      </w:pPr>
      <w:r>
        <w:rPr>
          <w:rFonts w:ascii="Arial" w:cs="Arial" w:eastAsia="Arial" w:hAnsi="Arial"/>
          <w:b/>
          <w:bCs/>
          <w:color w:val="1B3A5C"/>
          <w:sz w:val="24"/>
          <w:szCs w:val="24"/>
        </w:rPr>
        <w:t xml:space="preserve">Who Opposes (The Blocking Coalition)</w:t>
      </w:r>
    </w:p>
    <w:p>
      <w:pPr>
        <w:pStyle w:val="ListParagraph"/>
        <w:numPr>
          <w:ilvl w:val="0"/>
          <w:numId w:val="2"/>
        </w:numPr>
        <w:spacing w:after="40" w:before="40"/>
      </w:pPr>
      <w:r>
        <w:rPr>
          <w:rFonts w:ascii="Arial" w:cs="Arial" w:eastAsia="Arial" w:hAnsi="Arial"/>
          <w:b w:val="false"/>
          <w:bCs w:val="false"/>
          <w:color w:val="1A1A1A"/>
          <w:sz w:val="22"/>
          <w:szCs w:val="22"/>
        </w:rPr>
        <w:t xml:space="preserve">High-frequency trading firms: the instrument is specifically most burdensome on maximum-volume speculative transactions; this constituency has very high political spending and very low popular sympathy</w:t>
      </w:r>
    </w:p>
    <w:p>
      <w:pPr>
        <w:pStyle w:val="ListParagraph"/>
        <w:numPr>
          <w:ilvl w:val="0"/>
          <w:numId w:val="2"/>
        </w:numPr>
        <w:spacing w:after="40" w:before="40"/>
      </w:pPr>
      <w:r>
        <w:rPr>
          <w:rFonts w:ascii="Arial" w:cs="Arial" w:eastAsia="Arial" w:hAnsi="Arial"/>
          <w:b w:val="false"/>
          <w:bCs w:val="false"/>
          <w:color w:val="1A1A1A"/>
          <w:sz w:val="22"/>
          <w:szCs w:val="22"/>
        </w:rPr>
        <w:t xml:space="preserve">Tax avoidance industry: the velocity tax has no returns and no complexity; the entire industry of tax attorneys, accountants, and avoidance-structure designers becomes unnecessary; their business model depends on income-based tax complexity</w:t>
      </w:r>
    </w:p>
    <w:p>
      <w:pPr>
        <w:pStyle w:val="ListParagraph"/>
        <w:numPr>
          <w:ilvl w:val="0"/>
          <w:numId w:val="2"/>
        </w:numPr>
        <w:spacing w:after="40" w:before="40"/>
      </w:pPr>
      <w:r>
        <w:rPr>
          <w:rFonts w:ascii="Arial" w:cs="Arial" w:eastAsia="Arial" w:hAnsi="Arial"/>
          <w:b w:val="false"/>
          <w:bCs w:val="false"/>
          <w:color w:val="1A1A1A"/>
          <w:sz w:val="22"/>
          <w:szCs w:val="22"/>
        </w:rPr>
        <w:t xml:space="preserve">Wealth management and private equity: capital gains tax elimination sounds attractive but comes with velocity friction on portfolio churn; the instrument rewards holding over trading</w:t>
      </w:r>
    </w:p>
    <w:p>
      <w:pPr>
        <w:pStyle w:val="ListParagraph"/>
        <w:numPr>
          <w:ilvl w:val="0"/>
          <w:numId w:val="2"/>
        </w:numPr>
        <w:spacing w:after="40" w:before="40"/>
      </w:pPr>
      <w:r>
        <w:rPr>
          <w:rFonts w:ascii="Arial" w:cs="Arial" w:eastAsia="Arial" w:hAnsi="Arial"/>
          <w:b w:val="false"/>
          <w:bCs w:val="false"/>
          <w:color w:val="1A1A1A"/>
          <w:sz w:val="22"/>
          <w:szCs w:val="22"/>
        </w:rPr>
        <w:t xml:space="preserve">Financial sector broadly: the velocity tax applies friction to the sector that generates the highest transaction volume; the industry will argue capital flight and systemic risk regardless of evidence</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i/>
                <w:iCs/>
                <w:color w:val="1B3A5C"/>
                <w:sz w:val="24"/>
                <w:szCs w:val="24"/>
              </w:rPr>
              <w:t xml:space="preserve">The blocking coalition has concentrated financial power. The supporting coalition has distributed democratic power. This is the fundamental political structure. The instrument wins if the supporting coalition is activated before the blocking coalition captures implementation.</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VI. Sequencing Recommendation</w:t>
      </w:r>
    </w:p>
    <w:p>
      <w:pPr>
        <w:spacing w:after="100" w:before="60"/>
      </w:pPr>
      <w:r>
        <w:rPr>
          <w:rFonts w:ascii="Arial" w:cs="Arial" w:eastAsia="Arial" w:hAnsi="Arial"/>
          <w:b w:val="false"/>
          <w:bCs w:val="false"/>
          <w:i w:val="false"/>
          <w:iCs w:val="false"/>
          <w:color w:val="1A1A1A"/>
          <w:sz w:val="22"/>
          <w:szCs w:val="22"/>
        </w:rPr>
        <w:t xml:space="preserve">The following sequence is designed to build the supporting coalition before the blocking coalition can organize against the full instrument.</w:t>
      </w:r>
    </w:p>
    <w:p>
      <w:pPr>
        <w:spacing w:after="0" w:before="80"/>
      </w:pPr>
      <w:r>
        <w:t xml:space="preserve"/>
      </w:r>
    </w:p>
    <w:p>
      <w:pPr>
        <w:pStyle w:val="ListParagraph"/>
        <w:numPr>
          <w:ilvl w:val="0"/>
          <w:numId w:val="3"/>
        </w:numPr>
        <w:spacing w:after="60" w:before="60"/>
      </w:pPr>
      <w:r>
        <w:rPr>
          <w:rFonts w:ascii="Arial" w:cs="Arial" w:eastAsia="Arial" w:hAnsi="Arial"/>
          <w:color w:val="1A1A1A"/>
          <w:sz w:val="22"/>
          <w:szCs w:val="22"/>
        </w:rPr>
        <w:t xml:space="preserve">ACTION 1-3 (Immediate): Treasury velocity study + Fed reporting mandate + de-dollarization dashboard. These are executive-authority actions that establish the data infrastructure. No legislation required. Creates institutional knowledge base and makes the problem visible in official records before the legislative fight begins.</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4 (30 Days): Velocity Tax Pilot Act — 0.1% on equity trades above $100,000. This is the politically viable entry point: it only touches financial transactions above consumer thresholds. Social program allocation must be in the bill from day one, even if the revenue is modest in the pilot stage. Establishes the precedent that social programs are the primary allocation.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CRITICAL: The pilot bill must include the social program allocation structure in full, not as a placeholder. If the structure is absent in the pilot, it will not be inserted in the permanent program.</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ACTIONS 5-6 (30-90 Days): Conditional Rebate Design Commission + Dollar Reserve Protection Board. These build the productive-investment channel and the de-dollarization monitoring infrastructure simultaneously. Both generate institutional allies in the supporting coalition.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7 (90 Days): AI Monetary Management Authorization Act. This is the technically complex element and politically the most vulnerable to "black box" objections. It requires the data infrastructure from Actions 1-3 to be operational before it can be credibly proposed. The oversight provisions — congressional override, parameter transparency, financial sector exclusion — must be in the enabling legislation.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ACTIONS 8-9 (Concurrent): Non-Dollar Clearing Protection + Intergenerational Fiscal Review Act. These are the defensive architecture: preventing resource warfare from creating permanent de-dollarization infrastructure, and constitutionally grounding the long-horizon obligation.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10 (Concurrent with 7): Seventh Generation Monetary Oversight Commission. Must be established before the AI system is operational. The Commission’s authority to preemptively suspend AI rate adjustment must exist before the system it is overseeing is running.</w:t>
      </w:r>
    </w:p>
    <w:p>
      <w:pPr>
        <w:spacing w:after="0" w:before="2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240"/>
              <w:left w:type="dxa" w:w="480"/>
              <w:bottom w:type="dxa" w:w="240"/>
              <w:right w:type="dxa" w:w="480"/>
            </w:tcMar>
          </w:tcPr>
          <w:p>
            <w:pPr>
              <w:jc w:val="center"/>
            </w:pPr>
            <w:r>
              <w:rPr>
                <w:rFonts w:ascii="Arial" w:cs="Arial" w:eastAsia="Arial" w:hAnsi="Arial"/>
                <w:b/>
                <w:bCs/>
                <w:color w:val="B8860B"/>
                <w:sz w:val="22"/>
                <w:szCs w:val="22"/>
              </w:rPr>
              <w:t xml:space="preserve">THE CORE PRINCIPLE TO HOLD</w:t>
            </w:r>
          </w:p>
          <w:p>
            <w:pPr>
              <w:spacing w:before="120"/>
              <w:jc w:val="center"/>
            </w:pPr>
            <w:r>
              <w:rPr>
                <w:rFonts w:ascii="Arial" w:cs="Arial" w:eastAsia="Arial" w:hAnsi="Arial"/>
                <w:b/>
                <w:bCs/>
                <w:color w:val="FFFFFF"/>
                <w:sz w:val="26"/>
                <w:szCs w:val="26"/>
              </w:rPr>
              <w:t xml:space="preserve">Without the social dividend, this is a regressive tax.</w:t>
            </w:r>
          </w:p>
          <w:p>
            <w:pPr>
              <w:spacing w:before="80"/>
              <w:jc w:val="center"/>
            </w:pPr>
            <w:r>
              <w:rPr>
                <w:rFonts w:ascii="Arial" w:cs="Arial" w:eastAsia="Arial" w:hAnsi="Arial"/>
                <w:color w:val="FFFFFF"/>
                <w:sz w:val="24"/>
                <w:szCs w:val="24"/>
              </w:rPr>
              <w:t xml:space="preserve">With the social dividend, it is the most progressive fiscal reform in American history.</w:t>
            </w:r>
          </w:p>
          <w:p>
            <w:pPr>
              <w:spacing w:before="100"/>
              <w:jc w:val="center"/>
            </w:pPr>
            <w:r>
              <w:rPr>
                <w:rFonts w:ascii="Arial" w:cs="Arial" w:eastAsia="Arial" w:hAnsi="Arial"/>
                <w:i/>
                <w:iCs/>
                <w:color w:val="FFD700"/>
                <w:sz w:val="20"/>
                <w:szCs w:val="20"/>
              </w:rPr>
              <w:t xml:space="preserve">The social dividend is not the incentive offered to get the tax passed. It is the reason the tax exists. Any negotiation that treats them as separable is not a negotiation over terms. It is the capture of the instrument.</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pBdr>
    </w:pPr>
  </w:p>
  <w:p>
    <w:pPr>
      <w:spacing w:before="80"/>
      <w:jc w:val="center"/>
    </w:pPr>
    <w:r>
      <w:rPr>
        <w:rFonts w:ascii="Arial" w:cs="Arial" w:eastAsia="Arial" w:hAnsi="Arial"/>
        <w:i/>
        <w:iCs/>
        <w:color w:val="555555"/>
        <w:sz w:val="16"/>
        <w:szCs w:val="16"/>
      </w:rPr>
      <w:t xml:space="preserve">Federated Village Project  |  Not for public distribution  |  April 5,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0"/>
      <w:gridCol w:w="2520"/>
    </w:tblGrid>
    <w:tr>
      <w:tc>
        <w:tcPr>
          <w:tcW w:type="dxa" w:w="7200"/>
          <w:tcBorders>
            <w:top w:val="none" w:color="FFFFFF" w:sz="0"/>
            <w:left w:val="none" w:color="FFFFFF" w:sz="0"/>
            <w:bottom w:val="none" w:color="FFFFFF" w:sz="0"/>
            <w:right w:val="none" w:color="FFFFFF" w:sz="0"/>
          </w:tcBorders>
        </w:tcPr>
        <w:p>
          <w:r>
            <w:rPr>
              <w:rFonts w:ascii="Arial" w:cs="Arial" w:eastAsia="Arial" w:hAnsi="Arial"/>
              <w:b/>
              <w:bCs/>
              <w:color w:val="8B1A1A"/>
              <w:sz w:val="16"/>
              <w:szCs w:val="16"/>
            </w:rPr>
            <w:t xml:space="preserve">PRIVATE — FOR ALLIED LEGISLATORS  |  VELOCITY TAXATION IMPLEMENTATION SAFEGUARDS  |  APRIL 5, 2026</w:t>
          </w:r>
        </w:p>
      </w:tc>
      <w:tc>
        <w:tcPr>
          <w:tcW w:type="dxa" w:w="2520"/>
          <w:tcBorders>
            <w:top w:val="none" w:color="FFFFFF" w:sz="0"/>
            <w:left w:val="none" w:color="FFFFFF" w:sz="0"/>
            <w:bottom w:val="none" w:color="FFFFFF" w:sz="0"/>
            <w:right w:val="none" w:color="FFFFFF" w:sz="0"/>
          </w:tcBorders>
        </w:tcPr>
        <w:p>
          <w:pPr>
            <w:jc w:val="right"/>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tc>
    </w:tr>
  </w:tbl>
  <w:p>
    <w:pPr>
      <w:pBdr>
        <w:bottom w:val="single" w:color="8B1A1A" w:sz="6"/>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2026-04-05T17:13:45.795Z</dcterms:created>
  <dcterms:modified xsi:type="dcterms:W3CDTF">2026-04-05T17:13:45.796Z</dcterms:modified>
</cp:coreProperties>
</file>

<file path=docProps/custom.xml><?xml version="1.0" encoding="utf-8"?>
<Properties xmlns="http://schemas.openxmlformats.org/officeDocument/2006/custom-properties" xmlns:vt="http://schemas.openxmlformats.org/officeDocument/2006/docPropsVTypes"/>
</file>