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320"/>
              <w:left w:type="dxa" w:w="480"/>
              <w:bottom w:type="dxa" w:w="32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AMERICAN PRODUCTIVITY TAX REFORM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A Single Rate That Replaces Them All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A Legislative Brief for the United States Congress</w:t>
            </w:r>
          </w:p>
          <w:p>
            <w:pPr>
              <w:pBdr>
                <w:top w:val="single" w:color="B8860B" w:sz="4"/>
              </w:pBd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B8860B"/>
                <w:sz w:val="18"/>
                <w:szCs w:val="18"/>
              </w:rPr>
              <w:t xml:space="preserve">April 5, 2026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5F0E0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8"/>
                <w:szCs w:val="28"/>
              </w:rPr>
              <w:t xml:space="preserve">READY FOR LEGISLATIVE INTRODUCTION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1B3A5C"/>
                <w:sz w:val="20"/>
                <w:szCs w:val="20"/>
              </w:rPr>
              <w:t xml:space="preserve">“The core architecture is sound, internally consistent, and constitutionally grounded. This proposal is ready.”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60B" w:sz="4"/>
        </w:pBdr>
        <w:spacing w:after="8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I. What This Is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is not a new tax on top of existing taxes. It is not a social spending proposal. It is not wealth redistribution. It is a complete replacement of the most complex, punitive, and economically destructive tax system in the developed world with a single flat rate applied automatically at the clearing layer — the same way an ATM fee works.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returns. No audits. No criminal liability for getting it wrong.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industry of attorneys and accountants needed to navigate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offshore subsidiary structures to exploit. No lobbyists writing carve-outs.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Same rate on every cleared transaction — every dollar of commerce, every financial trade, every wire transfer. Government transactions included.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Every American business — from the corner store to Apple — pays far less than today. Workers are freed from job-lock because healthcare and pensions come from the tax base, not from employers. American productive capacity is unleashed because the barriers to starting, running, and growing a business are eliminated.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only entities that pay more are those that generate income by moving money rather than by making things: high-frequency traders, private equity, hedge funds. Friction on speculation. Freedom for production.</w:t>
      </w:r>
    </w:p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single" w:color="B8860B" w:sz="6"/>
              <w:bottom w:val="none" w:color="FFFFFF" w:sz="0"/>
              <w:right w:val="none" w:color="FFFFFF" w:sz="0"/>
            </w:tcBorders>
            <w:shd w:fill="F5F0E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B3A5C"/>
                <w:sz w:val="24"/>
                <w:szCs w:val="24"/>
              </w:rPr>
              <w:t xml:space="preserve">This is the flat tax conservatives have wanted for decades. It is also the most significant expansion of economic security for working Americans in a century. These are not contradictory. They are the same instrument.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60B" w:sz="4"/>
        </w:pBdr>
        <w:spacing w:after="8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II. The Derivation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Milton Friedman’s equation of exchange:</w:t>
      </w:r>
    </w:p>
    <w:p>
      <w:pPr>
        <w:spacing w:after="0" w:before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E8EEF4" w:val="clear"/>
            <w:tcMar>
              <w:top w:type="dxa" w:w="160"/>
              <w:left w:type="dxa" w:w="480"/>
              <w:bottom w:type="dxa" w:w="16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44"/>
                <w:szCs w:val="44"/>
              </w:rPr>
              <w:t xml:space="preserve">MV = PQ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 = money supply  •  V = velocity of money  •  P = price level  •  Q = real output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Every existing tax taxes P and Q — what people make, grow, and sell. Income tax, capital gains, payroll, excise: all derivatives of the productive economy. The velocity tax taxes V: the path integral of monetary movement. The total accumulated distance money travels at every clearing event, regardless of direction or destination.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Financial transaction volume exceeds GDP by orders of magnitude. A stock position traded 1,000 times in a day with zero net price change: income tax sees zero, capital gains sees zero, velocity tax sees 2,000 transaction legs. This is where the modern economy actually lives — and no existing tax touches it.</w:t>
      </w:r>
    </w:p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E8EEF4" w:val="clear"/>
            <w:tcMar>
              <w:top w:type="dxa" w:w="120"/>
              <w:left w:type="dxa" w:w="480"/>
              <w:bottom w:type="dxa" w:w="12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32"/>
                <w:szCs w:val="32"/>
              </w:rPr>
              <w:t xml:space="preserve">t(V) = t₀ + k × max(0, V − V₀)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Rate rises with excess velocity above productive baseline — self-correcting without legislative action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Rate range: 0.25–0.7% flat. Revenue sufficient to replace the entire federal tax apparatus. Self-collecting at the clearing layer. Cannot be wrong. Cannot be audited.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Attribution: Michael Fox, 1989. Independent parallel derivation: Edgar L. Feige (University of Wisconsin–Madison), 2000.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60B" w:sz="4"/>
        </w:pBdr>
        <w:spacing w:after="8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III. The Math — What Every Business Saves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Small Business (5 employees, $50K average wage, $500K revenue)</w:t>
      </w:r>
    </w:p>
    <w:p>
      <w:pPr>
        <w:spacing w:after="0" w:before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520"/>
        <w:gridCol w:w="2520"/>
      </w:tblGrid>
      <w:tr>
        <w:tc>
          <w:tcPr>
            <w:tcW w:type="dxa" w:w="468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 Item</w:t>
            </w:r>
          </w:p>
        </w:tc>
        <w:tc>
          <w:tcPr>
            <w:tcW w:type="dxa" w:w="252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System</w:t>
            </w:r>
          </w:p>
        </w:tc>
        <w:tc>
          <w:tcPr>
            <w:tcW w:type="dxa" w:w="252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Velocity Tax @ 0.35%</w:t>
            </w:r>
          </w:p>
        </w:tc>
      </w:tr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Employer FICA (7.65% of wages)</w:t>
            </w:r>
          </w:p>
        </w:tc>
        <w:tc>
          <w:tcPr>
            <w:tcW w:type="dxa" w:w="25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$19,125</w:t>
            </w:r>
          </w:p>
        </w:tc>
        <w:tc>
          <w:tcPr>
            <w:tcW w:type="dxa" w:w="25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Healthcare (employer share)</w:t>
            </w:r>
          </w:p>
        </w:tc>
        <w:tc>
          <w:tcPr>
            <w:tcW w:type="dxa" w:w="25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$26,250</w:t>
            </w:r>
          </w:p>
        </w:tc>
        <w:tc>
          <w:tcPr>
            <w:tcW w:type="dxa" w:w="25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PAID — Productivity Dividend</w:t>
            </w:r>
          </w:p>
        </w:tc>
      </w:tr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Workers’ compensation</w:t>
            </w:r>
          </w:p>
        </w:tc>
        <w:tc>
          <w:tcPr>
            <w:tcW w:type="dxa" w:w="25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$7,500</w:t>
            </w:r>
          </w:p>
        </w:tc>
        <w:tc>
          <w:tcPr>
            <w:tcW w:type="dxa" w:w="25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Federal income tax</w:t>
            </w:r>
          </w:p>
        </w:tc>
        <w:tc>
          <w:tcPr>
            <w:tcW w:type="dxa" w:w="25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$10,500</w:t>
            </w:r>
          </w:p>
        </w:tc>
        <w:tc>
          <w:tcPr>
            <w:tcW w:type="dxa" w:w="25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State income tax</w:t>
            </w:r>
          </w:p>
        </w:tc>
        <w:tc>
          <w:tcPr>
            <w:tcW w:type="dxa" w:w="25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$2,500</w:t>
            </w:r>
          </w:p>
        </w:tc>
        <w:tc>
          <w:tcPr>
            <w:tcW w:type="dxa" w:w="25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Compliance (accountant/payroll)</w:t>
            </w:r>
          </w:p>
        </w:tc>
        <w:tc>
          <w:tcPr>
            <w:tcW w:type="dxa" w:w="25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$8,000</w:t>
            </w:r>
          </w:p>
        </w:tc>
        <w:tc>
          <w:tcPr>
            <w:tcW w:type="dxa" w:w="25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Tax on $500K sales + $200K purchases</w:t>
            </w:r>
          </w:p>
        </w:tc>
        <w:tc>
          <w:tcPr>
            <w:tcW w:type="dxa" w:w="25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$2,450</w:t>
            </w:r>
          </w:p>
        </w:tc>
      </w:tr>
      <w:tr>
        <w:tc>
          <w:tcPr>
            <w:tcW w:type="dxa" w:w="468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ANNUAL TAX BURDEN</w:t>
            </w:r>
          </w:p>
        </w:tc>
        <w:tc>
          <w:tcPr>
            <w:tcW w:type="dxa" w:w="252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F5F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$74,925</w:t>
            </w:r>
          </w:p>
        </w:tc>
        <w:tc>
          <w:tcPr>
            <w:tcW w:type="dxa" w:w="252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EA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2E"/>
                <w:sz w:val="20"/>
                <w:szCs w:val="20"/>
              </w:rPr>
              <w:t xml:space="preserve">$2,450</w:t>
            </w:r>
          </w:p>
        </w:tc>
      </w:tr>
      <w:tr>
        <w:tc>
          <w:tcPr>
            <w:tcW w:type="dxa" w:w="9720"/>
            <w:tcBorders>
              <w:top w:val="single" w:color="2E6B2E" w:sz="6"/>
              <w:left w:val="single" w:color="2E6B2E" w:sz="6"/>
              <w:bottom w:val="single" w:color="2E6B2E" w:sz="6"/>
              <w:right w:val="single" w:color="2E6B2E" w:sz="6"/>
            </w:tcBorders>
            <w:shd w:fill="EAF4E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B2E"/>
                <w:sz w:val="22"/>
                <w:szCs w:val="22"/>
              </w:rPr>
              <w:t xml:space="preserve">NET SAVING: $72,475 per year  —  97% reduction  —  Criminal liability: ELIMINATED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single" w:color="B8860B" w:sz="6"/>
              <w:bottom w:val="none" w:color="FFFFFF" w:sz="0"/>
              <w:right w:val="none" w:color="FFFFFF" w:sz="0"/>
            </w:tcBorders>
            <w:shd w:fill="F5F0E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B3A5C"/>
                <w:sz w:val="24"/>
                <w:szCs w:val="24"/>
              </w:rPr>
              <w:t xml:space="preserve">The velocity tax cannot be wrong. There is nothing to audit. There is no criminal liability. That alone is worth an enormous amount to any small business owner.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5-Tier Supply Chain vs. Amazon (same $1,000 product)</w:t>
      </w:r>
    </w:p>
    <w:p>
      <w:pPr>
        <w:spacing w:after="0" w:before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40"/>
        <w:gridCol w:w="2040"/>
        <w:gridCol w:w="2040"/>
      </w:tblGrid>
      <w:tr>
        <w:tc>
          <w:tcPr>
            <w:tcW w:type="dxa" w:w="360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Supply Chain Tier</w:t>
            </w:r>
          </w:p>
        </w:tc>
        <w:tc>
          <w:tcPr>
            <w:tcW w:type="dxa" w:w="204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204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Taxes</w:t>
            </w:r>
          </w:p>
        </w:tc>
        <w:tc>
          <w:tcPr>
            <w:tcW w:type="dxa" w:w="204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Velocity Tax</w:t>
            </w:r>
          </w:p>
        </w:tc>
      </w:tr>
      <w:tr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Raw materials supplier</w:t>
            </w:r>
          </w:p>
        </w:tc>
        <w:tc>
          <w:tcPr>
            <w:tcW w:type="dxa" w:w="2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$100</w:t>
            </w:r>
          </w:p>
        </w:tc>
        <w:tc>
          <w:tcPr>
            <w:tcW w:type="dxa" w:w="2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$14.99</w:t>
            </w:r>
          </w:p>
        </w:tc>
        <w:tc>
          <w:tcPr>
            <w:tcW w:type="dxa" w:w="2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$0.53</w:t>
            </w:r>
          </w:p>
        </w:tc>
      </w:tr>
      <w:tr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Parts processor</w:t>
            </w:r>
          </w:p>
        </w:tc>
        <w:tc>
          <w:tcPr>
            <w:tcW w:type="dxa" w:w="2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$250</w:t>
            </w:r>
          </w:p>
        </w:tc>
        <w:tc>
          <w:tcPr>
            <w:tcW w:type="dxa" w:w="2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$37.46</w:t>
            </w:r>
          </w:p>
        </w:tc>
        <w:tc>
          <w:tcPr>
            <w:tcW w:type="dxa" w:w="2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$1.23</w:t>
            </w:r>
          </w:p>
        </w:tc>
      </w:tr>
      <w:tr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Component assembler</w:t>
            </w:r>
          </w:p>
        </w:tc>
        <w:tc>
          <w:tcPr>
            <w:tcW w:type="dxa" w:w="2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$450</w:t>
            </w:r>
          </w:p>
        </w:tc>
        <w:tc>
          <w:tcPr>
            <w:tcW w:type="dxa" w:w="2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$67.43</w:t>
            </w:r>
          </w:p>
        </w:tc>
        <w:tc>
          <w:tcPr>
            <w:tcW w:type="dxa" w:w="2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$2.45</w:t>
            </w:r>
          </w:p>
        </w:tc>
      </w:tr>
      <w:tr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Final assembler</w:t>
            </w:r>
          </w:p>
        </w:tc>
        <w:tc>
          <w:tcPr>
            <w:tcW w:type="dxa" w:w="2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$700</w:t>
            </w:r>
          </w:p>
        </w:tc>
        <w:tc>
          <w:tcPr>
            <w:tcW w:type="dxa" w:w="2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$104.89</w:t>
            </w:r>
          </w:p>
        </w:tc>
        <w:tc>
          <w:tcPr>
            <w:tcW w:type="dxa" w:w="2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$4.03</w:t>
            </w:r>
          </w:p>
        </w:tc>
      </w:tr>
      <w:tr>
        <w:tc>
          <w:tcPr>
            <w:tcW w:type="dxa" w:w="3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Distributor / retailer</w:t>
            </w:r>
          </w:p>
        </w:tc>
        <w:tc>
          <w:tcPr>
            <w:tcW w:type="dxa" w:w="2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$1,000</w:t>
            </w:r>
          </w:p>
        </w:tc>
        <w:tc>
          <w:tcPr>
            <w:tcW w:type="dxa" w:w="2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$149.85</w:t>
            </w:r>
          </w:p>
        </w:tc>
        <w:tc>
          <w:tcPr>
            <w:tcW w:type="dxa" w:w="20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$5.95</w:t>
            </w:r>
          </w:p>
        </w:tc>
      </w:tr>
      <w:tr>
        <w:tc>
          <w:tcPr>
            <w:tcW w:type="dxa" w:w="360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TOTAL CHAIN</w:t>
            </w:r>
          </w:p>
        </w:tc>
        <w:tc>
          <w:tcPr>
            <w:tcW w:type="dxa" w:w="204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F5F0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$374.62</w:t>
            </w:r>
          </w:p>
        </w:tc>
        <w:tc>
          <w:tcPr>
            <w:tcW w:type="dxa" w:w="204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EAF4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2E"/>
                <w:sz w:val="20"/>
                <w:szCs w:val="20"/>
              </w:rPr>
              <w:t xml:space="preserve">$14.18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Current taxes are 26× larger than velocity tax across the full chain. Amazon vs. small chain: today’s system disadvantages the small chain by $254.62 per $1,000 of product. Under velocity tax: $10.68. A 24× improvement in competitive position.</w:t>
      </w:r>
    </w:p>
    <w:p>
      <w:pPr>
        <w:spacing w:after="0" w:before="1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Large Corporations — Annual Tax Savings</w:t>
      </w:r>
    </w:p>
    <w:p>
      <w:pPr>
        <w:spacing w:after="0" w:before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920"/>
        <w:gridCol w:w="1920"/>
        <w:gridCol w:w="1920"/>
        <w:gridCol w:w="1080"/>
      </w:tblGrid>
      <w:tr>
        <w:tc>
          <w:tcPr>
            <w:tcW w:type="dxa" w:w="288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192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Burden</w:t>
            </w:r>
          </w:p>
        </w:tc>
        <w:tc>
          <w:tcPr>
            <w:tcW w:type="dxa" w:w="192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Velocity Tax</w:t>
            </w:r>
          </w:p>
        </w:tc>
        <w:tc>
          <w:tcPr>
            <w:tcW w:type="dxa" w:w="192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 Saving</w:t>
            </w:r>
          </w:p>
        </w:tc>
        <w:tc>
          <w:tcPr>
            <w:tcW w:type="dxa" w:w="108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Reduction</w:t>
            </w:r>
          </w:p>
        </w:tc>
      </w:tr>
      <w:tr>
        <w:tc>
          <w:tcPr>
            <w:tcW w:type="dxa" w:w="28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Apple Inc.</w:t>
            </w:r>
          </w:p>
        </w:tc>
        <w:tc>
          <w:tcPr>
            <w:tcW w:type="dxa" w:w="19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$35.6B</w:t>
            </w:r>
          </w:p>
        </w:tc>
        <w:tc>
          <w:tcPr>
            <w:tcW w:type="dxa" w:w="19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$2.3B</w:t>
            </w:r>
          </w:p>
        </w:tc>
        <w:tc>
          <w:tcPr>
            <w:tcW w:type="dxa" w:w="19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$33.3B</w:t>
            </w:r>
          </w:p>
        </w:tc>
        <w:tc>
          <w:tcPr>
            <w:tcW w:type="dxa" w:w="1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94%</w:t>
            </w:r>
          </w:p>
        </w:tc>
      </w:tr>
      <w:tr>
        <w:tc>
          <w:tcPr>
            <w:tcW w:type="dxa" w:w="28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Amazon</w:t>
            </w:r>
          </w:p>
        </w:tc>
        <w:tc>
          <w:tcPr>
            <w:tcW w:type="dxa" w:w="19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$20.3B</w:t>
            </w:r>
          </w:p>
        </w:tc>
        <w:tc>
          <w:tcPr>
            <w:tcW w:type="dxa" w:w="19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$3.7B</w:t>
            </w:r>
          </w:p>
        </w:tc>
        <w:tc>
          <w:tcPr>
            <w:tcW w:type="dxa" w:w="19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$16.5B</w:t>
            </w:r>
          </w:p>
        </w:tc>
        <w:tc>
          <w:tcPr>
            <w:tcW w:type="dxa" w:w="1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82%</w:t>
            </w:r>
          </w:p>
        </w:tc>
      </w:tr>
      <w:tr>
        <w:tc>
          <w:tcPr>
            <w:tcW w:type="dxa" w:w="28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Home Depot</w:t>
            </w:r>
          </w:p>
        </w:tc>
        <w:tc>
          <w:tcPr>
            <w:tcW w:type="dxa" w:w="19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$8.9B</w:t>
            </w:r>
          </w:p>
        </w:tc>
        <w:tc>
          <w:tcPr>
            <w:tcW w:type="dxa" w:w="19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$0.9B</w:t>
            </w:r>
          </w:p>
        </w:tc>
        <w:tc>
          <w:tcPr>
            <w:tcW w:type="dxa" w:w="19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$8.1B</w:t>
            </w:r>
          </w:p>
        </w:tc>
        <w:tc>
          <w:tcPr>
            <w:tcW w:type="dxa" w:w="1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dxa" w:w="28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Walmart</w:t>
            </w:r>
          </w:p>
        </w:tc>
        <w:tc>
          <w:tcPr>
            <w:tcW w:type="dxa" w:w="19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$21.1B</w:t>
            </w:r>
          </w:p>
        </w:tc>
        <w:tc>
          <w:tcPr>
            <w:tcW w:type="dxa" w:w="19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$4.0B</w:t>
            </w:r>
          </w:p>
        </w:tc>
        <w:tc>
          <w:tcPr>
            <w:tcW w:type="dxa" w:w="19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$17.2B</w:t>
            </w:r>
          </w:p>
        </w:tc>
        <w:tc>
          <w:tcPr>
            <w:tcW w:type="dxa" w:w="1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81%</w:t>
            </w:r>
          </w:p>
        </w:tc>
      </w:tr>
      <w:tr>
        <w:tc>
          <w:tcPr>
            <w:tcW w:type="dxa" w:w="28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ExxonMobil</w:t>
            </w:r>
          </w:p>
        </w:tc>
        <w:tc>
          <w:tcPr>
            <w:tcW w:type="dxa" w:w="19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$19.1B</w:t>
            </w:r>
          </w:p>
        </w:tc>
        <w:tc>
          <w:tcPr>
            <w:tcW w:type="dxa" w:w="19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$2.5B</w:t>
            </w:r>
          </w:p>
        </w:tc>
        <w:tc>
          <w:tcPr>
            <w:tcW w:type="dxa" w:w="19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$16.7B</w:t>
            </w:r>
          </w:p>
        </w:tc>
        <w:tc>
          <w:tcPr>
            <w:tcW w:type="dxa" w:w="10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87%</w:t>
            </w:r>
          </w:p>
        </w:tc>
      </w:tr>
      <w:tr>
        <w:tc>
          <w:tcPr>
            <w:tcW w:type="dxa" w:w="288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E8EE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COMBINED (5 cos.)</w:t>
            </w:r>
          </w:p>
        </w:tc>
        <w:tc>
          <w:tcPr>
            <w:tcW w:type="dxa" w:w="192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E8EE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$105.0B</w:t>
            </w:r>
          </w:p>
        </w:tc>
        <w:tc>
          <w:tcPr>
            <w:tcW w:type="dxa" w:w="192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E8EE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$13.3B</w:t>
            </w:r>
          </w:p>
        </w:tc>
        <w:tc>
          <w:tcPr>
            <w:tcW w:type="dxa" w:w="192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F5F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$91.7B</w:t>
            </w:r>
          </w:p>
        </w:tc>
        <w:tc>
          <w:tcPr>
            <w:tcW w:type="dxa" w:w="108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E8EE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87%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Who pays more: HFT firms, private equity, hedge funds. Citadel alone executes ~$65T/year in notional transactions. At 0.35%: ~$227B in velocity tax against near-zero income taxes today. These are the only entities facing a higher burden — and they are exactly the entities generating the financial fragility this instrument is designed to dampen.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60B" w:sz="4"/>
        </w:pBdr>
        <w:spacing w:after="8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IV. The American Productivity Dividend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Prior versions called this the “social dividend.” The name obscured what it actually is: the direct return to every American from the productivity of the economy they contribute to. It is not a government benefit. It is infrastructure for a productive economy — the same logic as roads, power grids, and internet access.</w:t>
      </w:r>
    </w:p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480"/>
      </w:tblGrid>
      <w:tr>
        <w:tc>
          <w:tcPr>
            <w:tcW w:type="dxa" w:w="324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48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Universal healthcare</w:t>
            </w:r>
          </w:p>
        </w:tc>
        <w:tc>
          <w:tcPr>
            <w:tcW w:type="dxa" w:w="6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Eliminates $7–8K/employee/year employer overhead. Workers freed from job-lock. Entrepreneurship enabled. H1B benefit arbitrage eliminated — domestic workers cost-competitive.</w:t>
            </w:r>
          </w:p>
        </w:tc>
      </w:tr>
      <w:tr>
        <w:tc>
          <w:tcPr>
            <w:tcW w:type="dxa" w:w="3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Guaranteed income floor</w:t>
            </w:r>
          </w:p>
        </w:tc>
        <w:tc>
          <w:tcPr>
            <w:tcW w:type="dxa" w:w="6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dependency — the foundation from which free people make free choices. Every startup founder, farmer in a bad season, or displaced worker has a floor they cannot fall through.</w:t>
            </w:r>
          </w:p>
        </w:tc>
      </w:tr>
      <w:tr>
        <w:tc>
          <w:tcPr>
            <w:tcW w:type="dxa" w:w="32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Universal pensions</w:t>
            </w:r>
          </w:p>
        </w:tc>
        <w:tc>
          <w:tcPr>
            <w:tcW w:type="dxa" w:w="6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Workers not trapped in bad jobs by fear of retirement insecurity. More dynamic, flexible labor markets. Workforce can take long-horizon productive risk.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single" w:color="B8860B" w:sz="6"/>
              <w:bottom w:val="none" w:color="FFFFFF" w:sz="0"/>
              <w:right w:val="none" w:color="FFFFFF" w:sz="0"/>
            </w:tcBorders>
            <w:shd w:fill="F5F0E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B3A5C"/>
                <w:sz w:val="24"/>
                <w:szCs w:val="24"/>
              </w:rPr>
              <w:t xml:space="preserve">Stop taxing work. Start taxing money-moving. Workers earn the Dividend through the productivity of the economy they contribute to. It is earned, distributed, and self-sustaining.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60B" w:sz="4"/>
        </w:pBdr>
        <w:spacing w:after="8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V. The Dollar and National Security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dollar’s reserve status is not an entitlement. Japan and South Korea are building yuan/euro settlement mechanisms for energy and helium. Saudi Arabia has discussed yuan-denominated oil contracts. Iran now accepts yuan for Strait of Hormuz passage. This infrastructure does not disappear when the Iran crisis ends.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2027 lock-in point: when alternative settlement rails achieve critical-mass network effects, dollar reserve restoration becomes thermodynamically impossible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2028 debt service threshold: when debt service exceeds ~30% of revenues, only austerity or monetization remain — both devastating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Suez parallel: Britain won militarily in 1956 and lost reserve currency status within months. The US is now the acting hegemon. There is no external correction mechanism.</w:t>
      </w:r>
    </w:p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single" w:color="B8860B" w:sz="6"/>
              <w:bottom w:val="none" w:color="FFFFFF" w:sz="0"/>
              <w:right w:val="none" w:color="FFFFFF" w:sz="0"/>
            </w:tcBorders>
            <w:shd w:fill="F5F0E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B3A5C"/>
                <w:sz w:val="24"/>
                <w:szCs w:val="24"/>
              </w:rPr>
              <w:t xml:space="preserve">The velocity tax is not a response to the Iran crisis. It is the structural fiscal reform that the Iran crisis makes impossible to defer.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Three stabilization mechanisms: fiscal credibility (debt reduction from revenue surplus); productive capital attraction (the Productivity Dividend makes the US the best place to build); speculative friction (dampens financial volatility that prices instability into currency markets).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60B" w:sz="4"/>
        </w:pBdr>
        <w:spacing w:after="8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VI. The Three-Mode Counter-Cyclical Rate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From sound commercial banking practice: “My job was to be counter-cyclical — lend when things were tough, retract and build capital when things were good.” The velocity tax dynamic rate encodes this principle for the entire fiscal system.</w:t>
      </w:r>
    </w:p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40"/>
        <w:gridCol w:w="2640"/>
        <w:gridCol w:w="2640"/>
      </w:tblGrid>
      <w:tr>
        <w:tc>
          <w:tcPr>
            <w:tcW w:type="dxa" w:w="180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64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64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dxa" w:w="264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— Prosperity</w:t>
            </w:r>
          </w:p>
        </w:tc>
        <w:tc>
          <w:tcPr>
            <w:tcW w:type="dxa" w:w="26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 above baseline, stable growth</w:t>
            </w:r>
          </w:p>
        </w:tc>
        <w:tc>
          <w:tcPr>
            <w:tcW w:type="dxa" w:w="26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Rises above t₀</w:t>
            </w:r>
          </w:p>
        </w:tc>
        <w:tc>
          <w:tcPr>
            <w:tcW w:type="dxa" w:w="26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reserves: debt paydown, banks build strategic capital (minerals, gold, foreign currency)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— Volatility</w:t>
            </w:r>
          </w:p>
        </w:tc>
        <w:tc>
          <w:tcPr>
            <w:tcW w:type="dxa" w:w="26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Elevated V, uncertain conditions</w:t>
            </w:r>
          </w:p>
        </w:tc>
        <w:tc>
          <w:tcPr>
            <w:tcW w:type="dxa" w:w="26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 or below t₀</w:t>
            </w:r>
          </w:p>
        </w:tc>
        <w:tc>
          <w:tcPr>
            <w:tcW w:type="dxa" w:w="26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Supports liquidity. Productive commerce continues. Uncertainty doesn’t tip to crisis.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— Circuit Breaker</w:t>
            </w:r>
          </w:p>
        </w:tc>
        <w:tc>
          <w:tcPr>
            <w:tcW w:type="dxa" w:w="26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2% de-dollarization trigger OR Fed systemic certification</w:t>
            </w:r>
          </w:p>
        </w:tc>
        <w:tc>
          <w:tcPr>
            <w:tcW w:type="dxa" w:w="26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Universal rate ceiling, all transactions</w:t>
            </w:r>
          </w:p>
        </w:tc>
        <w:tc>
          <w:tcPr>
            <w:tcW w:type="dxa" w:w="26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30/60/90-day halt. No transaction classification. Everything slows — including the flight. Auto-resets.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single" w:color="2E6B2E" w:sz="6"/>
              <w:bottom w:val="none" w:color="FFFFFF" w:sz="0"/>
              <w:right w:val="none" w:color="FFFFFF" w:sz="0"/>
            </w:tcBorders>
            <w:shd w:fill="EAF4EA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2E"/>
                <w:sz w:val="20"/>
                <w:szCs w:val="20"/>
              </w:rPr>
              <w:t xml:space="preserve">PANEL VERDICT ON MODE 3: UNANIMOUSLY RESOLVED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The universal circuit breaker applies a uniform rate ceiling to all transactions during a certified crisis — no intent-based classification required. The analogy to financial market trading halts is legally and operationally sound. The design is counter-cyclical, self-resetting, and does not require surveillance infrastructure that does not exist.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60B" w:sz="4"/>
        </w:pBdr>
        <w:spacing w:after="8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VII. Constitutional Architecture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velocity tax is an excise tax on transaction events. Congress has plenary authority under Article I, Section 8. The Sixteenth Amendment is irrelevant — it authorizes income taxes; this instrument has no income measurement, no adjusted gross income, no returns. It is not an income tax.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Historical precedent: documentary stamp taxes, securities transaction taxes, telephone excise tax — all Constitutional without amendment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State baseline guarantee: current state and local revenue baseline guaranteed as statutory allocation. States lose nothing.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Government transparency bonus: all transactions including government captured at clearing layer. Congress gains real-time visibility into every agency’s spending, where and to whom. Never before available.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Legal challenges (someone will always sue): Direct Tax Apportionment — excise doctrine defeats it; Intergovernmental Immunity — South Carolina v. Baker (1988) defeats it. Both are litigable; both lose on modern precedent.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Personal transaction floor: a threshold for non-commercial person-to-person transfers (under $1,000) addresses Due Process concerns without creating gaming opportunity.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60B" w:sz="4"/>
        </w:pBdr>
        <w:spacing w:after="8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VIII. The Revenue Development Service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IRS enforcement function becomes obsolete when there are no returns to file and no avoidance to audit. The velocity tax is self-collecting — deducted at the clearing layer automatically. What remains is the infrastructure: 87,000 people and 600+ district offices, geographically distributed, with deep knowledge of local economies.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Transformation: each district office becomes a Regional Revenue Development Office. Mandate: deploy velocity tax revenue allocation into productive investment and workforce retraining. Performance measured by external federal data — BEA economic output, BLS employment in productive sectors, BLS median wage growth. Not self-reported. Not gameable at the district level.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Leadership recruited from development finance, infrastructure banking, and community investment — not the IRS career pipeline. Statutory requirement. The majority of American workers need periodic retraining in a rapidly changing economy. District offices are the delivery mechanism for that — human productive capacity alongside physical infrastructure.</w:t>
      </w:r>
    </w:p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single" w:color="B8860B" w:sz="6"/>
              <w:bottom w:val="none" w:color="FFFFFF" w:sz="0"/>
              <w:right w:val="none" w:color="FFFFFF" w:sz="0"/>
            </w:tcBorders>
            <w:shd w:fill="F5F0E0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ONE REMAINING DRAFTING TASK (GLM-5 panel note):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RDS requires one additional legislative section — an operational charter specifying investment decision authority, coordination protocols with Commerce, Energy, Agriculture, and Labor, and the 87,000-employee conversion timeline. This is a drafting task for committee markup, not a structural redesign.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60B" w:sz="4"/>
        </w:pBdr>
        <w:spacing w:after="8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IX. The 10-Component Architecture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complete legislative package. Each component corresponds to a specific gap in the current system.</w:t>
      </w:r>
    </w:p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1. SINGLE TAX</w:t>
            </w:r>
            <w:r>
              <w:rPr>
                <w:rFonts w:ascii="Arial" w:cs="Arial" w:eastAsia="Arial" w:hAnsi="Arial"/>
                <w:color w:val="B8860B"/>
                <w:sz w:val="18"/>
                <w:szCs w:val="18"/>
              </w:rPr>
              <w:t xml:space="preserve">   [Article I, §8 — No Amendment Required]</w:t>
            </w:r>
          </w:p>
        </w:tc>
      </w:tr>
      <w:tr>
        <w:tc>
          <w:tcPr>
            <w:tcW w:type="dxa" w:w="972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E8EE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Transaction excise tax replaces all federal taxes: income, capital gains, payroll, excise. Flat rate. Self-collecting at clearing layer. No returns. No audits. No criminal liability.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2. AMERICAN PRODUCTIVITY DIVIDEND</w:t>
            </w:r>
            <w:r>
              <w:rPr>
                <w:rFonts w:ascii="Arial" w:cs="Arial" w:eastAsia="Arial" w:hAnsi="Arial"/>
                <w:color w:val="B8860B"/>
                <w:sz w:val="18"/>
                <w:szCs w:val="18"/>
              </w:rPr>
              <w:t xml:space="preserve">   [Primary Allocation — Funded First]</w:t>
            </w:r>
          </w:p>
        </w:tc>
      </w:tr>
      <w:tr>
        <w:tc>
          <w:tcPr>
            <w:tcW w:type="dxa" w:w="972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E8EE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Universal healthcare, guaranteed income floor, universal pensions. Statutory allocation — not discretionary. Funded before debt paydown. A bill that removes this ordering removes the purpose of the instrument.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3. STATE BASELINE GUARANTEE</w:t>
            </w:r>
            <w:r>
              <w:rPr>
                <w:rFonts w:ascii="Arial" w:cs="Arial" w:eastAsia="Arial" w:hAnsi="Arial"/>
                <w:color w:val="B8860B"/>
                <w:sz w:val="18"/>
                <w:szCs w:val="18"/>
              </w:rPr>
              <w:t xml:space="preserve">   [Concurrent with Implementation]</w:t>
            </w:r>
          </w:p>
        </w:tc>
      </w:tr>
      <w:tr>
        <w:tc>
          <w:tcPr>
            <w:tcW w:type="dxa" w:w="972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E8EE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Current state and local revenue guaranteed as statutory allocation. Real-time government spending transparency gained as structural consequence.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4. SOVEREIGN DEBT PAYDOWN</w:t>
            </w:r>
            <w:r>
              <w:rPr>
                <w:rFonts w:ascii="Arial" w:cs="Arial" w:eastAsia="Arial" w:hAnsi="Arial"/>
                <w:color w:val="B8860B"/>
                <w:sz w:val="18"/>
                <w:szCs w:val="18"/>
              </w:rPr>
              <w:t xml:space="preserve">   [Revenue Surplus]</w:t>
            </w:r>
          </w:p>
        </w:tc>
      </w:tr>
      <w:tr>
        <w:tc>
          <w:tcPr>
            <w:tcW w:type="dxa" w:w="972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E8EE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Surplus above Dividend and reserve fund reduces federal debt. Fiscal credibility rises. Dollar stabilizes structurally.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5. CONDITIONAL REBATE</w:t>
            </w:r>
            <w:r>
              <w:rPr>
                <w:rFonts w:ascii="Arial" w:cs="Arial" w:eastAsia="Arial" w:hAnsi="Arial"/>
                <w:color w:val="B8860B"/>
                <w:sz w:val="18"/>
                <w:szCs w:val="18"/>
              </w:rPr>
              <w:t xml:space="preserve">   [5–10% Returned for Productive Investment]</w:t>
            </w:r>
          </w:p>
        </w:tc>
      </w:tr>
      <w:tr>
        <w:tc>
          <w:tcPr>
            <w:tcW w:type="dxa" w:w="972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E8EE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Revenue returned to financial institutions — including high-frequency trading firms, hedge funds, and private equity — conditioned on deployment into qualifying productive investment: manufacturing, infrastructure, minerals, energy, housing, strategic reserves (gold, foreign currency, critical minerals). Participation requires a designated separate account, full audit trail, and independent certification of deployment. Misuse of rebate funds carries criminal liability. This is not a rate carve-out. Every participant pays the full flat rate. The rebate is the productive investment incentive — available equally to any entity willing to put capital to work in the real economy.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6. REVENUE DEVELOPMENT SERVICE</w:t>
            </w:r>
            <w:r>
              <w:rPr>
                <w:rFonts w:ascii="Arial" w:cs="Arial" w:eastAsia="Arial" w:hAnsi="Arial"/>
                <w:color w:val="B8860B"/>
                <w:sz w:val="18"/>
                <w:szCs w:val="18"/>
              </w:rPr>
              <w:t xml:space="preserve">   [IRS Transformation]</w:t>
            </w:r>
          </w:p>
        </w:tc>
      </w:tr>
      <w:tr>
        <w:tc>
          <w:tcPr>
            <w:tcW w:type="dxa" w:w="972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E8EE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87,000 employees, 600+ district offices, remandated. Deploys velocity tax revenue into productive investment and workforce development. Measured by BEA/BLS external data.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7. SEVENTH GENERATION OVERSIGHT COMMISSION</w:t>
            </w:r>
            <w:r>
              <w:rPr>
                <w:rFonts w:ascii="Arial" w:cs="Arial" w:eastAsia="Arial" w:hAnsi="Arial"/>
                <w:color w:val="B8860B"/>
                <w:sz w:val="18"/>
                <w:szCs w:val="18"/>
              </w:rPr>
              <w:t xml:space="preserve">   [14-Year Terms — Financial Sector Barred]</w:t>
            </w:r>
          </w:p>
        </w:tc>
      </w:tr>
      <w:tr>
        <w:tc>
          <w:tcPr>
            <w:tcW w:type="dxa" w:w="972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E8EE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Seven commissioners. No financial sector affiliation (10 years before/after). Preemptive authority. Circuit breaker Mode 3 trigger. Plain-language quarterly public reports. Federal court standing as intergenerational trustee.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8. THREE-MODE RATE</w:t>
            </w:r>
            <w:r>
              <w:rPr>
                <w:rFonts w:ascii="Arial" w:cs="Arial" w:eastAsia="Arial" w:hAnsi="Arial"/>
                <w:color w:val="B8860B"/>
                <w:sz w:val="18"/>
                <w:szCs w:val="18"/>
              </w:rPr>
              <w:t xml:space="preserve">   [Counter-Cyclical by Design]</w:t>
            </w:r>
          </w:p>
        </w:tc>
      </w:tr>
      <w:tr>
        <w:tc>
          <w:tcPr>
            <w:tcW w:type="dxa" w:w="972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E8EE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Prosperity: rate rises, build reserves. Volatility: rate falls, support liquidity. Crisis: universal circuit breaker — no transaction classification. Auto-resets after 30/60/90 days.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9. GOVERNMENT TRANSPARENCY</w:t>
            </w:r>
            <w:r>
              <w:rPr>
                <w:rFonts w:ascii="Arial" w:cs="Arial" w:eastAsia="Arial" w:hAnsi="Arial"/>
                <w:color w:val="B8860B"/>
                <w:sz w:val="18"/>
                <w:szCs w:val="18"/>
              </w:rPr>
              <w:t xml:space="preserve">   [Built Into Architecture]</w:t>
            </w:r>
          </w:p>
        </w:tc>
      </w:tr>
      <w:tr>
        <w:tc>
          <w:tcPr>
            <w:tcW w:type="dxa" w:w="972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E8EE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All cleared transactions — including federal, state, and local government — captured. Real-time congressional visibility into every agency’s spending. First time in US history.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10. CITIZEN VISIBILITY</w:t>
            </w:r>
            <w:r>
              <w:rPr>
                <w:rFonts w:ascii="Arial" w:cs="Arial" w:eastAsia="Arial" w:hAnsi="Arial"/>
                <w:color w:val="B8860B"/>
                <w:sz w:val="18"/>
                <w:szCs w:val="18"/>
              </w:rPr>
              <w:t xml:space="preserve">   [Quarterly + Annual]</w:t>
            </w:r>
          </w:p>
        </w:tc>
      </w:tr>
      <w:tr>
        <w:tc>
          <w:tcPr>
            <w:tcW w:type="dxa" w:w="972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E8EE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Quarterly statements to all account-holders showing velocity tax paid and real-world equivalency. Public dashboards. Annual Fiscal Visibility Report auto-triggers congressional hearing if revenue exceeds Dividend allocation.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60B" w:sz="4"/>
        </w:pBdr>
        <w:spacing w:after="8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X. The Single Risk Legislators Must Watch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6"/>
                <w:szCs w:val="26"/>
              </w:rPr>
              <w:t xml:space="preserve">EXEMPTION CREEP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1"/>
                <w:szCs w:val="21"/>
              </w:rPr>
              <w:t xml:space="preserve">The entities facing a net tax increase — high-frequency traders, certain financial intermediaries — possess sophisticated lobbying power and will immediately seek carve-outs, volume thresholds, or rebates. Any exemption breaches the structural integrity of the system and invites a cascade of complexity that would recreate the very morass this reform seeks to replace.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Uniformity is the reform. Defending uniformity is defending everything.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1"/>
                <w:szCs w:val="21"/>
              </w:rPr>
              <w:t xml:space="preserve">The federal government’s own transactions are subject to this rate. State governments’ transactions are subject to this rate. No entity — public or private — receives an exemption the US government itself does not receive. When the financial sector requests a carve-out, the answer is: explain why you deserve a privilege that Congress, the Pentagon, and the Treasury do not.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B8860B" w:sz="4"/>
        </w:pBdr>
        <w:spacing w:after="8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What 2166 Inherits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240"/>
              <w:left w:type="dxa" w:w="400"/>
              <w:bottom w:type="dxa" w:w="240"/>
              <w:right w:type="dxa" w:w="400"/>
            </w:tcMar>
          </w:tcPr>
          <w:p>
            <w:r>
              <w:rPr>
                <w:rFonts w:ascii="Arial" w:cs="Arial" w:eastAsia="Arial" w:hAnsi="Arial"/>
                <w:i/>
                <w:iCs/>
                <w:color w:val="FFFFFF"/>
                <w:sz w:val="21"/>
                <w:szCs w:val="21"/>
              </w:rPr>
              <w:t xml:space="preserve">“For the generation born in 2166: if implemented as written, they inherit a fiscal architecture severed from the 20th-century logic of taxing income and profit. Instead, they inherit a self-correcting system that taxes monetary velocity, automatically funding a universal baseline of health, income, and infrastructure. They inherit a state whose primary revenue instrument is a neutral clearing-layer excise, whose counter-cyclical stabilizer is a universal circuit breaker, and whose transformative agency is a network of regional development banks born from the ashes of the IRS.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FFFFFF"/>
                <w:sz w:val="21"/>
                <w:szCs w:val="21"/>
              </w:rPr>
              <w:t xml:space="preserve">It is a bet that simplicity, universality, and real-time adjustment are more resilient foundations for a 22nd-century republic than the complex, discriminatory, and politically corrosive system it replaces.”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before="6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Velocity tax derivation: Michael Fox, 1989. Independent parallel derivation: Edgar L. Feige (University of Wisconsin–Madison), 2000. April 5, 2026.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</w:pPr>
  </w:p>
  <w:p>
    <w:pPr>
      <w:spacing w:before="80"/>
      <w:jc w:val="center"/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American Productivity Tax Reform  •  Legislative Brief  •  April 5,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6"/>
      </w:pBdr>
      <w:tabs>
        <w:tab w:val="right" w:pos="9026"/>
      </w:tabs>
      <w:spacing w:after="80" w:before="0"/>
    </w:pPr>
    <w:r>
      <w:rPr>
        <w:rFonts w:ascii="Arial" w:cs="Arial" w:eastAsia="Arial" w:hAnsi="Arial"/>
        <w:color w:val="1B3A5C"/>
        <w:sz w:val="16"/>
        <w:szCs w:val="16"/>
      </w:rPr>
      <w:t xml:space="preserve">AMERICAN PRODUCTIVITY TAX REFORM  |  LEGISLATIVE BRIEF</w:t>
    </w:r>
    <w:r>
      <w:t xml:space="preserve">	</w:t>
    </w:r>
    <w:r>
      <w:rPr>
        <w:rFonts w:ascii="Arial" w:cs="Arial" w:eastAsia="Arial" w:hAnsi="Arial"/>
        <w:color w:val="555555"/>
        <w:sz w:val="16"/>
        <w:szCs w:val="16"/>
      </w:rPr>
      <w:t xml:space="preserve">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of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30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2026-04-05T17:13:45.704Z</dcterms:created>
  <dcterms:modified xsi:type="dcterms:W3CDTF">2026-04-05T17:13:45.705Z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