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20"/>
              <w:left w:type="dxa" w:w="480"/>
              <w:bottom w:type="dxa" w:w="320"/>
              <w:right w:type="dxa" w:w="480"/>
            </w:tcMar>
          </w:tcPr>
          <w:p>
            <w:pPr>
              <w:jc w:val="center"/>
            </w:pPr>
            <w:r>
              <w:rPr>
                <w:rFonts w:ascii="Arial" w:cs="Arial" w:eastAsia="Arial" w:hAnsi="Arial"/>
                <w:b/>
                <w:bCs/>
                <w:color w:val="B8860B"/>
                <w:sz w:val="22"/>
                <w:szCs w:val="22"/>
              </w:rPr>
              <w:t xml:space="preserve">DOLLAR STABILITY IN A WORLD AT WAR</w:t>
            </w:r>
          </w:p>
          <w:p>
            <w:pPr>
              <w:spacing w:before="80"/>
              <w:jc w:val="center"/>
            </w:pPr>
            <w:r>
              <w:rPr>
                <w:rFonts w:ascii="Arial" w:cs="Arial" w:eastAsia="Arial" w:hAnsi="Arial"/>
                <w:b/>
                <w:bCs/>
                <w:color w:val="FFFFFF"/>
                <w:sz w:val="36"/>
                <w:szCs w:val="36"/>
              </w:rPr>
              <w:t xml:space="preserve">Helium, Fertilizer, and the Cost of Doing Nothing</w:t>
            </w:r>
          </w:p>
          <w:p>
            <w:pPr>
              <w:spacing w:before="60"/>
              <w:jc w:val="center"/>
            </w:pPr>
            <w:r>
              <w:rPr>
                <w:rFonts w:ascii="Arial" w:cs="Arial" w:eastAsia="Arial" w:hAnsi="Arial"/>
                <w:color w:val="FFFFFF"/>
                <w:sz w:val="22"/>
                <w:szCs w:val="22"/>
              </w:rPr>
              <w:t xml:space="preserve">A Legislative Brief for the United States Congress</w:t>
            </w:r>
          </w:p>
          <w:p>
            <w:pPr>
              <w:pBdr>
                <w:top w:val="single" w:color="B8860B" w:sz="4"/>
              </w:pBdr>
              <w:spacing w:before="80"/>
              <w:jc w:val="center"/>
            </w:pPr>
            <w:r>
              <w:rPr>
                <w:rFonts w:ascii="Arial" w:cs="Arial" w:eastAsia="Arial" w:hAnsi="Arial"/>
                <w:i/>
                <w:iCs/>
                <w:color w:val="B8860B"/>
                <w:sz w:val="18"/>
                <w:szCs w:val="18"/>
              </w:rPr>
              <w:t xml:space="preserve">April 5, 2026</w:t>
            </w:r>
          </w:p>
        </w:tc>
      </w:tr>
    </w:tbl>
    <w:p>
      <w:pPr>
        <w:spacing w:after="0" w:before="160"/>
      </w:pPr>
      <w: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200"/>
              <w:left w:type="dxa" w:w="360"/>
              <w:bottom w:type="dxa" w:w="200"/>
              <w:right w:type="dxa" w:w="360"/>
            </w:tcMar>
          </w:tcPr>
          <w:p>
            <w:pPr>
              <w:jc w:val="center"/>
            </w:pPr>
            <w:r>
              <w:rPr>
                <w:rFonts w:ascii="Arial" w:cs="Arial" w:eastAsia="Arial" w:hAnsi="Arial"/>
                <w:b/>
                <w:bCs/>
                <w:color w:val="B8860B"/>
                <w:sz w:val="24"/>
                <w:szCs w:val="24"/>
              </w:rPr>
              <w:t xml:space="preserve">SUMMARY FOR THE SENATOR’S OFFICE</w:t>
            </w:r>
          </w:p>
          <w:p>
            <w:pPr>
              <w:spacing w:before="60"/>
              <w:jc w:val="center"/>
            </w:pPr>
            <w:r>
              <w:rPr>
                <w:rFonts w:ascii="Arial" w:cs="Arial" w:eastAsia="Arial" w:hAnsi="Arial"/>
                <w:i/>
                <w:iCs/>
                <w:color w:val="FFFFFF"/>
                <w:sz w:val="20"/>
                <w:szCs w:val="20"/>
              </w:rPr>
              <w:t xml:space="preserve">Read this page. The rest of the document is the evidence behind it.</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single" w:color="1B3A5C" w:sz="6"/>
              <w:right w:val="single" w:color="1B3A5C" w:sz="6"/>
            </w:tcBorders>
            <w:shd w:fill="E8EEF4" w:val="clear"/>
            <w:tcMar>
              <w:top w:type="dxa" w:w="160"/>
              <w:left w:type="dxa" w:w="360"/>
              <w:bottom w:type="dxa" w:w="160"/>
              <w:right w:type="dxa" w:w="360"/>
            </w:tcMar>
          </w:tcPr>
          <w:p>
            <w:r>
              <w:rPr>
                <w:rFonts w:ascii="Arial" w:cs="Arial" w:eastAsia="Arial" w:hAnsi="Arial"/>
                <w:b/>
                <w:bCs/>
                <w:color w:val="1B3A5C"/>
                <w:sz w:val="22"/>
                <w:szCs w:val="22"/>
              </w:rPr>
              <w:t xml:space="preserve">WHAT THIS PROPOSAL IS</w:t>
            </w:r>
          </w:p>
          <w:p>
            <w:pPr>
              <w:spacing w:after="120" w:before="60"/>
            </w:pPr>
            <w:r>
              <w:rPr>
                <w:rFonts w:ascii="Arial" w:cs="Arial" w:eastAsia="Arial" w:hAnsi="Arial"/>
                <w:color w:val="1A1A1A"/>
                <w:sz w:val="21"/>
                <w:szCs w:val="21"/>
              </w:rPr>
              <w:t xml:space="preserve">Replace the entire federal tax system — income, payroll, capital gains, excise — with a single flat rate on every cleared financial transaction. Same rate for everyone: 0.25–0.7%, deducted automatically at the clearing layer. No returns, no audits, no criminal liability. Revenue funds universal healthcare, a guaranteed income floor, and pays down the national debt. Constitutional under Article I, Section 8. No amendment required.</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single" w:color="1B3A5C" w:sz="6"/>
              <w:bottom w:val="single" w:color="1B3A5C" w:sz="6"/>
              <w:right w:val="single" w:color="CCCCCC" w:sz="6"/>
            </w:tcBorders>
            <w:shd w:fill="F5F0E0" w:val="clear"/>
            <w:tcMar>
              <w:top w:type="dxa" w:w="140"/>
              <w:left w:type="dxa" w:w="280"/>
              <w:bottom w:type="dxa" w:w="140"/>
              <w:right w:type="dxa" w:w="280"/>
            </w:tcMar>
          </w:tcPr>
          <w:p>
            <w:r>
              <w:rPr>
                <w:rFonts w:ascii="Arial" w:cs="Arial" w:eastAsia="Arial" w:hAnsi="Arial"/>
                <w:b/>
                <w:bCs/>
                <w:color w:val="1B3A5C"/>
                <w:sz w:val="21"/>
                <w:szCs w:val="21"/>
              </w:rPr>
              <w:t xml:space="preserve">WHY IT MATTERS TO THIS STATE’S CONSTITUENTS</w:t>
            </w:r>
          </w:p>
          <w:p>
            <w:pPr>
              <w:spacing w:after="40" w:before="60"/>
            </w:pPr>
            <w:r>
              <w:rPr>
                <w:rFonts w:ascii="Arial" w:cs="Arial" w:eastAsia="Arial" w:hAnsi="Arial"/>
                <w:b/>
                <w:bCs/>
                <w:color w:val="1A1A1A"/>
                <w:sz w:val="20"/>
                <w:szCs w:val="20"/>
              </w:rPr>
              <w:t xml:space="preserve">Fertilizer:</w:t>
            </w:r>
            <w:r>
              <w:rPr>
                <w:rFonts w:ascii="Arial" w:cs="Arial" w:eastAsia="Arial" w:hAnsi="Arial"/>
                <w:color w:val="1A1A1A"/>
                <w:sz w:val="20"/>
                <w:szCs w:val="20"/>
              </w:rPr>
              <w:t xml:space="preserve"> The Strait of Hormuz closure is driving LNG prices up → ammonia up → fertilizer up. A 500-acre corn operation is looking at $40,000+ in extra input costs this planting season. Not a forecast. This spring.</w:t>
            </w:r>
          </w:p>
          <w:p>
            <w:pPr>
              <w:spacing w:after="40" w:before="40"/>
            </w:pPr>
            <w:r>
              <w:rPr>
                <w:rFonts w:ascii="Arial" w:cs="Arial" w:eastAsia="Arial" w:hAnsi="Arial"/>
                <w:b/>
                <w:bCs/>
                <w:color w:val="1A1A1A"/>
                <w:sz w:val="20"/>
                <w:szCs w:val="20"/>
              </w:rPr>
              <w:t xml:space="preserve">Helium:</w:t>
            </w:r>
            <w:r>
              <w:rPr>
                <w:rFonts w:ascii="Arial" w:cs="Arial" w:eastAsia="Arial" w:hAnsi="Arial"/>
                <w:color w:val="1A1A1A"/>
                <w:sz w:val="20"/>
                <w:szCs w:val="20"/>
              </w:rPr>
              <w:t xml:space="preserve"> Every MRI machine in every rural hospital runs on helium. The Federal Helium Reserve was sold off. Qatar shares the world’s largest gas field with Iran. Supply is constrained now.</w:t>
            </w:r>
          </w:p>
          <w:p>
            <w:pPr>
              <w:spacing w:after="40" w:before="40"/>
            </w:pPr>
            <w:r>
              <w:rPr>
                <w:rFonts w:ascii="Arial" w:cs="Arial" w:eastAsia="Arial" w:hAnsi="Arial"/>
                <w:b/>
                <w:bCs/>
                <w:color w:val="1A1A1A"/>
                <w:sz w:val="20"/>
                <w:szCs w:val="20"/>
              </w:rPr>
              <w:t xml:space="preserve">Dollar reserve status:</w:t>
            </w:r>
            <w:r>
              <w:rPr>
                <w:rFonts w:ascii="Arial" w:cs="Arial" w:eastAsia="Arial" w:hAnsi="Arial"/>
                <w:color w:val="1A1A1A"/>
                <w:sz w:val="20"/>
                <w:szCs w:val="20"/>
              </w:rPr>
              <w:t xml:space="preserve"> US allies are building yuan/euro settlement infrastructure because dollar-denominated trade now carries confiscation risk. Once that infrastructure reaches critical mass — 2027 — it is permanent.</w:t>
            </w:r>
          </w:p>
          <w:p>
            <w:pPr>
              <w:spacing w:after="0" w:before="40"/>
            </w:pPr>
            <w:r>
              <w:rPr>
                <w:rFonts w:ascii="Arial" w:cs="Arial" w:eastAsia="Arial" w:hAnsi="Arial"/>
                <w:b/>
                <w:bCs/>
                <w:color w:val="1A1A1A"/>
                <w:sz w:val="20"/>
                <w:szCs w:val="20"/>
              </w:rPr>
              <w:t xml:space="preserve">Small businesses:</w:t>
            </w:r>
            <w:r>
              <w:rPr>
                <w:rFonts w:ascii="Arial" w:cs="Arial" w:eastAsia="Arial" w:hAnsi="Arial"/>
                <w:color w:val="1A1A1A"/>
                <w:sz w:val="20"/>
                <w:szCs w:val="20"/>
              </w:rPr>
              <w:t xml:space="preserve"> A 5-employee business currently pays $74,925/year in combined taxes and compliance. Under this proposal: $2,450. A 97% reduction. Healthcare overhead: gone.</w:t>
            </w:r>
          </w:p>
        </w:tc>
        <w:tc>
          <w:tcPr>
            <w:tcW w:type="dxa" w:w="4860"/>
            <w:tcBorders>
              <w:top w:val="none" w:color="FFFFFF" w:sz="0"/>
              <w:left w:val="single" w:color="CCCCCC" w:sz="6"/>
              <w:bottom w:val="single" w:color="1B3A5C" w:sz="6"/>
              <w:right w:val="single" w:color="1B3A5C" w:sz="6"/>
            </w:tcBorders>
            <w:shd w:fill="EAF4EA" w:val="clear"/>
            <w:tcMar>
              <w:top w:type="dxa" w:w="140"/>
              <w:left w:type="dxa" w:w="280"/>
              <w:bottom w:type="dxa" w:w="140"/>
              <w:right w:type="dxa" w:w="280"/>
            </w:tcMar>
          </w:tcPr>
          <w:p>
            <w:r>
              <w:rPr>
                <w:rFonts w:ascii="Arial" w:cs="Arial" w:eastAsia="Arial" w:hAnsi="Arial"/>
                <w:b/>
                <w:bCs/>
                <w:color w:val="2E6B2E"/>
                <w:sz w:val="21"/>
                <w:szCs w:val="21"/>
              </w:rPr>
              <w:t xml:space="preserve">WHAT THE SENATOR IS BEING ASKED TO DO</w:t>
            </w:r>
          </w:p>
          <w:p>
            <w:pPr>
              <w:spacing w:after="40" w:before="60"/>
            </w:pPr>
            <w:r>
              <w:rPr>
                <w:rFonts w:ascii="Arial" w:cs="Arial" w:eastAsia="Arial" w:hAnsi="Arial"/>
                <w:b/>
                <w:bCs/>
                <w:color w:val="1A1A1A"/>
                <w:sz w:val="20"/>
                <w:szCs w:val="20"/>
              </w:rPr>
              <w:t xml:space="preserve">Immediate (no legislation required):</w:t>
            </w:r>
            <w:r>
              <w:rPr>
                <w:rFonts w:ascii="Arial" w:cs="Arial" w:eastAsia="Arial" w:hAnsi="Arial"/>
                <w:color w:val="1A1A1A"/>
                <w:sz w:val="20"/>
                <w:szCs w:val="20"/>
              </w:rPr>
              <w:t xml:space="preserve"> Call for a Treasury velocity study directive, Fed velocity reporting, and a public de-dollarization dashboard. These establish the data record before the legislative fight begins.</w:t>
            </w:r>
          </w:p>
          <w:p>
            <w:pPr>
              <w:spacing w:after="40" w:before="40"/>
            </w:pPr>
            <w:r>
              <w:rPr>
                <w:rFonts w:ascii="Arial" w:cs="Arial" w:eastAsia="Arial" w:hAnsi="Arial"/>
                <w:b/>
                <w:bCs/>
                <w:color w:val="1A1A1A"/>
                <w:sz w:val="20"/>
                <w:szCs w:val="20"/>
              </w:rPr>
              <w:t xml:space="preserve">30-day legislation:</w:t>
            </w:r>
            <w:r>
              <w:rPr>
                <w:rFonts w:ascii="Arial" w:cs="Arial" w:eastAsia="Arial" w:hAnsi="Arial"/>
                <w:color w:val="1A1A1A"/>
                <w:sz w:val="20"/>
                <w:szCs w:val="20"/>
              </w:rPr>
              <w:t xml:space="preserve"> Introduce or co-sponsor a narrow Velocity Tax Pilot Act — 0.1% on equity trades above $100,000 only. Bipartisan framing: flat tax, no audits, level playing field, productive economy wins.</w:t>
            </w:r>
          </w:p>
          <w:p>
            <w:pPr>
              <w:spacing w:after="40" w:before="40"/>
            </w:pPr>
            <w:r>
              <w:rPr>
                <w:rFonts w:ascii="Arial" w:cs="Arial" w:eastAsia="Arial" w:hAnsi="Arial"/>
                <w:b/>
                <w:bCs/>
                <w:color w:val="1A1A1A"/>
                <w:sz w:val="20"/>
                <w:szCs w:val="20"/>
              </w:rPr>
              <w:t xml:space="preserve">30-day companion:</w:t>
            </w:r>
            <w:r>
              <w:rPr>
                <w:rFonts w:ascii="Arial" w:cs="Arial" w:eastAsia="Arial" w:hAnsi="Arial"/>
                <w:color w:val="1A1A1A"/>
                <w:sz w:val="20"/>
                <w:szCs w:val="20"/>
              </w:rPr>
              <w:t xml:space="preserve"> Dollar Reserve Protection Board to prevent weaponization of financial infrastructure against helium, ammonia, and other essential goods that allies are already routing around SWIFT to purchase.</w:t>
            </w:r>
          </w:p>
          <w:p>
            <w:pPr>
              <w:spacing w:after="0" w:before="40"/>
            </w:pPr>
            <w:r>
              <w:rPr>
                <w:rFonts w:ascii="Arial" w:cs="Arial" w:eastAsia="Arial" w:hAnsi="Arial"/>
                <w:b/>
                <w:bCs/>
                <w:color w:val="8B0000"/>
                <w:sz w:val="20"/>
                <w:szCs w:val="20"/>
              </w:rPr>
              <w:t xml:space="preserve">The window:</w:t>
            </w:r>
            <w:r>
              <w:rPr>
                <w:rFonts w:ascii="Arial" w:cs="Arial" w:eastAsia="Arial" w:hAnsi="Arial"/>
                <w:color w:val="1A1A1A"/>
                <w:sz w:val="20"/>
                <w:szCs w:val="20"/>
              </w:rPr>
              <w:t xml:space="preserve"> Settlement rail lock-in is estimated Q1–Q4 2027. After that, structural reform can reduce harm but cannot restore what is lost. This is the Congress that decides.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30-SECOND VERSION</w:t>
            </w:r>
          </w:p>
          <w:p>
            <w:pPr>
              <w:spacing w:before="60"/>
            </w:pPr>
            <w:r>
              <w:rPr>
                <w:rFonts w:ascii="Arial" w:cs="Arial" w:eastAsia="Arial" w:hAnsi="Arial"/>
                <w:color w:val="1A1A1A"/>
                <w:sz w:val="21"/>
                <w:szCs w:val="21"/>
              </w:rPr>
              <w:t xml:space="preserve">The Iran conflict is breaking three American supply chains: fertilizer, helium, and the dollar’s reserve status. All three trace to the same structural failure: a tax system built for 1950 that ignores where the modern economy actually lives. A single flat rate on cleared financial transactions fixes the structural problem, eliminates taxes on productive businesses, and funds healthcare and pensions as infrastructure for a productive economy. The window to act before the damage becomes permanent is 18–24 months.</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 What Is Happening Right Now</w:t>
      </w:r>
    </w:p>
    <w:p>
      <w:pPr>
        <w:spacing w:after="80" w:before="60"/>
      </w:pPr>
      <w:r>
        <w:rPr>
          <w:rFonts w:ascii="Arial" w:cs="Arial" w:eastAsia="Arial" w:hAnsi="Arial"/>
          <w:b w:val="false"/>
          <w:bCs w:val="false"/>
          <w:i w:val="false"/>
          <w:iCs w:val="false"/>
          <w:color w:val="1A1A1A"/>
          <w:sz w:val="22"/>
          <w:szCs w:val="22"/>
        </w:rPr>
        <w:t xml:space="preserve">The Strait of Hormuz is closed. Forty percent of the world’s seaborne oil and liquefied natural gas moves through that strait. It is not moving now. The downstream effects are already hitting American farms, hospitals, and manufacturing plants — not as projections, but as current operating realities.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0000" w:sz="6"/>
              <w:left w:val="single" w:color="8B0000" w:sz="6"/>
              <w:bottom w:val="single" w:color="8B0000" w:sz="6"/>
              <w:right w:val="single" w:color="8B0000" w:sz="6"/>
            </w:tcBorders>
            <w:shd w:fill="FDF0F0" w:val="clear"/>
            <w:tcMar>
              <w:top w:type="dxa" w:w="160"/>
              <w:left w:type="dxa" w:w="320"/>
              <w:bottom w:type="dxa" w:w="160"/>
              <w:right w:type="dxa" w:w="320"/>
            </w:tcMar>
          </w:tcPr>
          <w:p>
            <w:pPr>
              <w:jc w:val="center"/>
            </w:pPr>
            <w:r>
              <w:rPr>
                <w:rFonts w:ascii="Arial" w:cs="Arial" w:eastAsia="Arial" w:hAnsi="Arial"/>
                <w:b/>
                <w:bCs/>
                <w:color w:val="8B0000"/>
                <w:sz w:val="24"/>
                <w:szCs w:val="24"/>
              </w:rPr>
              <w:t xml:space="preserve">THREE AMERICAN SUPPLY CHAINS BREAKING TODAY</w:t>
            </w:r>
          </w:p>
          <w:p>
            <w:pPr>
              <w:spacing w:before="80"/>
              <w:jc w:val="center"/>
            </w:pPr>
            <w:r>
              <w:rPr>
                <w:rFonts w:ascii="Arial" w:cs="Arial" w:eastAsia="Arial" w:hAnsi="Arial"/>
                <w:color w:val="1A1A1A"/>
                <w:sz w:val="21"/>
                <w:szCs w:val="21"/>
              </w:rPr>
              <w:t xml:space="preserve">Natural gas prices rising → ammonia production costs rising → fertilizer prices rising → farm input costs rising → food prices rising. This chain operates in real time. It does not wait for a diplomatic resolution.</w:t>
            </w:r>
          </w:p>
        </w:tc>
      </w:tr>
    </w:tbl>
    <w:p>
      <w:pPr>
        <w:spacing w:after="0" w:before="120"/>
      </w:pPr>
      <w:r>
        <w:t xml:space="preserve"/>
      </w:r>
    </w:p>
    <w:p>
      <w:pPr>
        <w:spacing w:after="60" w:before="180"/>
      </w:pPr>
      <w:r>
        <w:rPr>
          <w:rFonts w:ascii="Arial" w:cs="Arial" w:eastAsia="Arial" w:hAnsi="Arial"/>
          <w:b/>
          <w:bCs/>
          <w:color w:val="1B3A5C"/>
          <w:sz w:val="24"/>
          <w:szCs w:val="24"/>
        </w:rPr>
        <w:t xml:space="preserve">The Fertilizer Chain</w:t>
      </w:r>
    </w:p>
    <w:p>
      <w:pPr>
        <w:spacing w:after="80" w:before="60"/>
      </w:pPr>
      <w:r>
        <w:rPr>
          <w:rFonts w:ascii="Arial" w:cs="Arial" w:eastAsia="Arial" w:hAnsi="Arial"/>
          <w:b w:val="false"/>
          <w:bCs w:val="false"/>
          <w:i w:val="false"/>
          <w:iCs w:val="false"/>
          <w:color w:val="1A1A1A"/>
          <w:sz w:val="22"/>
          <w:szCs w:val="22"/>
        </w:rPr>
        <w:t xml:space="preserve">Ammonia is the feedstock for virtually every nitrogen fertilizer used in American agriculture. The Haber-Bosch process — which converts atmospheric nitrogen into ammonia — runs on natural gas. It is energy-intensive by design. When LNG prices spike, ammonia production costs spike. When ammonia production costs spike, the price of urea, anhydrous ammonia, and UAN (urea-ammonium nitrate) — the three nitrogen fertilizers that corn, wheat, soybeans, and cotton cannot grow without — spike with them.</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Crop</w:t>
            </w:r>
          </w:p>
        </w:tc>
        <w:tc>
          <w:tcPr>
            <w:tcW w:type="dxa" w:w="30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Nitrogen Fertilizer Dependence</w:t>
            </w:r>
          </w:p>
        </w:tc>
        <w:tc>
          <w:tcPr>
            <w:tcW w:type="dxa" w:w="30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Typical Cost Per Acre</w:t>
            </w:r>
          </w:p>
        </w:tc>
      </w:tr>
      <w:tr>
        <w:tc>
          <w:tcPr>
            <w:tcW w:type="dxa" w:w="36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Corn</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150–200 lbs nitrogen/acre</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$90–150 at normal prices</w:t>
            </w:r>
          </w:p>
        </w:tc>
      </w:tr>
      <w:tr>
        <w:tc>
          <w:tcPr>
            <w:tcW w:type="dxa" w:w="360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Winter wheat</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60–120 lbs nitrogen/acre</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$40–80 at normal prices</w:t>
            </w:r>
          </w:p>
        </w:tc>
      </w:tr>
      <w:tr>
        <w:tc>
          <w:tcPr>
            <w:tcW w:type="dxa" w:w="36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Soybeans</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Lower (nitrogen-fixing) but needs phosphate</w:t>
            </w:r>
          </w:p>
        </w:tc>
        <w:tc>
          <w:tcPr>
            <w:tcW w:type="dxa" w:w="30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$30–60 at normal prices</w:t>
            </w:r>
          </w:p>
        </w:tc>
      </w:tr>
      <w:tr>
        <w:tc>
          <w:tcPr>
            <w:tcW w:type="dxa" w:w="360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Cotton</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60–90 lbs nitrogen/acre</w:t>
            </w:r>
          </w:p>
        </w:tc>
        <w:tc>
          <w:tcPr>
            <w:tcW w:type="dxa" w:w="30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$40–70 at normal prices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STRAIT OF HORMUZ EFFECT ON AN IOWA CORN FARMER</w:t>
            </w:r>
          </w:p>
          <w:p>
            <w:pPr>
              <w:spacing w:before="60"/>
            </w:pPr>
            <w:r>
              <w:rPr>
                <w:rFonts w:ascii="Arial" w:cs="Arial" w:eastAsia="Arial" w:hAnsi="Arial"/>
                <w:color w:val="1A1A1A"/>
                <w:sz w:val="21"/>
                <w:szCs w:val="21"/>
              </w:rPr>
              <w:t xml:space="preserve">Anhydrous ammonia is the most common nitrogen fertilizer in the corn belt. In the 2021–2022 energy spike, anhydrous ammonia prices went from roughly $500/ton to over $1,500/ton — a 3x increase in one input alone. A 500-acre corn operation applying 175 lbs/acre needs approximately 40 tons of anhydrous. At $500/ton: $20,000. At $1,500/ton: $60,000. A $40,000 swing on a single input for a mid-size operation. The Strait of Hormuz closure is producing a comparable energy shock. It is not hypothetical. It is this planting season.</w:t>
            </w:r>
          </w:p>
        </w:tc>
      </w:tr>
    </w:tbl>
    <w:p>
      <w:pPr>
        <w:spacing w:after="0" w:before="160"/>
      </w:pPr>
      <w:r>
        <w:t xml:space="preserve"/>
      </w:r>
    </w:p>
    <w:p>
      <w:pPr>
        <w:spacing w:after="60" w:before="180"/>
      </w:pPr>
      <w:r>
        <w:rPr>
          <w:rFonts w:ascii="Arial" w:cs="Arial" w:eastAsia="Arial" w:hAnsi="Arial"/>
          <w:b/>
          <w:bCs/>
          <w:color w:val="1B3A5C"/>
          <w:sz w:val="24"/>
          <w:szCs w:val="24"/>
        </w:rPr>
        <w:t xml:space="preserve">The Helium Chain</w:t>
      </w:r>
    </w:p>
    <w:p>
      <w:pPr>
        <w:spacing w:after="80" w:before="60"/>
      </w:pPr>
      <w:r>
        <w:rPr>
          <w:rFonts w:ascii="Arial" w:cs="Arial" w:eastAsia="Arial" w:hAnsi="Arial"/>
          <w:b w:val="false"/>
          <w:bCs w:val="false"/>
          <w:i w:val="false"/>
          <w:iCs w:val="false"/>
          <w:color w:val="1A1A1A"/>
          <w:sz w:val="22"/>
          <w:szCs w:val="22"/>
        </w:rPr>
        <w:t xml:space="preserve">Helium is not a party supply problem. It is a critical industrial gas with no substitute in three essential applications: MRI machines, semiconductor fabrication, and fiber optic cable production. The United States sold off the Federal Helium Reserve — built in Amarillo, Texas — through a congressionally mandated sale process that concluded in the early 2020s. We are now substantially dependent on imports, primarily from Qatar and Russia.</w:t>
      </w:r>
    </w:p>
    <w:p>
      <w:pPr>
        <w:spacing w:after="0" w:before="60"/>
      </w:pPr>
      <w:r>
        <w:t xml:space="preserve"/>
      </w:r>
    </w:p>
    <w:p>
      <w:pPr>
        <w:spacing w:after="80" w:before="60"/>
      </w:pPr>
      <w:r>
        <w:rPr>
          <w:rFonts w:ascii="Arial" w:cs="Arial" w:eastAsia="Arial" w:hAnsi="Arial"/>
          <w:b w:val="false"/>
          <w:bCs w:val="false"/>
          <w:i w:val="false"/>
          <w:iCs w:val="false"/>
          <w:color w:val="1A1A1A"/>
          <w:sz w:val="22"/>
          <w:szCs w:val="22"/>
        </w:rPr>
        <w:t xml:space="preserve">Qatar shares the North Dome/South Pars gas field with Iran — the largest natural gas field in the world. Helium is a byproduct of natural gas processing. When LNG flows from the Persian Gulf are disrupted, helium flows are disrupted. When Russia’s helium exports are sanctioned or restricted, the supply tightens further. The US currently faces both simultaneously.</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Application</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Why Helium Is Required</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If Supply Fails</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MRI machines</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Superconducting magnets require liquid helium at −2.69°C. No substitute.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Hospitals cannot operate MRI units. Medical diagnostics compromised.</w:t>
            </w:r>
          </w:p>
        </w:tc>
      </w:tr>
      <w:tr>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Semiconductor fab</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Used to purge oxygen from chip fabrication chambers. Contamination destroys yields.</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Chip production falls. Defense and consumer electronics supply chains affected.</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Fiber optic cable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Required during drawing process to prevent oxidation. No substitute at scale.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Internet infrastructure expansion halts. 5G buildout slows.</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none" w:color="FFFFFF" w:sz="0"/>
              <w:right w:val="none" w:color="FFFFFF" w:sz="0"/>
            </w:tcBorders>
            <w:shd w:fill="E8EEF4" w:val="clear"/>
            <w:tcMar>
              <w:top w:type="dxa" w:w="120"/>
              <w:left w:type="dxa" w:w="240"/>
              <w:bottom w:type="dxa" w:w="120"/>
              <w:right w:type="dxa" w:w="240"/>
            </w:tcMar>
          </w:tcPr>
          <w:p>
            <w:r>
              <w:rPr>
                <w:rFonts w:ascii="Arial" w:cs="Arial" w:eastAsia="Arial" w:hAnsi="Arial"/>
                <w:b/>
                <w:bCs/>
                <w:color w:val="1B3A5C"/>
                <w:sz w:val="22"/>
                <w:szCs w:val="22"/>
              </w:rPr>
              <w:t xml:space="preserve">HELIUM IS A NATIONAL SECURITY INPUT, NOT A COMMODITY</w:t>
            </w:r>
          </w:p>
          <w:p>
            <w:pPr>
              <w:spacing w:before="60"/>
            </w:pPr>
            <w:r>
              <w:rPr>
                <w:rFonts w:ascii="Arial" w:cs="Arial" w:eastAsia="Arial" w:hAnsi="Arial"/>
                <w:color w:val="1A1A1A"/>
                <w:sz w:val="21"/>
                <w:szCs w:val="21"/>
              </w:rPr>
              <w:t xml:space="preserve">Every MRI machine in every rural hospital in every agricultural state runs on liquid helium. The VA hospital system uses helium for MRI diagnostics for veterans. Semiconductor fabrication for defense electronics requires helium. These are not luxury dependencies. They are operational requirements with no near-term domestic alternative. The Federal Helium Reserve that could have buffered this disruption was sold off. It cannot be rebuilt in months.</w:t>
            </w:r>
          </w:p>
        </w:tc>
      </w:tr>
    </w:tbl>
    <w:p>
      <w:pPr>
        <w:spacing w:after="0" w:before="160"/>
      </w:pPr>
      <w:r>
        <w:t xml:space="preserve"/>
      </w:r>
    </w:p>
    <w:p>
      <w:pPr>
        <w:spacing w:after="60" w:before="180"/>
      </w:pPr>
      <w:r>
        <w:rPr>
          <w:rFonts w:ascii="Arial" w:cs="Arial" w:eastAsia="Arial" w:hAnsi="Arial"/>
          <w:b/>
          <w:bCs/>
          <w:color w:val="1B3A5C"/>
          <w:sz w:val="24"/>
          <w:szCs w:val="24"/>
        </w:rPr>
        <w:t xml:space="preserve">The De-dollarization Chain</w:t>
      </w:r>
    </w:p>
    <w:p>
      <w:pPr>
        <w:spacing w:after="80" w:before="60"/>
      </w:pPr>
      <w:r>
        <w:rPr>
          <w:rFonts w:ascii="Arial" w:cs="Arial" w:eastAsia="Arial" w:hAnsi="Arial"/>
          <w:b w:val="false"/>
          <w:bCs w:val="false"/>
          <w:i w:val="false"/>
          <w:iCs w:val="false"/>
          <w:color w:val="1A1A1A"/>
          <w:sz w:val="22"/>
          <w:szCs w:val="22"/>
        </w:rPr>
        <w:t xml:space="preserve">Iran now accepts yuan for Strait of Hormuz passage. Japan and South Korea — US allies — are actively building yuan and euro settlement mechanisms for energy and helium purchases because they have no choice: dollar-denominated trade for essential goods now carries confiscation risk. Saudi Arabia has discussed yuan-denominated oil contracts. This infrastructure does not disappear when the Iran crisis ends. Once it achieves critical-mass network effects — estimated Q1–Q4 2027 — dollar reserve status restoration becomes structurally impossible.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SUEZ PARALLEL</w:t>
            </w:r>
          </w:p>
          <w:p>
            <w:pPr>
              <w:spacing w:before="60"/>
            </w:pPr>
            <w:r>
              <w:rPr>
                <w:rFonts w:ascii="Arial" w:cs="Arial" w:eastAsia="Arial" w:hAnsi="Arial"/>
                <w:color w:val="1A1A1A"/>
                <w:sz w:val="21"/>
                <w:szCs w:val="21"/>
              </w:rPr>
              <w:t xml:space="preserve">Britain achieved military success in Suez in 1956 and lost reserve currency status within months. The critical difference: in 1956, the United States imposed the correction on Britain. In 2026, the United States is the acting hegemon. There is no external correction mechanism. The market is making the correction instead.</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II. Why the Current Tax System Cannot Solve This</w:t>
      </w:r>
    </w:p>
    <w:p>
      <w:pPr>
        <w:spacing w:after="80" w:before="60"/>
      </w:pPr>
      <w:r>
        <w:rPr>
          <w:rFonts w:ascii="Arial" w:cs="Arial" w:eastAsia="Arial" w:hAnsi="Arial"/>
          <w:b w:val="false"/>
          <w:bCs w:val="false"/>
          <w:i w:val="false"/>
          <w:iCs w:val="false"/>
          <w:color w:val="1A1A1A"/>
          <w:sz w:val="22"/>
          <w:szCs w:val="22"/>
        </w:rPr>
        <w:t xml:space="preserve">The structural problem is not political will. It is instrument failure. The income tax system is calibrated to a 20th-century economy. Financial transaction volume — the layer where modern economic activity actually occurs — is completely invisible to it.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Scenario</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Income Tax Sees</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Velocity Tax Sees</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Stock position traded 1,000 times, zero net price change</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Zero. No gain recognized.</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2,000 transaction legs. Enormous accumulated path.</w:t>
            </w:r>
          </w:p>
        </w:tc>
      </w:tr>
      <w:tr>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High-frequency firm executing $65T notional per year</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Near-zero. Gains offset losses.</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$227B at 0.35% rate. Significant revenue from the financial layer.</w:t>
            </w:r>
          </w:p>
        </w:tc>
      </w:tr>
      <w:tr>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Small business with $500K revenue and $250K payroll</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$74,925 in combined taxes and compliance costs.</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$2,450. A 97% reduction.</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Federal debt exceeds $36 trillion. Debt service is the fastest-growing budget line. The income tax cannot close this gap — it is procyclical by design: revenues collapse in recessions when debt pressure is highest. The velocity tax taxes V in Milton Friedman’s equation MV = PQ — the path integral of monetary movement, not the productive economy. Financial transaction volume is orders of magnitude larger than GDP. A tiny rate generates revenue sufficient to replace the entire federal tax apparatus, with surplus.</w:t>
      </w:r>
    </w:p>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III. The Instrument: A Single Flat Rate on Every Cleared Transaction</w:t>
      </w:r>
    </w:p>
    <w:p>
      <w:pPr>
        <w:spacing w:after="80" w:before="60"/>
      </w:pPr>
      <w:r>
        <w:rPr>
          <w:rFonts w:ascii="Arial" w:cs="Arial" w:eastAsia="Arial" w:hAnsi="Arial"/>
          <w:b w:val="false"/>
          <w:bCs w:val="false"/>
          <w:i w:val="false"/>
          <w:iCs w:val="false"/>
          <w:color w:val="1A1A1A"/>
          <w:sz w:val="22"/>
          <w:szCs w:val="22"/>
        </w:rPr>
        <w:t xml:space="preserve">The velocity tax is an excise tax on every transaction that clears through the banking system. The same flat rate — 0.25–0.7% — applied automatically at the clearing layer, like an ATM fee. No returns. No audits. No criminal liability. No offshore structures. No lobbyists writing carve-outs.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Same rate on every dollar of commerce, every financial trade, every wire transfer. Government transactions included.</w:t>
      </w:r>
    </w:p>
    <w:p>
      <w:pPr>
        <w:pStyle w:val="ListParagraph"/>
        <w:numPr>
          <w:ilvl w:val="0"/>
          <w:numId w:val="2"/>
        </w:numPr>
        <w:spacing w:after="40" w:before="40"/>
      </w:pPr>
      <w:r>
        <w:rPr>
          <w:rFonts w:ascii="Arial" w:cs="Arial" w:eastAsia="Arial" w:hAnsi="Arial"/>
          <w:color w:val="1A1A1A"/>
          <w:sz w:val="22"/>
          <w:szCs w:val="22"/>
        </w:rPr>
        <w:t xml:space="preserve">Self-collecting: the clearing bank deducts it automatically. It cannot be wrong.</w:t>
      </w:r>
    </w:p>
    <w:p>
      <w:pPr>
        <w:pStyle w:val="ListParagraph"/>
        <w:numPr>
          <w:ilvl w:val="0"/>
          <w:numId w:val="2"/>
        </w:numPr>
        <w:spacing w:after="40" w:before="40"/>
      </w:pPr>
      <w:r>
        <w:rPr>
          <w:rFonts w:ascii="Arial" w:cs="Arial" w:eastAsia="Arial" w:hAnsi="Arial"/>
          <w:color w:val="1A1A1A"/>
          <w:sz w:val="22"/>
          <w:szCs w:val="22"/>
        </w:rPr>
        <w:t xml:space="preserve">Rate: 0.25–0.7% flat. Revenue sufficient to replace all federal taxes with surplus.</w:t>
      </w:r>
    </w:p>
    <w:p>
      <w:pPr>
        <w:pStyle w:val="ListParagraph"/>
        <w:numPr>
          <w:ilvl w:val="0"/>
          <w:numId w:val="2"/>
        </w:numPr>
        <w:spacing w:after="40" w:before="40"/>
      </w:pPr>
      <w:r>
        <w:rPr>
          <w:rFonts w:ascii="Arial" w:cs="Arial" w:eastAsia="Arial" w:hAnsi="Arial"/>
          <w:color w:val="1A1A1A"/>
          <w:sz w:val="22"/>
          <w:szCs w:val="22"/>
        </w:rPr>
        <w:t xml:space="preserve">Who pays more: high-frequency traders, private equity, hedge funds — the entities generating financial fragility. Citadel alone executes ~$65T/year in notional transactions. At 0.35%: ~$227B in velocity tax.</w:t>
      </w:r>
    </w:p>
    <w:p>
      <w:pPr>
        <w:pStyle w:val="ListParagraph"/>
        <w:numPr>
          <w:ilvl w:val="0"/>
          <w:numId w:val="2"/>
        </w:numPr>
        <w:spacing w:after="40" w:before="40"/>
      </w:pPr>
      <w:r>
        <w:rPr>
          <w:rFonts w:ascii="Arial" w:cs="Arial" w:eastAsia="Arial" w:hAnsi="Arial"/>
          <w:color w:val="1A1A1A"/>
          <w:sz w:val="22"/>
          <w:szCs w:val="22"/>
        </w:rPr>
        <w:t xml:space="preserve">Who pays far less: every American business producing goods and services. Apple saves ~$33B. Amazon ~$16.5B. A 5-employee small business saves $72,475 per year — a 97% reduction.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NO CARVE-OUTS — FOR ANYONE</w:t>
            </w:r>
          </w:p>
          <w:p>
            <w:pPr>
              <w:spacing w:before="60"/>
            </w:pPr>
            <w:r>
              <w:rPr>
                <w:rFonts w:ascii="Arial" w:cs="Arial" w:eastAsia="Arial" w:hAnsi="Arial"/>
                <w:color w:val="1A1A1A"/>
                <w:sz w:val="21"/>
                <w:szCs w:val="21"/>
              </w:rPr>
              <w:t xml:space="preserve">The federal government’s own transactions are subject to this rate. State and local government transactions are subject to this rate. Congress, the Pentagon, the Treasury — all pay. No public or private entity receives an exemption the United States government itself does not receive. When the financial sector requests a carve-out, the answer is: explain why you deserve a privilege that the US government does not have. That is a public floor vote no one wants to take.</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none" w:color="FFFFFF" w:sz="0"/>
              <w:right w:val="none" w:color="FFFFFF" w:sz="0"/>
            </w:tcBorders>
            <w:shd w:fill="E8EEF4" w:val="clear"/>
            <w:tcMar>
              <w:top w:type="dxa" w:w="120"/>
              <w:left w:type="dxa" w:w="240"/>
              <w:bottom w:type="dxa" w:w="120"/>
              <w:right w:type="dxa" w:w="240"/>
            </w:tcMar>
          </w:tcPr>
          <w:p>
            <w:r>
              <w:rPr>
                <w:rFonts w:ascii="Arial" w:cs="Arial" w:eastAsia="Arial" w:hAnsi="Arial"/>
                <w:b/>
                <w:bCs/>
                <w:color w:val="1B3A5C"/>
                <w:sz w:val="22"/>
                <w:szCs w:val="22"/>
              </w:rPr>
              <w:t xml:space="preserve">CONSTITUTIONAL BASIS: NO AMENDMENT REQUIRED</w:t>
            </w:r>
          </w:p>
          <w:p>
            <w:pPr>
              <w:spacing w:before="60"/>
            </w:pPr>
            <w:r>
              <w:rPr>
                <w:rFonts w:ascii="Arial" w:cs="Arial" w:eastAsia="Arial" w:hAnsi="Arial"/>
                <w:color w:val="1A1A1A"/>
                <w:sz w:val="21"/>
                <w:szCs w:val="21"/>
              </w:rPr>
              <w:t xml:space="preserve">The velocity tax is an excise tax under Article I, Section 8. Congress has plenary authority. The Sixteenth Amendment is irrelevant — it authorizes income taxes; this instrument has no income measurement, no adjusted gross income, no returns. Historical precedent: documentary stamp taxes, securities transaction taxes, telephone excise tax — all constitutional without amendment. Someone will file suit. The excise doctrine defeats it.</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IV. Where the Revenue Goes: The American Productivity Dividend</w:t>
      </w:r>
    </w:p>
    <w:p>
      <w:pPr>
        <w:spacing w:after="80" w:before="60"/>
      </w:pPr>
      <w:r>
        <w:rPr>
          <w:rFonts w:ascii="Arial" w:cs="Arial" w:eastAsia="Arial" w:hAnsi="Arial"/>
          <w:b w:val="false"/>
          <w:bCs w:val="false"/>
          <w:i w:val="false"/>
          <w:iCs w:val="false"/>
          <w:color w:val="1A1A1A"/>
          <w:sz w:val="22"/>
          <w:szCs w:val="22"/>
        </w:rPr>
        <w:t xml:space="preserve">The revenue generated by velocity taxation is large enough to replace all federal taxes and fund three programs that simultaneously solve the capital flight objection and make the United States dramatically more attractive to productive investment.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420"/>
        <w:gridCol w:w="3420"/>
      </w:tblGrid>
      <w:tr>
        <w:tc>
          <w:tcPr>
            <w:tcW w:type="dxa" w:w="288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Program</w:t>
            </w:r>
          </w:p>
        </w:tc>
        <w:tc>
          <w:tcPr>
            <w:tcW w:type="dxa" w:w="342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It Does for Workers</w:t>
            </w:r>
          </w:p>
        </w:tc>
        <w:tc>
          <w:tcPr>
            <w:tcW w:type="dxa" w:w="342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It Does for Employers and the Economy</w:t>
            </w:r>
          </w:p>
        </w:tc>
      </w:tr>
      <w:tr>
        <w:tc>
          <w:tcPr>
            <w:tcW w:type="dxa" w:w="288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healthcare</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free from job-lock. Can leave bad employers, take entrepreneurial risk, accept equity or part-time arrangements.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$7–8,000 per employee per year in overhead eliminated. H1B benefit arbitrage gone — domestic workers cost-competitive without visa restrictions.</w:t>
            </w:r>
          </w:p>
        </w:tc>
      </w:tr>
      <w:tr>
        <w:tc>
          <w:tcPr>
            <w:tcW w:type="dxa" w:w="288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Guaranteed income floor</w:t>
            </w:r>
          </w:p>
        </w:tc>
        <w:tc>
          <w:tcPr>
            <w:tcW w:type="dxa" w:w="342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The foundation from which free people make free choices. Every farmer in a bad season, every startup founder, every displaced worker has a floor.</w:t>
            </w:r>
          </w:p>
        </w:tc>
        <w:tc>
          <w:tcPr>
            <w:tcW w:type="dxa" w:w="342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Consumer demand stabilized. Workforce can take long-horizon productive risk. Less desperate labor negotiation means more flexible employment.</w:t>
            </w:r>
          </w:p>
        </w:tc>
      </w:tr>
      <w:tr>
        <w:tc>
          <w:tcPr>
            <w:tcW w:type="dxa" w:w="288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pensions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not trapped in jobs by retirement fear. Dynamic, flexible labor markets.</w:t>
            </w:r>
          </w:p>
        </w:tc>
        <w:tc>
          <w:tcPr>
            <w:tcW w:type="dxa" w:w="342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Workforce productivity over full career. Less retirement insecurity driving short-term financial decisions.</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These programs are funded first — by statute, before debt paydown. They are not aspirational. They are the primary allocation. Debt reduction is the structural consequence of the surplus after programs are fully funded. A bill that separates the programs from the instrument has removed the reason the instrument exists.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CAPITAL FLIGHT ANSWER</w:t>
            </w:r>
          </w:p>
          <w:p>
            <w:pPr>
              <w:spacing w:before="60"/>
            </w:pPr>
            <w:r>
              <w:rPr>
                <w:rFonts w:ascii="Arial" w:cs="Arial" w:eastAsia="Arial" w:hAnsi="Arial"/>
                <w:color w:val="1A1A1A"/>
                <w:sz w:val="21"/>
                <w:szCs w:val="21"/>
              </w:rPr>
              <w:t xml:space="preserve">Critics argue a transaction tax triggers capital flight. The concern is valid for speculative capital — precisely the capital the instrument applies friction to. Productive capital does not flee above all else. It seeks stable consuming populations, low labor overhead, and workforce flexibility. A nation providing universal healthcare, guaranteed income, and pensions provides all three simultaneously. The velocity tax and the Productivity Dividend are not in tension. They are the same instrument working at two layers of the economy at once.</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 Transforming the IRS Into an Investment Engine</w:t>
      </w:r>
    </w:p>
    <w:p>
      <w:pPr>
        <w:spacing w:after="80" w:before="60"/>
      </w:pPr>
      <w:r>
        <w:rPr>
          <w:rFonts w:ascii="Arial" w:cs="Arial" w:eastAsia="Arial" w:hAnsi="Arial"/>
          <w:b w:val="false"/>
          <w:bCs w:val="false"/>
          <w:i w:val="false"/>
          <w:iCs w:val="false"/>
          <w:color w:val="1A1A1A"/>
          <w:sz w:val="22"/>
          <w:szCs w:val="22"/>
        </w:rPr>
        <w:t xml:space="preserve">The IRS employs 87,000 people across 600+ district offices organized by geography. Its primary function is enforcing a system that ceases to exist under velocity taxation. The enforcement apparatus becomes obsolete the day the velocity tax replaces the income system. That is not a problem. It is the largest underutilized economic development infrastructure in the federal government.</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Each district office becomes a Regional Revenue Development Office. It receives an annual velocity tax revenue allocation proportional to economic activity in its district. Its mandate: deploy that revenue into productive investment and workforce retraining. Performance is measured by external federal data — BEA economic output, BLS employment in productive sectors, BLS median wage growth. Not self-reported. Not gameable.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IRS Today</w:t>
            </w:r>
          </w:p>
        </w:tc>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Revenue Development Service</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Enforces returns and audits</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No returns: clearing layer self-collects</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Extracts from the productive economy</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Deploys capital into productive investment</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Same function in every district</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District mandate tied to local productive capacity</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Adversarial relationship with businesses</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Partnership with local businesses and municipalities</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Leadership from IRS career pipeline</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Leadership from development finance and infrastructure banking — statutory requirement</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E6B2E" w:sz="6"/>
              <w:bottom w:val="none" w:color="FFFFFF" w:sz="0"/>
              <w:right w:val="none" w:color="FFFFFF" w:sz="0"/>
            </w:tcBorders>
            <w:shd w:fill="EAF4EA" w:val="clear"/>
            <w:tcMar>
              <w:top w:type="dxa" w:w="120"/>
              <w:left w:type="dxa" w:w="240"/>
              <w:bottom w:type="dxa" w:w="120"/>
              <w:right w:type="dxa" w:w="240"/>
            </w:tcMar>
          </w:tcPr>
          <w:p>
            <w:r>
              <w:rPr>
                <w:rFonts w:ascii="Arial" w:cs="Arial" w:eastAsia="Arial" w:hAnsi="Arial"/>
                <w:b/>
                <w:bCs/>
                <w:color w:val="1B3A5C"/>
                <w:sz w:val="22"/>
                <w:szCs w:val="22"/>
              </w:rPr>
              <w:t xml:space="preserve">WHAT THIS MEANS FOR AGRICULTURAL DISTRICTS</w:t>
            </w:r>
          </w:p>
          <w:p>
            <w:pPr>
              <w:spacing w:before="60"/>
            </w:pPr>
            <w:r>
              <w:rPr>
                <w:rFonts w:ascii="Arial" w:cs="Arial" w:eastAsia="Arial" w:hAnsi="Arial"/>
                <w:color w:val="1A1A1A"/>
                <w:sz w:val="21"/>
                <w:szCs w:val="21"/>
              </w:rPr>
              <w:t xml:space="preserve">A district in rural Iowa deploys its allocation into grain storage infrastructure, irrigation systems, rural broadband, and agricultural capital. A district in the southern plains deploys into cotton gin modernization, water systems, and renewable energy for farm operations. A district in Appalachia deploys into energy transition infrastructure and workforce retraining. The geographic distribution of the IRS network — built over a century to reach every community in America — becomes the delivery mechanism for the most ambitious domestic investment program in American history. The majority of American workers need periodic retraining in a rapidly changing economy. District offices are the natural delivery mechanism.</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 The 2026 Window — Why This Cannot Be Deferred</w:t>
      </w:r>
    </w:p>
    <w:p>
      <w:pPr>
        <w:spacing w:after="80" w:before="60"/>
      </w:pPr>
      <w:r>
        <w:rPr>
          <w:rFonts w:ascii="Arial" w:cs="Arial" w:eastAsia="Arial" w:hAnsi="Arial"/>
          <w:b w:val="false"/>
          <w:bCs w:val="false"/>
          <w:i w:val="false"/>
          <w:iCs w:val="false"/>
          <w:color w:val="1A1A1A"/>
          <w:sz w:val="22"/>
          <w:szCs w:val="22"/>
        </w:rPr>
        <w:t xml:space="preserve">The Iran conflict has compressed the fiscal reform timeline from “sometime this decade” to the next 18–24 months. Two lock-in points are converging:</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The infrastructure point of no return: estimated Q1–Q4 2027 — when yuan/energy settlement rails achieve critical-mass network effects that make dollar reserve status restoration structurally impossible. Infrastructure built to route around Iran sanctions does not disappear when the Iran crisis ends.</w:t>
      </w:r>
    </w:p>
    <w:p>
      <w:pPr>
        <w:pStyle w:val="ListParagraph"/>
        <w:numPr>
          <w:ilvl w:val="0"/>
          <w:numId w:val="2"/>
        </w:numPr>
        <w:spacing w:after="40" w:before="40"/>
      </w:pPr>
      <w:r>
        <w:rPr>
          <w:rFonts w:ascii="Arial" w:cs="Arial" w:eastAsia="Arial" w:hAnsi="Arial"/>
          <w:color w:val="1A1A1A"/>
          <w:sz w:val="22"/>
          <w:szCs w:val="22"/>
        </w:rPr>
        <w:t xml:space="preserve">The debt service threshold: when debt service exceeds ~30% of revenues, only austerity or monetization remain. Both are catastrophic. Both become politically unavoidable once the threshold is crossed.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color w:val="1B3A5C"/>
                <w:sz w:val="22"/>
                <w:szCs w:val="22"/>
              </w:rPr>
              <w:t xml:space="preserve">THE VELOCITY TAX IS NOT A RESPONSE TO THE IRAN CRISIS</w:t>
            </w:r>
          </w:p>
          <w:p>
            <w:pPr>
              <w:spacing w:before="60"/>
            </w:pPr>
            <w:r>
              <w:rPr>
                <w:rFonts w:ascii="Arial" w:cs="Arial" w:eastAsia="Arial" w:hAnsi="Arial"/>
                <w:color w:val="1A1A1A"/>
                <w:sz w:val="21"/>
                <w:szCs w:val="21"/>
              </w:rPr>
              <w:t xml:space="preserve">It is the structural fiscal reform that the Iran crisis makes impossible to defer. The crisis is the forcing function. The reform is the instrument that matches the tax base to where the economy actually lives — in the path integral of monetary movement, not in the income and consumption flows of a 20th-century economy.</w:t>
            </w:r>
          </w:p>
        </w:tc>
      </w:tr>
    </w:tbl>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Immediate actions in this brief require no new legislation — they are executive authority. The pilot legislation is narrow, bipartisan-viable, and does not require full system implementation before establishing the precedent and data infrastructure. The key: the social program allocation structure must be in the pilot bill from day one, even at modest revenue levels. Establishing that precedent in the pilot is the structural prevention of the worst failure mode.</w:t>
      </w:r>
    </w:p>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VII. Where This Ends If Nothing Changes</w:t>
      </w:r>
    </w:p>
    <w:p>
      <w:pPr>
        <w:spacing w:after="80" w:before="60"/>
      </w:pPr>
      <w:r>
        <w:rPr>
          <w:rFonts w:ascii="Arial" w:cs="Arial" w:eastAsia="Arial" w:hAnsi="Arial"/>
          <w:b w:val="false"/>
          <w:bCs w:val="false"/>
          <w:i w:val="false"/>
          <w:iCs w:val="false"/>
          <w:color w:val="1A1A1A"/>
          <w:sz w:val="22"/>
          <w:szCs w:val="22"/>
        </w:rPr>
        <w:t xml:space="preserve">This section does not offer projections. It describes structural outcomes that follow mechanically from decisions already made and infrastructure already being built. The timeline is conservative.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5040"/>
      </w:tblGrid>
      <w:tr>
        <w:tc>
          <w:tcPr>
            <w:tcW w:type="dxa" w:w="14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Timeframe</w:t>
            </w:r>
          </w:p>
        </w:tc>
        <w:tc>
          <w:tcPr>
            <w:tcW w:type="dxa" w:w="32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What Happens</w:t>
            </w:r>
          </w:p>
        </w:tc>
        <w:tc>
          <w:tcPr>
            <w:tcW w:type="dxa" w:w="504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Why It Cannot Be Reversed</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2027</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Yuan/euro settlement rails for energy, helium, and agricultural goods reach critical-mass network effects. Countries that built this infrastructure to survive US sanctions now prefer it on cost and reliability grounds.</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Network effects. Once a settlement system achieves liquidity, switching back to dollar settlement imposes costs on both parties. Historical precedent: sterling never recovered from Suez. No country restored the pound as reserve currency after the shift to dollar settlement.</w:t>
            </w:r>
          </w:p>
        </w:tc>
      </w:tr>
      <w:tr>
        <w:tc>
          <w:tcPr>
            <w:tcW w:type="dxa" w:w="14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2027–2028</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Debt service crosses ~30% of federal revenues. At that threshold, the federal government faces a binary choice: austerity severe enough to trigger recession, or monetization (printing money to service debt) that triggers inflation. Both destroy the conditions that make dollar assets attractive.</w:t>
            </w:r>
          </w:p>
        </w:tc>
        <w:tc>
          <w:tcPr>
            <w:tcW w:type="dxa" w:w="50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At 30%+ debt service, there is no fiscal surplus available for productive investment. The velocity tax’s debt-paydown mechanism becomes unavailable because there is no room to run it. The window for structural reform closes.</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2030–2035</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Alternative settlement infrastructure becomes the preferred route for a growing share of global commodity trade. Dollar demand falls. Dollar weakens structurally. Import costs rise for every American consumer and every business buying inputs.</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This is not a crisis event. It is a gradual structural shift that compounds annually. Each year of dollar weakness increases import costs, increases inflation pressure, decreases US purchasing power in global markets. The correction becomes the new normal.</w:t>
            </w:r>
          </w:p>
        </w:tc>
      </w:tr>
      <w:tr>
        <w:tc>
          <w:tcPr>
            <w:tcW w:type="dxa" w:w="14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2040–2050</w:t>
            </w:r>
          </w:p>
        </w:tc>
        <w:tc>
          <w:tcPr>
            <w:tcW w:type="dxa" w:w="32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Federal debt, compounded at higher borrowing costs (a weaker dollar means higher interest demanded by foreign creditors), becomes unserviceable without sustained monetization. Social programs are cut in sequence: first discretionary, then mandatory. Defense spending competes directly with debt service.</w:t>
            </w:r>
          </w:p>
        </w:tc>
        <w:tc>
          <w:tcPr>
            <w:tcW w:type="dxa" w:w="504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A sovereign debt spiral is self-reinforcing: higher borrowing costs increase the deficit, which increases borrowing, which increases borrowing costs. The United States has never faced this from inside — only imposed it on others. The IMF does not have a lending facility large enough to address US sovereign debt.</w:t>
            </w:r>
          </w:p>
        </w:tc>
      </w:tr>
      <w:tr>
        <w:tc>
          <w:tcPr>
            <w:tcW w:type="dxa" w:w="14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2075+</w:t>
            </w:r>
          </w:p>
        </w:tc>
        <w:tc>
          <w:tcPr>
            <w:tcW w:type="dxa" w:w="32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The United States is a large, wealthy, domestically-focused economy that is no longer the center of global financial architecture. This is not catastrophe. It is managed decline — the British trajectory. American consumers are poorer in global terms. American institutions are less influential. American productive capacity, already hollowed out over four decades of financial extraction, does not recover.</w:t>
            </w:r>
          </w:p>
        </w:tc>
        <w:tc>
          <w:tcPr>
            <w:tcW w:type="dxa" w:w="504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Once the dollar is no longer the primary reserve currency, the US loses the ‘exorbitant privilege’ — the ability to run deficits financed cheaply by global demand for dollar assets. Everything the US government does becomes more expensive. Every American’s standard of living relative to the rest of the world falls.</w:t>
            </w:r>
          </w:p>
        </w:tc>
      </w:tr>
    </w:tbl>
    <w:p>
      <w:pPr>
        <w:spacing w:after="0" w:before="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0000" w:sz="6"/>
              <w:left w:val="single" w:color="8B0000" w:sz="6"/>
              <w:bottom w:val="single" w:color="8B0000" w:sz="6"/>
              <w:right w:val="single" w:color="8B0000" w:sz="6"/>
            </w:tcBorders>
            <w:shd w:fill="FDF0F0" w:val="clear"/>
            <w:tcMar>
              <w:top w:type="dxa" w:w="160"/>
              <w:left w:type="dxa" w:w="360"/>
              <w:bottom w:type="dxa" w:w="160"/>
              <w:right w:type="dxa" w:w="360"/>
            </w:tcMar>
          </w:tcPr>
          <w:p>
            <w:pPr>
              <w:jc w:val="center"/>
            </w:pPr>
            <w:r>
              <w:rPr>
                <w:rFonts w:ascii="Arial" w:cs="Arial" w:eastAsia="Arial" w:hAnsi="Arial"/>
                <w:b/>
                <w:bCs/>
                <w:color w:val="8B0000"/>
                <w:sz w:val="24"/>
                <w:szCs w:val="24"/>
              </w:rPr>
              <w:t xml:space="preserve">THE POINT OF NO RETURN IS NOT 2075. IT IS 2027.</w:t>
            </w:r>
          </w:p>
          <w:p>
            <w:pPr>
              <w:spacing w:before="80"/>
            </w:pPr>
            <w:r>
              <w:rPr>
                <w:rFonts w:ascii="Arial" w:cs="Arial" w:eastAsia="Arial" w:hAnsi="Arial"/>
                <w:color w:val="1A1A1A"/>
                <w:sz w:val="21"/>
                <w:szCs w:val="21"/>
              </w:rPr>
              <w:t xml:space="preserve">The 50-year trajectory above is set in motion by decisions made in the next 18–24 months. The infrastructure lock-in point, the debt service threshold, and the settlement rail network effect all converge in the 2027–2028 window. After that window, structural reform can still reduce harm — it cannot restore what was lost. The dollar’s reserve status, once gone, does not come back. The question is not whether to act. The question is whether the 2026–2027 Congress acts before or after the window closes.</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VIII. The Legislative Action Plan</w:t>
      </w:r>
    </w:p>
    <w:p>
      <w:pPr>
        <w:spacing w:after="80" w:before="60"/>
      </w:pPr>
      <w:r>
        <w:rPr>
          <w:rFonts w:ascii="Arial" w:cs="Arial" w:eastAsia="Arial" w:hAnsi="Arial"/>
          <w:b w:val="false"/>
          <w:bCs w:val="false"/>
          <w:i w:val="false"/>
          <w:iCs w:val="false"/>
          <w:color w:val="1A1A1A"/>
          <w:sz w:val="22"/>
          <w:szCs w:val="22"/>
        </w:rPr>
        <w:t xml:space="preserve">Ten actions. The first three require no legislation. The remainder are staged to build the institutional knowledge base and supporting coalition before the blocking coalition can organize.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1. TREASURY VELOCITY STUDY DIRECTIVE</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Direct Treasury to produce a 60-day study of implementing a 0.1% Automated Payment Transaction pilot on financial transactions over $1 million. CBO scoring alongside. Establishes the institutional knowledge base and forces the conversation into the legislative record before the financial sector lobby can organize against it.</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2. FEDERAL RESERVE VELOCITY REPORTING MANDATE</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Amend the Fed’s semi-annual Humphrey-Hawkins reporting to include quarterly real-time velocity (V) disaggregated by transaction type: productive sector vs. financial sector. This data exists in clearing systems. Making it visible to Congress is the prerequisite for accountable rate design.</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3. DE-DOLLARIZATION EARLY WARNING DASHBOARD</w:t>
            </w:r>
            <w:r>
              <w:rPr>
                <w:rFonts w:ascii="Arial" w:cs="Arial" w:eastAsia="Arial" w:hAnsi="Arial"/>
                <w:color w:val="B8860B"/>
                <w:sz w:val="18"/>
                <w:szCs w:val="18"/>
              </w:rPr>
              <w:t xml:space="preserve">   [Immediate — Executive Authority]</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Direct Treasury Intelligence and the Federal Reserve to publish a monthly dashboard: percentage of global trade settled in USD vs. alternative currencies, broken out by commodity (energy, helium, agricultural goods, rare earths). Real-time visibility into the lock-in trajectory. Establishes the baseline for the 2% tripwire in Action 7.</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4. VELOCITY TAX PILOT ACT</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Introduce legislation establishing a 0.1% transaction tax on equity trades above $100,000, effective for a 36-month pilot period. CRITICAL: The social program allocation structure — healthcare, guaranteed income floor, universal pensions — must be in the bill from the first dollar of revenue in the first month. Not deferred to a companion bill. Not held in escrow. In the pilot from day one, even at modest scale. The precedent established in the pilot is the structural protection against social program decoupling in the permanent program. Renewal requires independent certification that social program allocations were fully funded and a distributional analysis showing positive net effect on households below median income.</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5. DOLLAR RESERVE PROTECTION BOARD</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a bipartisan Dollar Reserve Protection Board with veto authority over Treasury actions affecting essential civilian resource flows — specifically helium, ammonia/fertilizer precursors, rare earths, and pharmaceutical inputs. Prevents weaponization of financial infrastructure against the goods alternative settlement systems are being built specifically to transport. If essential goods can flow in dollars, they will.</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6. CONDITIONAL REBATE — PRODUCTIVE INVESTMENT</w:t>
            </w:r>
            <w:r>
              <w:rPr>
                <w:rFonts w:ascii="Arial" w:cs="Arial" w:eastAsia="Arial" w:hAnsi="Arial"/>
                <w:color w:val="B8860B"/>
                <w:sz w:val="18"/>
                <w:szCs w:val="18"/>
              </w:rPr>
              <w:t xml:space="preserve">   [30-Day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Return 5–10% of velocity tax revenue to financial institutions — including high-frequency trading firms, hedge funds, and private equity — conditioned on deployment into tangible productive assets: manufacturing, infrastructure, agricultural capital, domestic helium recovery infrastructure, domestic ammonia production capacity, energy systems, housing. Participation requires a designated separate account, independent certification of deployment, and full audit trail. Misuse carries criminal liability. This is not a rate carve-out: every participant pays the full flat rate. The rebate is a productive investment incentive open to any entity willing to put capital to work in the real economy.</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7. AI MONETARY MANAGEMENT AUTHORIZATION ACT</w:t>
            </w:r>
            <w:r>
              <w:rPr>
                <w:rFonts w:ascii="Arial" w:cs="Arial" w:eastAsia="Arial" w:hAnsi="Arial"/>
                <w:color w:val="B8860B"/>
                <w:sz w:val="18"/>
                <w:szCs w:val="18"/>
              </w:rPr>
              <w:t xml:space="preserve">   [90-Day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Authorize AI-managed dynamic rate adjustment operating on real-time clearing data, within parameters set by Congress and the Seventh Generation Oversight Commission. Rate formula: t(V) = t₀ + k × max(0, V − V₀). Three-mode counter-cyclical design: Mode 1 (prosperity) builds reserves; Mode 2 (volatility) reduces friction; Mode 3 (crisis circuit breaker) applies a universal rate ceiling to all transactions — no transaction classification required, triggered by 2% de-dollarization or Fed systemic certification. Congressional override, full parameter transparency, and financial sector exclusion from oversight are mandatory provisions.</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8. NON-DOLLAR CLEARING PROTECTION ACT</w:t>
            </w:r>
            <w:r>
              <w:rPr>
                <w:rFonts w:ascii="Arial" w:cs="Arial" w:eastAsia="Arial" w:hAnsi="Arial"/>
                <w:color w:val="B8860B"/>
                <w:sz w:val="18"/>
                <w:szCs w:val="18"/>
              </w:rPr>
              <w:t xml:space="preserve">   [90-Day Legislation]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clearing arrangements for designated essential goods — helium, ammonia, rare earths, pharmaceutical precursors — that operate outside SWIFT for those specific goods. If essential goods can be settled in dollars, they will be. This ensures they can, regardless of sanctions state. Modeled on INSTEX. Prevents resource warfare from producing the permanent alternative clearing infrastructure it is meant to punish.</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9. REVENUE DEVELOPMENT SERVICE ACT</w:t>
            </w:r>
            <w:r>
              <w:rPr>
                <w:rFonts w:ascii="Arial" w:cs="Arial" w:eastAsia="Arial" w:hAnsi="Arial"/>
                <w:color w:val="B8860B"/>
                <w:sz w:val="18"/>
                <w:szCs w:val="18"/>
              </w:rPr>
              <w:t xml:space="preserve">   [Concurrent with Implementation]</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Remand and rename the IRS. District offices become Regional Revenue Development Offices. Mandate: deploy velocity tax revenue into productive investment and workforce development. Statutory requirement: district leadership recruited from development finance, infrastructure banking, and community investment backgrounds — not the IRS career pipeline. Performance measured by BEA and BLS external data, not self-reported metrics.</w:t>
            </w:r>
          </w:p>
        </w:tc>
      </w:tr>
    </w:tbl>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10. SEVENTH GENERATION MONETARY OVERSIGHT COMMISSION</w:t>
            </w:r>
            <w:r>
              <w:rPr>
                <w:rFonts w:ascii="Arial" w:cs="Arial" w:eastAsia="Arial" w:hAnsi="Arial"/>
                <w:color w:val="B8860B"/>
                <w:sz w:val="18"/>
                <w:szCs w:val="18"/>
              </w:rPr>
              <w:t xml:space="preserve">   [Concurrent with Action 7]</w:t>
            </w:r>
          </w:p>
        </w:tc>
      </w:tr>
      <w:tr>
        <w:tc>
          <w:tcPr>
            <w:tcW w:type="dxa" w:w="9720"/>
            <w:tcBorders>
              <w:top w:val="single" w:color="1B3A5C" w:sz="6"/>
              <w:left w:val="single" w:color="1B3A5C" w:sz="6"/>
              <w:bottom w:val="single" w:color="1B3A5C" w:sz="6"/>
              <w:right w:val="single" w:color="1B3A5C" w:sz="6"/>
            </w:tcBorders>
            <w:shd w:fill="E8EEF4" w:val="clear"/>
            <w:tcMar>
              <w:top w:type="dxa" w:w="100"/>
              <w:left w:type="dxa" w:w="200"/>
              <w:bottom w:type="dxa" w:w="100"/>
              <w:right w:type="dxa" w:w="200"/>
            </w:tcMar>
          </w:tcPr>
          <w:p>
            <w:r>
              <w:rPr>
                <w:rFonts w:ascii="Arial" w:cs="Arial" w:eastAsia="Arial" w:hAnsi="Arial"/>
                <w:color w:val="1A1A1A"/>
                <w:sz w:val="21"/>
                <w:szCs w:val="21"/>
              </w:rPr>
              <w:t xml:space="preserve">Establish an independent oversight body for the AI monetary management system. Seven commissioners serving 14-year staggered terms. Financial sector barred: no commissioner may have held a financial institution position within 10 years of appointment, or for 10 years following. Authority: preemptive suspension power, plain-language quarterly public reporting, circuit breaker Mode 3 trigger, federal court standing as intergenerational trustee. The Commission must exist before the system it oversees goes live.</w:t>
            </w:r>
          </w:p>
        </w:tc>
      </w:tr>
    </w:tbl>
    <w:p>
      <w:pPr>
        <w:spacing w:after="0" w:before="200"/>
      </w:pPr>
      <w:r>
        <w:t xml:space="preserve"/>
      </w:r>
    </w:p>
    <w:p>
      <w:r>
        <w:br w:type="page"/>
      </w:r>
    </w:p>
    <w:p>
      <w:pPr>
        <w:pStyle w:val="Heading1"/>
        <w:pBdr>
          <w:bottom w:val="single" w:color="B8860B" w:sz="4"/>
        </w:pBdr>
        <w:spacing w:after="80" w:before="300"/>
      </w:pPr>
      <w:r>
        <w:rPr>
          <w:rFonts w:ascii="Arial" w:cs="Arial" w:eastAsia="Arial" w:hAnsi="Arial"/>
          <w:b/>
          <w:bCs/>
          <w:color w:val="1B3A5C"/>
          <w:sz w:val="28"/>
          <w:szCs w:val="28"/>
        </w:rPr>
        <w:t xml:space="preserve">IX. What Is at Stake</w:t>
      </w:r>
    </w:p>
    <w:p>
      <w:pPr>
        <w:spacing w:after="80" w:before="60"/>
      </w:pPr>
      <w:r>
        <w:rPr>
          <w:rFonts w:ascii="Arial" w:cs="Arial" w:eastAsia="Arial" w:hAnsi="Arial"/>
          <w:b w:val="false"/>
          <w:bCs w:val="false"/>
          <w:i w:val="false"/>
          <w:iCs w:val="false"/>
          <w:color w:val="1A1A1A"/>
          <w:sz w:val="22"/>
          <w:szCs w:val="22"/>
        </w:rPr>
        <w:t xml:space="preserve">The generation of Americans farming today, the hospitals running MRI machines today, the semiconductor plants fabricating chips for defense systems today — they are operating inside a supply chain disruption that is not going to resolve itself when the Iran crisis ends. The infrastructure being built to route around dollar-denominated settlement is permanent. The debt trajectory is structural. The tax base is mismatched to the economy it is taxing.</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Current Trajectory</w:t>
            </w:r>
          </w:p>
        </w:tc>
        <w:tc>
          <w:tcPr>
            <w:tcW w:type="dxa" w:w="4860"/>
            <w:tcBorders>
              <w:top w:val="single" w:color="1B3A5C" w:sz="6"/>
              <w:left w:val="single" w:color="1B3A5C" w:sz="6"/>
              <w:bottom w:val="single" w:color="1B3A5C" w:sz="6"/>
              <w:right w:val="single" w:color="1B3A5C" w:sz="6"/>
            </w:tcBorders>
            <w:shd w:fill="1B3A5C" w:val="clear"/>
            <w:tcMar>
              <w:top w:type="dxa" w:w="70"/>
              <w:left w:type="dxa" w:w="100"/>
              <w:bottom w:type="dxa" w:w="70"/>
              <w:right w:type="dxa" w:w="100"/>
            </w:tcMar>
          </w:tcPr>
          <w:p>
            <w:r>
              <w:rPr>
                <w:rFonts w:ascii="Arial" w:cs="Arial" w:eastAsia="Arial" w:hAnsi="Arial"/>
                <w:b/>
                <w:bCs/>
                <w:color w:val="FFFFFF"/>
                <w:sz w:val="20"/>
                <w:szCs w:val="20"/>
              </w:rPr>
              <w:t xml:space="preserve">With This Reform</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Fertilizer costs spike with every energy disruption. Farm income volatile. Food prices follow.</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Domestic ammonia production capacity built via conditional rebate. Supply chain resilience funded through district investment.</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Helium supply dependent on Qatar and Russia. Federal reserve sold off. No buffer.</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Non-dollar clearing protection ensures helium flows regardless of sanctions state. Domestic recovery infrastructure funded.</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Alternative settlement rails permanent by 2027. Dollar reserve status non-restorable.</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Fiscal credibility demonstrated before lock-in point. Productive capital attracted by healthcare and income security. Speculative churn dampened.</w:t>
            </w:r>
          </w:p>
        </w:tc>
      </w:tr>
      <w:tr>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Debt service crowds out defense, infrastructure, and social programs simultaneously.</w:t>
            </w:r>
          </w:p>
        </w:tc>
        <w:tc>
          <w:tcPr>
            <w:tcW w:type="dxa" w:w="4860"/>
            <w:tcBorders>
              <w:top w:val="single" w:color="CCCCCC" w:sz="6"/>
              <w:left w:val="single" w:color="CCCCCC" w:sz="6"/>
              <w:bottom w:val="single" w:color="CCCCCC" w:sz="6"/>
              <w:right w:val="single" w:color="CCCCCC" w:sz="6"/>
            </w:tcBorders>
            <w:shd w:fill="F5F5F5" w:val="clear"/>
            <w:tcMar>
              <w:top w:type="dxa" w:w="70"/>
              <w:left w:type="dxa" w:w="100"/>
              <w:bottom w:type="dxa" w:w="70"/>
              <w:right w:type="dxa" w:w="100"/>
            </w:tcMar>
          </w:tcPr>
          <w:p>
            <w:r>
              <w:rPr>
                <w:rFonts w:ascii="Arial" w:cs="Arial" w:eastAsia="Arial" w:hAnsi="Arial"/>
                <w:color w:val="1A1A1A"/>
                <w:sz w:val="20"/>
                <w:szCs w:val="20"/>
              </w:rPr>
              <w:t xml:space="preserve">Surplus revenue above social programs reduces sovereign debt structurally. Borrowing costs fall.</w:t>
            </w:r>
          </w:p>
        </w:tc>
      </w:tr>
      <w:tr>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Workers chained to employers by healthcare. Small businesses crushed by compliance. HFT pays near zero.</w:t>
            </w:r>
          </w:p>
        </w:tc>
        <w:tc>
          <w:tcPr>
            <w:tcW w:type="dxa" w:w="486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rFonts w:ascii="Arial" w:cs="Arial" w:eastAsia="Arial" w:hAnsi="Arial"/>
                <w:color w:val="1A1A1A"/>
                <w:sz w:val="20"/>
                <w:szCs w:val="20"/>
              </w:rPr>
              <w:t xml:space="preserve">Universal healthcare eliminates job-lock. 97% tax reduction for small businesses. HFT pays in proportion to transaction volume.</w:t>
            </w:r>
          </w:p>
        </w:tc>
      </w:tr>
    </w:tbl>
    <w:p>
      <w:pPr>
        <w:spacing w:after="0" w:before="120"/>
      </w:pPr>
      <w:r>
        <w:t xml:space="preserve"/>
      </w:r>
    </w:p>
    <w:p>
      <w:pPr>
        <w:spacing w:after="80" w:before="60"/>
      </w:pPr>
      <w:r>
        <w:rPr>
          <w:rFonts w:ascii="Arial" w:cs="Arial" w:eastAsia="Arial" w:hAnsi="Arial"/>
          <w:b w:val="false"/>
          <w:bCs w:val="false"/>
          <w:i w:val="false"/>
          <w:iCs w:val="false"/>
          <w:color w:val="1A1A1A"/>
          <w:sz w:val="22"/>
          <w:szCs w:val="22"/>
        </w:rPr>
        <w:t xml:space="preserve">This is not a long-horizon problem. The Strait of Hormuz is closed now. The settlement rails are being built now. The planting season is this spring. The window in which structural fiscal reform can prevent permanent de-dollarization is measured in months, not years.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velocity tax is the instrument that matches the tax base to the economy that exists today. The American Productivity Dividend is the instrument that makes the United States genuinely attractive to the productive capital the world needs to park somewhere. Together, they are the fiscal reform this moment requires.</w:t>
      </w:r>
    </w:p>
    <w:p>
      <w:pPr>
        <w:spacing w:after="0" w:before="120"/>
      </w:pPr>
      <w:r>
        <w:t xml:space="preserve"/>
      </w:r>
    </w:p>
    <w:p>
      <w:pPr>
        <w:spacing w:before="60"/>
      </w:pPr>
      <w:r>
        <w:rPr>
          <w:rFonts w:ascii="Arial" w:cs="Arial" w:eastAsia="Arial" w:hAnsi="Arial"/>
          <w:i/>
          <w:iCs/>
          <w:color w:val="555555"/>
          <w:sz w:val="16"/>
          <w:szCs w:val="16"/>
        </w:rPr>
        <w:t xml:space="preserve">Velocity tax derivation: Michael Fox, 1989. Independent parallel derivation: Edgar L. Feige (University of Wisconsin–Madison), 2000. April 5,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Dollar Stability in a World at War  •  Legislative Brief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pBdr>
      <w:tabs>
        <w:tab w:val="right" w:pos="9026"/>
      </w:tabs>
      <w:spacing w:after="80" w:before="0"/>
    </w:pPr>
    <w:r>
      <w:rPr>
        <w:rFonts w:ascii="Arial" w:cs="Arial" w:eastAsia="Arial" w:hAnsi="Arial"/>
        <w:color w:val="1B3A5C"/>
        <w:sz w:val="16"/>
        <w:szCs w:val="16"/>
      </w:rPr>
      <w:t xml:space="preserve">DOLLAR STABILITY IN A WORLD AT WAR  |  LEGISLATIVE BRIEF</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2026-04-05T17:13:45.880Z</dcterms:created>
  <dcterms:modified xsi:type="dcterms:W3CDTF">2026-04-05T17:13:45.880Z</dcterms:modified>
</cp:coreProperties>
</file>

<file path=docProps/custom.xml><?xml version="1.0" encoding="utf-8"?>
<Properties xmlns="http://schemas.openxmlformats.org/officeDocument/2006/custom-properties" xmlns:vt="http://schemas.openxmlformats.org/officeDocument/2006/docPropsVTypes"/>
</file>