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360"/>
              <w:left w:type="dxa" w:w="480"/>
              <w:bottom w:type="dxa" w:w="360"/>
              <w:right w:type="dxa" w:w="480"/>
            </w:tcMar>
          </w:tcPr>
          <w:p>
            <w:pPr>
              <w:jc w:val="center"/>
            </w:pPr>
            <w:r>
              <w:rPr>
                <w:rFonts w:ascii="Arial" w:cs="Arial" w:eastAsia="Arial" w:hAnsi="Arial"/>
                <w:b/>
                <w:bCs/>
                <w:color w:val="B8860B"/>
                <w:sz w:val="20"/>
                <w:szCs w:val="20"/>
              </w:rPr>
              <w:t xml:space="preserve">FISCAL STABILITY BRIEF</w:t>
            </w:r>
          </w:p>
          <w:p>
            <w:pPr>
              <w:spacing w:before="120"/>
              <w:jc w:val="center"/>
            </w:pPr>
            <w:r>
              <w:rPr>
                <w:rFonts w:ascii="Arial" w:cs="Arial" w:eastAsia="Arial" w:hAnsi="Arial"/>
                <w:b/>
                <w:bCs/>
                <w:color w:val="FFFFFF"/>
                <w:sz w:val="36"/>
                <w:szCs w:val="36"/>
              </w:rPr>
              <w:t xml:space="preserve">Stabilizing the Dollar in a World at War:</w:t>
            </w:r>
          </w:p>
          <w:p>
            <w:pPr>
              <w:spacing w:after="60" w:before="60"/>
              <w:jc w:val="center"/>
            </w:pPr>
            <w:r>
              <w:rPr>
                <w:rFonts w:ascii="Arial" w:cs="Arial" w:eastAsia="Arial" w:hAnsi="Arial"/>
                <w:b/>
                <w:bCs/>
                <w:color w:val="FFFFFF"/>
                <w:sz w:val="36"/>
                <w:szCs w:val="36"/>
              </w:rPr>
              <w:t xml:space="preserve">The Case for Velocity Taxation</w:t>
            </w:r>
          </w:p>
          <w:p>
            <w:pPr>
              <w:pBdr>
                <w:top w:val="single" w:color="B8860B" w:sz="4"/>
              </w:pBdr>
              <w:spacing w:before="120"/>
              <w:jc w:val="center"/>
            </w:pPr>
            <w:r>
              <w:rPr>
                <w:rFonts w:ascii="Arial" w:cs="Arial" w:eastAsia="Arial" w:hAnsi="Arial"/>
                <w:i/>
                <w:iCs/>
                <w:color w:val="B8860B"/>
                <w:sz w:val="20"/>
                <w:szCs w:val="20"/>
              </w:rPr>
              <w:t xml:space="preserve">A Legislative Brief for the United States Congress  |  April 5, 2026</w:t>
            </w:r>
          </w:p>
        </w:tc>
      </w:tr>
    </w:tbl>
    <w:p>
      <w:pPr>
        <w:spacing w:after="0" w:before="2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single" w:color="B8860B" w:sz="6"/>
              <w:bottom w:val="none" w:color="FFFFFF" w:sz="0"/>
              <w:right w:val="none" w:color="FFFFFF" w:sz="0"/>
            </w:tcBorders>
            <w:shd w:fill="F5F0E0" w:val="clear"/>
            <w:tcMar>
              <w:top w:type="dxa" w:w="100"/>
              <w:left w:type="dxa" w:w="240"/>
              <w:bottom w:type="dxa" w:w="100"/>
              <w:right w:type="dxa" w:w="240"/>
            </w:tcMar>
          </w:tcPr>
          <w:p>
            <w:r>
              <w:rPr>
                <w:rFonts w:ascii="Arial" w:cs="Arial" w:eastAsia="Arial" w:hAnsi="Arial"/>
                <w:b/>
                <w:bCs/>
                <w:color w:val="1B3A5C"/>
                <w:sz w:val="20"/>
                <w:szCs w:val="20"/>
              </w:rPr>
              <w:t xml:space="preserve">COMPANION DOCUMENT: </w:t>
            </w:r>
            <w:r>
              <w:rPr>
                <w:rFonts w:ascii="Arial" w:cs="Arial" w:eastAsia="Arial" w:hAnsi="Arial"/>
                <w:i/>
                <w:iCs/>
                <w:color w:val="555555"/>
                <w:sz w:val="20"/>
                <w:szCs w:val="20"/>
              </w:rPr>
              <w:t xml:space="preserve">This brief is a companion to the </w:t>
            </w:r>
            <w:r>
              <w:rPr>
                <w:rFonts w:ascii="Arial" w:cs="Arial" w:eastAsia="Arial" w:hAnsi="Arial"/>
                <w:i/>
                <w:iCs/>
                <w:color w:val="1B3A5C"/>
                <w:sz w:val="20"/>
                <w:szCs w:val="20"/>
              </w:rPr>
              <w:t xml:space="preserve">Seventh Generation Brief on the 2026 Iran Conflict</w:t>
            </w:r>
            <w:r>
              <w:rPr>
                <w:rFonts w:ascii="Arial" w:cs="Arial" w:eastAsia="Arial" w:hAnsi="Arial"/>
                <w:i/>
                <w:iCs/>
                <w:color w:val="555555"/>
                <w:sz w:val="20"/>
                <w:szCs w:val="20"/>
              </w:rPr>
              <w:t xml:space="preserve"> (April 4, 2026), which covers helium, fertilizer, and geopolitical lock-ins. That document establishes the crisis. This document addresses the fiscal architecture required to survive it.</w:t>
            </w:r>
          </w:p>
        </w:tc>
      </w:tr>
    </w:tbl>
    <w:p>
      <w:pPr>
        <w:spacing w:after="0" w:before="200"/>
      </w:pPr>
      <w:r>
        <w:t xml:space="preserve"/>
      </w:r>
    </w:p>
    <w:p>
      <w:pPr>
        <w:spacing w:after="80" w:before="360"/>
      </w:pPr>
      <w:r>
        <w:rPr>
          <w:rFonts w:ascii="Arial" w:cs="Arial" w:eastAsia="Arial" w:hAnsi="Arial"/>
          <w:b/>
          <w:bCs/>
          <w:color w:val="B8860B"/>
          <w:sz w:val="20"/>
          <w:szCs w:val="20"/>
        </w:rPr>
        <w:t xml:space="preserve">ABOUT THIS DOCUMENT</w:t>
      </w:r>
    </w:p>
    <w:p>
      <w:pPr>
        <w:spacing w:after="120" w:before="80"/>
      </w:pPr>
      <w:r>
        <w:rPr>
          <w:rFonts w:ascii="Arial" w:cs="Arial" w:eastAsia="Arial" w:hAnsi="Arial"/>
          <w:b w:val="false"/>
          <w:bCs w:val="false"/>
          <w:i w:val="false"/>
          <w:iCs w:val="false"/>
          <w:color w:val="1A1A1A"/>
          <w:sz w:val="22"/>
          <w:szCs w:val="22"/>
        </w:rPr>
        <w:t xml:space="preserve">The 2026 Iran conflict has catalyzed three simultaneous irreversible crises: the helium supply severed, the fertilizer chain broken, and — most consequentially for long-term American sovereignty — the dollar's reserve status accelerating toward structural erosion. The companion brief addresses the first two. This brief addresses the third.</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The dollar problem is different in kind from the resource problems. Helium and fertilizer are lost because of physical geography and military decisions. The dollar is eroding because of a structural fiscal failure that predates the Iran conflict by decades — one that the conflict has merely accelerated. And unlike helium, which once lost to the atmosphere is permanently gone, the dollar's structural position can be rebuilt. But only if the fiscal instrument used to rebuild it matches the scale of the economy it is trying to stabilize.</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This brief presents an independent derivation of velocity taxation — developed by Michael Fox in 1989 from Milton Friedman's quantity theory of money — as that instrument. It connects the mechanics of the tax directly to the dollar stabilization problem the 2026 crisis has made urgent. And it presents a legislative action plan for Congress.</w:t>
      </w:r>
    </w:p>
    <w:p>
      <w:pPr>
        <w:spacing w:after="0" w:before="200"/>
      </w:pPr>
      <w:r>
        <w:t xml:space="preserve"/>
      </w:r>
    </w:p>
    <w:p>
      <w:pPr>
        <w:pStyle w:val="Heading1"/>
        <w:pBdr>
          <w:bottom w:val="single" w:color="B8860B" w:sz="4"/>
        </w:pBdr>
        <w:spacing w:after="120" w:before="360"/>
      </w:pPr>
      <w:r>
        <w:rPr>
          <w:rFonts w:ascii="Arial" w:cs="Arial" w:eastAsia="Arial" w:hAnsi="Arial"/>
          <w:b/>
          <w:bCs/>
          <w:color w:val="1B3A5C"/>
          <w:sz w:val="28"/>
          <w:szCs w:val="28"/>
        </w:rPr>
        <w:t xml:space="preserve">Executive Summary</w:t>
      </w:r>
    </w:p>
    <w:p>
      <w:pPr>
        <w:spacing w:after="120" w:before="80"/>
      </w:pPr>
      <w:r>
        <w:rPr>
          <w:rFonts w:ascii="Arial" w:cs="Arial" w:eastAsia="Arial" w:hAnsi="Arial"/>
          <w:b w:val="false"/>
          <w:bCs w:val="false"/>
          <w:i w:val="false"/>
          <w:iCs w:val="false"/>
          <w:color w:val="1A1A1A"/>
          <w:sz w:val="22"/>
          <w:szCs w:val="22"/>
        </w:rPr>
        <w:t xml:space="preserve">The United States dollar is losing reserve status for two reinforcing reasons. The first is tactical: repeated use of financial infrastructure as a weapon against essential civilian resources has demonstrated to allied and neutral nations that dollar-denominated trade carries confiscation risk. The second is structural: the US has accumulated debt at a scale that cannot be serviced sustainably from an income-based tax system calibrated to a 20th-century productive economy.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Iran now accepts yuan for Strait passage. South Korea, Japan, and Europe are quietly building settlement systems that do not require SWIFT. The window to prevent this from becoming permanent infrastructure is closing.</w:t>
            </w:r>
          </w:p>
        </w:tc>
      </w:tr>
    </w:tbl>
    <w:p>
      <w:pPr>
        <w:spacing w:after="0" w:before="120"/>
      </w:pPr>
      <w:r>
        <w:t xml:space="preserve"/>
      </w:r>
    </w:p>
    <w:p>
      <w:pPr>
        <w:spacing w:after="120" w:before="80"/>
      </w:pPr>
      <w:r>
        <w:rPr>
          <w:rFonts w:ascii="Arial" w:cs="Arial" w:eastAsia="Arial" w:hAnsi="Arial"/>
          <w:b w:val="false"/>
          <w:bCs w:val="false"/>
          <w:i w:val="false"/>
          <w:iCs w:val="false"/>
          <w:color w:val="1A1A1A"/>
          <w:sz w:val="22"/>
          <w:szCs w:val="22"/>
        </w:rPr>
        <w:t xml:space="preserve">The velocity tax addresses the structural problem directly. It does not tax income, consumption, or wealth. It taxes the path integral of monetary movement through the economy — every transaction clearing through the banking system, at a flat rate of 0.25–0.7%. Because financial transaction volume is orders of magnitude larger than GDP, the rate required to fund government is a tiny fraction of what income taxes demand. Revenue is sufficient not only to replace existing taxes but to mandate structural debt paydown — which stabilizes the dollar from the fiscal side, independent of monetary policy.</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The dynamic rate variant — where the rate rises automatically with excess financial velocity and falls at baseline — transforms the instrument from a revenue tool into a monetary stabilization control system. Applied to the current crisis: it would simultaneously generate the revenue to reduce sovereign debt, apply friction to the speculative flows that have already priced dollar instability into global currency markets, and leave productive transactions — manufacturing, agriculture, infrastructure — at minimum rates.</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This proposal was derived independently in 1989 from Friedman’s equation. A parallel derivation by Professor Edgar Feige (University of Wisconsin-Madison) appeared in 2000. Two independent lines of reasoning converging on the same instrument is evidence that this is not a policy preference but a structural recognition: the economy has changed, the tax base has moved, and revenue collection anchored to 20th-century income taxation is insufficient to fund the institutions required to maintain 21st-century sovereignty.</w:t>
      </w:r>
    </w:p>
    <w:p>
      <w:r>
        <w:br w:type="page"/>
      </w:r>
    </w:p>
    <w:p>
      <w:pPr>
        <w:pStyle w:val="Heading1"/>
        <w:pBdr>
          <w:bottom w:val="single" w:color="B8860B" w:sz="4"/>
        </w:pBdr>
        <w:spacing w:after="120" w:before="360"/>
      </w:pPr>
      <w:r>
        <w:rPr>
          <w:rFonts w:ascii="Arial" w:cs="Arial" w:eastAsia="Arial" w:hAnsi="Arial"/>
          <w:b/>
          <w:bCs/>
          <w:color w:val="1B3A5C"/>
          <w:sz w:val="28"/>
          <w:szCs w:val="28"/>
        </w:rPr>
        <w:t xml:space="preserve">I. The Dollar Under Pressure: What the Iran Conflict Accelerated</w:t>
      </w:r>
    </w:p>
    <w:p>
      <w:pPr>
        <w:spacing w:after="120" w:before="80"/>
      </w:pPr>
      <w:r>
        <w:rPr>
          <w:rFonts w:ascii="Arial" w:cs="Arial" w:eastAsia="Arial" w:hAnsi="Arial"/>
          <w:b w:val="false"/>
          <w:bCs w:val="false"/>
          <w:i w:val="false"/>
          <w:iCs w:val="false"/>
          <w:color w:val="1A1A1A"/>
          <w:sz w:val="22"/>
          <w:szCs w:val="22"/>
        </w:rPr>
        <w:t xml:space="preserve">The dollar’s reserve status is not an entitlement. It is a preference held by the rest of the world, which persists only as long as the dollar is the most reliable, most liquid, and least politically weaponized medium for international settlement. All three of these foundations are under stress simultaneously.</w:t>
      </w:r>
    </w:p>
    <w:p>
      <w:pPr>
        <w:spacing w:after="0" w:before="80"/>
      </w:pPr>
      <w:r>
        <w:t xml:space="preserve"/>
      </w:r>
    </w:p>
    <w:p>
      <w:pPr>
        <w:spacing w:after="80" w:before="240"/>
      </w:pPr>
      <w:r>
        <w:rPr>
          <w:rFonts w:ascii="Arial" w:cs="Arial" w:eastAsia="Arial" w:hAnsi="Arial"/>
          <w:b/>
          <w:bCs/>
          <w:color w:val="1B3A5C"/>
          <w:sz w:val="24"/>
          <w:szCs w:val="24"/>
        </w:rPr>
        <w:t xml:space="preserve">The Tactical Damage: Weaponization and Trust</w:t>
      </w:r>
    </w:p>
    <w:p>
      <w:pPr>
        <w:spacing w:after="120" w:before="80"/>
      </w:pPr>
      <w:r>
        <w:rPr>
          <w:rFonts w:ascii="Arial" w:cs="Arial" w:eastAsia="Arial" w:hAnsi="Arial"/>
          <w:b w:val="false"/>
          <w:bCs w:val="false"/>
          <w:i w:val="false"/>
          <w:iCs w:val="false"/>
          <w:color w:val="1A1A1A"/>
          <w:sz w:val="22"/>
          <w:szCs w:val="22"/>
        </w:rPr>
        <w:t xml:space="preserve">Each time the United States uses the SWIFT system, Treasury sanctions, or dollar-denominated commodity pricing to restrict the flow of essential civilian goods, it provides every other nation with empirical evidence that dollar-denominated trade is politically contingent. This is not theoretical.</w:t>
      </w:r>
    </w:p>
    <w:p>
      <w:pPr>
        <w:spacing w:after="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Iran now accepts yuan for passage through the Strait of Hormuz. This is not a protest gesture. It is operational infrastructure.</w:t>
      </w:r>
    </w:p>
    <w:p>
      <w:pPr>
        <w:pStyle w:val="ListParagraph"/>
        <w:numPr>
          <w:ilvl w:val="0"/>
          <w:numId w:val="2"/>
        </w:numPr>
        <w:spacing w:after="40" w:before="40"/>
      </w:pPr>
      <w:r>
        <w:rPr>
          <w:rFonts w:ascii="Arial" w:cs="Arial" w:eastAsia="Arial" w:hAnsi="Arial"/>
          <w:color w:val="1A1A1A"/>
          <w:sz w:val="22"/>
          <w:szCs w:val="22"/>
        </w:rPr>
        <w:t xml:space="preserve">Japan and South Korea — two of the closest US allies in the Pacific — are quietly building settlement mechanisms that route around SWIFT for energy and helium purchases. They have no choice: their economies require these goods and the dollar corridor is blocked.</w:t>
      </w:r>
    </w:p>
    <w:p>
      <w:pPr>
        <w:pStyle w:val="ListParagraph"/>
        <w:numPr>
          <w:ilvl w:val="0"/>
          <w:numId w:val="2"/>
        </w:numPr>
        <w:spacing w:after="40" w:before="40"/>
      </w:pPr>
      <w:r>
        <w:rPr>
          <w:rFonts w:ascii="Arial" w:cs="Arial" w:eastAsia="Arial" w:hAnsi="Arial"/>
          <w:color w:val="1A1A1A"/>
          <w:sz w:val="22"/>
          <w:szCs w:val="22"/>
        </w:rPr>
        <w:t xml:space="preserve">Europe’s prior INSTEX mechanism, built to transact with Iran in euros, demonstrated both that alternative clearing is technically feasible and that the political will to use it grows with each sanctions episode.</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Once this alternative infrastructure is built, it does not revert. The Suez Crisis of 1956 is the precise historical parallel: Britain attacked Egypt against US wishes, achieved military success, and was forced into permanent withdrawal within weeks — its reserve currency status destroyed in months. The critical difference in 2026: there is no external power with the standing and interest to impose the correction. The damage will compound until it becomes transformation.</w:t>
      </w:r>
    </w:p>
    <w:p>
      <w:pPr>
        <w:spacing w:after="0" w:before="80"/>
      </w:pPr>
      <w:r>
        <w:t xml:space="preserve"/>
      </w:r>
    </w:p>
    <w:p>
      <w:pPr>
        <w:spacing w:after="80" w:before="240"/>
      </w:pPr>
      <w:r>
        <w:rPr>
          <w:rFonts w:ascii="Arial" w:cs="Arial" w:eastAsia="Arial" w:hAnsi="Arial"/>
          <w:b/>
          <w:bCs/>
          <w:color w:val="1B3A5C"/>
          <w:sz w:val="24"/>
          <w:szCs w:val="24"/>
        </w:rPr>
        <w:t xml:space="preserve">The Structural Damage: Debt That Cannot Be Serviced</w:t>
      </w:r>
    </w:p>
    <w:p>
      <w:pPr>
        <w:spacing w:after="120" w:before="80"/>
      </w:pPr>
      <w:r>
        <w:rPr>
          <w:rFonts w:ascii="Arial" w:cs="Arial" w:eastAsia="Arial" w:hAnsi="Arial"/>
          <w:b w:val="false"/>
          <w:bCs w:val="false"/>
          <w:i w:val="false"/>
          <w:iCs w:val="false"/>
          <w:color w:val="1A1A1A"/>
          <w:sz w:val="22"/>
          <w:szCs w:val="22"/>
        </w:rPr>
        <w:t xml:space="preserve">The tactical damage is accelerating a structural problem that has been building for 50 years. The United States federal debt now exceeds $36 trillion. At current interest rates, debt service is the fastest-growing line in the federal budget — already crowding out defense, infrastructure, and social programs simultaneously.</w:t>
      </w:r>
    </w:p>
    <w:p>
      <w:pPr>
        <w:spacing w:after="0" w:before="60"/>
      </w:pPr>
      <w:r>
        <w:t xml:space="preserve"/>
      </w:r>
    </w:p>
    <w:p>
      <w:pPr>
        <w:spacing w:after="120" w:before="80"/>
      </w:pPr>
      <w:r>
        <w:rPr>
          <w:rFonts w:ascii="Arial" w:cs="Arial" w:eastAsia="Arial" w:hAnsi="Arial"/>
          <w:b w:val="false"/>
          <w:bCs w:val="false"/>
          <w:i w:val="false"/>
          <w:iCs w:val="false"/>
          <w:color w:val="1A1A1A"/>
          <w:sz w:val="22"/>
          <w:szCs w:val="22"/>
        </w:rPr>
        <w:t xml:space="preserve">The income tax system cannot solve this. Income tax is procyclical: in recessions, incomes fall, revenues collapse precisely when government needs money most. Every major financial crisis produces a simultaneous fiscal crisis. The debt compounds because the instrument used to service it is structurally weakest when debt pressure is highest. This is not a political failure. It is a design failure.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The dollar’s long-term degradation since 1967 is inseparable from the debt accumulation over the same period. Address the debt structurally and you address the dollar structurally.</w:t>
            </w:r>
          </w:p>
        </w:tc>
      </w:tr>
    </w:tbl>
    <w:p>
      <w:pPr>
        <w:spacing w:after="0" w:before="120"/>
      </w:pPr>
      <w:r>
        <w:t xml:space="preserve"/>
      </w:r>
    </w:p>
    <w:p>
      <w:pPr>
        <w:pStyle w:val="Heading1"/>
        <w:pBdr>
          <w:bottom w:val="single" w:color="B8860B" w:sz="4"/>
        </w:pBdr>
        <w:spacing w:after="120" w:before="360"/>
      </w:pPr>
      <w:r>
        <w:rPr>
          <w:rFonts w:ascii="Arial" w:cs="Arial" w:eastAsia="Arial" w:hAnsi="Arial"/>
          <w:b/>
          <w:bCs/>
          <w:color w:val="1B3A5C"/>
          <w:sz w:val="28"/>
          <w:szCs w:val="28"/>
        </w:rPr>
        <w:t xml:space="preserve">II. The Economy Has Changed — The Tax Base Has Not</w:t>
      </w:r>
    </w:p>
    <w:p>
      <w:pPr>
        <w:spacing w:after="120" w:before="80"/>
      </w:pPr>
      <w:r>
        <w:rPr>
          <w:rFonts w:ascii="Arial" w:cs="Arial" w:eastAsia="Arial" w:hAnsi="Arial"/>
          <w:b w:val="false"/>
          <w:bCs w:val="false"/>
          <w:i w:val="false"/>
          <w:iCs w:val="false"/>
          <w:color w:val="1A1A1A"/>
          <w:sz w:val="22"/>
          <w:szCs w:val="22"/>
        </w:rPr>
        <w:t xml:space="preserve">Milton Friedman’s equation of exchange is taught in every introductory economics course: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E8EEF4" w:val="clear"/>
            <w:tcMar>
              <w:top w:type="dxa" w:w="160"/>
              <w:left w:type="dxa" w:w="480"/>
              <w:bottom w:type="dxa" w:w="160"/>
              <w:right w:type="dxa" w:w="480"/>
            </w:tcMar>
          </w:tcPr>
          <w:p>
            <w:pPr>
              <w:jc w:val="center"/>
            </w:pPr>
            <w:r>
              <w:rPr>
                <w:rFonts w:ascii="Arial" w:cs="Arial" w:eastAsia="Arial" w:hAnsi="Arial"/>
                <w:b/>
                <w:bCs/>
                <w:color w:val="1B3A5C"/>
                <w:sz w:val="40"/>
                <w:szCs w:val="40"/>
              </w:rPr>
              <w:t xml:space="preserve">MV = PQ</w:t>
            </w:r>
          </w:p>
          <w:p>
            <w:pPr>
              <w:spacing w:before="80"/>
              <w:jc w:val="center"/>
            </w:pPr>
            <w:r>
              <w:rPr>
                <w:rFonts w:ascii="Arial" w:cs="Arial" w:eastAsia="Arial" w:hAnsi="Arial"/>
                <w:color w:val="555555"/>
                <w:sz w:val="18"/>
                <w:szCs w:val="18"/>
              </w:rPr>
              <w:t xml:space="preserve">M = money supply  •  V = velocity of money  •  P = price level  •  Q = real output</w:t>
            </w:r>
          </w:p>
        </w:tc>
      </w:tr>
    </w:tbl>
    <w:p>
      <w:pPr>
        <w:spacing w:after="0" w:before="120"/>
      </w:pPr>
      <w:r>
        <w:t xml:space="preserve"/>
      </w:r>
    </w:p>
    <w:p>
      <w:pPr>
        <w:spacing w:after="120" w:before="80"/>
      </w:pPr>
      <w:r>
        <w:rPr>
          <w:rFonts w:ascii="Arial" w:cs="Arial" w:eastAsia="Arial" w:hAnsi="Arial"/>
          <w:b w:val="false"/>
          <w:bCs w:val="false"/>
          <w:i w:val="false"/>
          <w:iCs w:val="false"/>
          <w:color w:val="1A1A1A"/>
          <w:sz w:val="22"/>
          <w:szCs w:val="22"/>
        </w:rPr>
        <w:t xml:space="preserve">Policy in the 1980s was focused almost entirely on M — how much money the Fed should create. The productive economy debated PQ — how to stimulate real output. The variable V was treated as stable background noise.</w:t>
      </w:r>
    </w:p>
    <w:p>
      <w:pPr>
        <w:spacing w:after="0" w:before="60"/>
      </w:pPr>
      <w:r>
        <w:t xml:space="preserve"/>
      </w:r>
    </w:p>
    <w:p>
      <w:pPr>
        <w:spacing w:after="120" w:before="80"/>
      </w:pPr>
      <w:r>
        <w:rPr>
          <w:rFonts w:ascii="Arial" w:cs="Arial" w:eastAsia="Arial" w:hAnsi="Arial"/>
          <w:b w:val="false"/>
          <w:bCs w:val="false"/>
          <w:i w:val="false"/>
          <w:iCs w:val="false"/>
          <w:color w:val="1A1A1A"/>
          <w:sz w:val="22"/>
          <w:szCs w:val="22"/>
        </w:rPr>
        <w:t xml:space="preserve">It was not stable. And the gap between V and Q has grown exponentially since. High-frequency trading systems now execute millions of transactions per second. Derivatives, futures, equity trades, currency swaps, synthetic instruments — all of this is V, not Q. The same dollar can move through dozens of exchange transactions in a single day, never touching a physical good or human service.</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The productive economy — the GDP — is large but bounded. Financial transaction volume is not. In any modern economy with active exchanges, the path integral of monetary movement — the total accumulated distance money travels — exceeds GDP by orders of magnitude.</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Every existing tax is anchored to the productive economy. Income taxes, capital gains taxes, corporate taxes, sales taxes: all calibrated to Q, not V. They collectively ignore the vast majority of economic activity occurring in the financial layer above the productive one.</w:t>
      </w:r>
    </w:p>
    <w:p>
      <w:pPr>
        <w:spacing w:after="0" w:before="200"/>
      </w:pPr>
      <w:r>
        <w:t xml:space="preserve"/>
      </w:r>
    </w:p>
    <w:p>
      <w:r>
        <w:br w:type="page"/>
      </w:r>
    </w:p>
    <w:p>
      <w:pPr>
        <w:pStyle w:val="Heading1"/>
        <w:pBdr>
          <w:bottom w:val="single" w:color="B8860B" w:sz="4"/>
        </w:pBdr>
        <w:spacing w:after="120" w:before="360"/>
      </w:pPr>
      <w:r>
        <w:rPr>
          <w:rFonts w:ascii="Arial" w:cs="Arial" w:eastAsia="Arial" w:hAnsi="Arial"/>
          <w:b/>
          <w:bCs/>
          <w:color w:val="1B3A5C"/>
          <w:sz w:val="28"/>
          <w:szCs w:val="28"/>
        </w:rPr>
        <w:t xml:space="preserve">III. The Velocity Tax: Structure and Mechanics</w:t>
      </w:r>
    </w:p>
    <w:p>
      <w:pPr>
        <w:spacing w:after="120" w:before="80"/>
      </w:pPr>
      <w:r>
        <w:rPr>
          <w:rFonts w:ascii="Arial" w:cs="Arial" w:eastAsia="Arial" w:hAnsi="Arial"/>
          <w:b w:val="false"/>
          <w:bCs w:val="false"/>
          <w:i w:val="false"/>
          <w:iCs w:val="false"/>
          <w:color w:val="1A1A1A"/>
          <w:sz w:val="22"/>
          <w:szCs w:val="22"/>
        </w:rPr>
        <w:t xml:space="preserve">The core insight is a shift in what is taxed: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Every existing tax taxes the derivative. The velocity tax taxes the integral.</w:t>
            </w:r>
          </w:p>
        </w:tc>
      </w:tr>
    </w:tbl>
    <w:p>
      <w:pPr>
        <w:spacing w:after="0" w:before="120"/>
      </w:pPr>
      <w:r>
        <w:t xml:space="preserve"/>
      </w:r>
    </w:p>
    <w:p>
      <w:pPr>
        <w:spacing w:after="120" w:before="80"/>
      </w:pPr>
      <w:r>
        <w:rPr>
          <w:rFonts w:ascii="Arial" w:cs="Arial" w:eastAsia="Arial" w:hAnsi="Arial"/>
          <w:b w:val="false"/>
          <w:bCs w:val="false"/>
          <w:i w:val="false"/>
          <w:iCs w:val="false"/>
          <w:color w:val="1A1A1A"/>
          <w:sz w:val="22"/>
          <w:szCs w:val="22"/>
        </w:rPr>
        <w:t xml:space="preserve">Income tax measures the rate of change of money accumulating to a person — dollars per year, a derivative with respect to time. Capital gains tax measures the derivative of asset value. A sales tax taxes a point event — a specific moment of consumption.</w:t>
      </w:r>
    </w:p>
    <w:p>
      <w:pPr>
        <w:spacing w:after="0" w:before="60"/>
      </w:pPr>
      <w:r>
        <w:t xml:space="preserve"/>
      </w:r>
    </w:p>
    <w:p>
      <w:pPr>
        <w:spacing w:after="120" w:before="80"/>
      </w:pPr>
      <w:r>
        <w:rPr>
          <w:rFonts w:ascii="Arial" w:cs="Arial" w:eastAsia="Arial" w:hAnsi="Arial"/>
          <w:b w:val="false"/>
          <w:bCs w:val="false"/>
          <w:i w:val="false"/>
          <w:iCs w:val="false"/>
          <w:color w:val="1A1A1A"/>
          <w:sz w:val="22"/>
          <w:szCs w:val="22"/>
        </w:rPr>
        <w:t xml:space="preserve">The velocity tax taxes the path integral of monetary movement through the economy: the total accumulated distance money travels, regardless of direction, destination, or who ends up holding it. At any clearing event — any transaction processed through the banking system — a flat rate t is applied to the amount cleared.</w:t>
      </w:r>
    </w:p>
    <w:p>
      <w:pPr>
        <w:spacing w:after="0" w:before="80"/>
      </w:pPr>
      <w:r>
        <w:t xml:space="preserve"/>
      </w:r>
    </w:p>
    <w:p>
      <w:pPr>
        <w:spacing w:after="80" w:before="240"/>
      </w:pPr>
      <w:r>
        <w:rPr>
          <w:rFonts w:ascii="Arial" w:cs="Arial" w:eastAsia="Arial" w:hAnsi="Arial"/>
          <w:b/>
          <w:bCs/>
          <w:color w:val="1B3A5C"/>
          <w:sz w:val="24"/>
          <w:szCs w:val="24"/>
        </w:rPr>
        <w:t xml:space="preserve">What Each Tax Sees</w:t>
      </w:r>
    </w:p>
    <w:p>
      <w:pPr>
        <w:spacing w:after="120" w:before="80"/>
      </w:pPr>
      <w:r>
        <w:rPr>
          <w:rFonts w:ascii="Arial" w:cs="Arial" w:eastAsia="Arial" w:hAnsi="Arial"/>
          <w:b w:val="false"/>
          <w:bCs w:val="false"/>
          <w:i w:val="false"/>
          <w:iCs w:val="false"/>
          <w:color w:val="1A1A1A"/>
          <w:sz w:val="22"/>
          <w:szCs w:val="22"/>
        </w:rPr>
        <w:t xml:space="preserve">Consider a stock position traded one thousand times in a single day, with zero net change in price:</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120"/>
        <w:gridCol w:w="6600"/>
      </w:tblGrid>
      <w:tr>
        <w:tc>
          <w:tcPr>
            <w:tcW w:type="dxa" w:w="31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Tax Instrument</w:t>
            </w:r>
          </w:p>
        </w:tc>
        <w:tc>
          <w:tcPr>
            <w:tcW w:type="dxa" w:w="6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Sees</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Income Tax</w:t>
            </w:r>
          </w:p>
        </w:tc>
        <w:tc>
          <w:tcPr>
            <w:tcW w:type="dxa" w:w="6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No gain recognized, no taxable event.</w:t>
            </w:r>
          </w:p>
        </w:tc>
      </w:tr>
      <w:tr>
        <w:tc>
          <w:tcPr>
            <w:tcW w:type="dxa" w:w="312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val="false"/>
                <w:bCs w:val="false"/>
                <w:color w:val="1A1A1A"/>
                <w:sz w:val="20"/>
                <w:szCs w:val="20"/>
              </w:rPr>
              <w:t xml:space="preserve">Capital Gains Tax</w:t>
            </w:r>
          </w:p>
        </w:tc>
        <w:tc>
          <w:tcPr>
            <w:tcW w:type="dxa" w:w="66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The position is unchanged at end of day.</w:t>
            </w:r>
          </w:p>
        </w:tc>
      </w:tr>
      <w:tr>
        <w:tc>
          <w:tcPr>
            <w:tcW w:type="dxa" w:w="312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Sales Tax</w:t>
            </w:r>
          </w:p>
        </w:tc>
        <w:tc>
          <w:tcPr>
            <w:tcW w:type="dxa" w:w="6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No consumption of goods or services occurred.</w:t>
            </w:r>
          </w:p>
        </w:tc>
      </w:tr>
      <w:tr>
        <w:tc>
          <w:tcPr>
            <w:tcW w:type="dxa" w:w="312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1B3A5C"/>
                <w:sz w:val="20"/>
                <w:szCs w:val="20"/>
              </w:rPr>
              <w:t xml:space="preserve">Velocity Tax (Integral)</w:t>
            </w:r>
          </w:p>
        </w:tc>
        <w:tc>
          <w:tcPr>
            <w:tcW w:type="dxa" w:w="6600"/>
            <w:tcBorders>
              <w:top w:val="single" w:color="CCCCCC" w:sz="6"/>
              <w:left w:val="single" w:color="CCCCCC" w:sz="6"/>
              <w:bottom w:val="single" w:color="CCCCCC" w:sz="6"/>
              <w:right w:val="single" w:color="CCCCCC" w:sz="6"/>
            </w:tcBorders>
            <w:shd w:fill="E8EEF4" w:val="clear"/>
            <w:tcMar>
              <w:top w:type="dxa" w:w="80"/>
              <w:left w:type="dxa" w:w="120"/>
              <w:bottom w:type="dxa" w:w="80"/>
              <w:right w:type="dxa" w:w="120"/>
            </w:tcMar>
          </w:tcPr>
          <w:p>
            <w:r>
              <w:rPr>
                <w:rFonts w:ascii="Arial" w:cs="Arial" w:eastAsia="Arial" w:hAnsi="Arial"/>
                <w:b/>
                <w:bCs/>
                <w:color w:val="1B3A5C"/>
                <w:sz w:val="20"/>
                <w:szCs w:val="20"/>
              </w:rPr>
              <w:t xml:space="preserve">Two thousand transaction legs. An enormous accumulated path.</w:t>
            </w:r>
          </w:p>
        </w:tc>
      </w:tr>
    </w:tbl>
    <w:p>
      <w:pPr>
        <w:spacing w:after="0" w:before="160"/>
      </w:pPr>
      <w:r>
        <w:t xml:space="preserve"/>
      </w:r>
    </w:p>
    <w:p>
      <w:pPr>
        <w:spacing w:after="80" w:before="240"/>
      </w:pPr>
      <w:r>
        <w:rPr>
          <w:rFonts w:ascii="Arial" w:cs="Arial" w:eastAsia="Arial" w:hAnsi="Arial"/>
          <w:b/>
          <w:bCs/>
          <w:color w:val="1B3A5C"/>
          <w:sz w:val="24"/>
          <w:szCs w:val="24"/>
        </w:rPr>
        <w:t xml:space="preserve">Three Properties of the Integral</w:t>
      </w:r>
    </w:p>
    <w:p>
      <w:pPr>
        <w:spacing w:after="0" w:before="40"/>
      </w:pPr>
      <w:r>
        <w:t xml:space="preserve"/>
      </w:r>
    </w:p>
    <w:p>
      <w:pPr>
        <w:spacing w:after="120" w:before="80"/>
      </w:pPr>
      <w:r>
        <w:rPr>
          <w:rFonts w:ascii="Arial" w:cs="Arial" w:eastAsia="Arial" w:hAnsi="Arial"/>
          <w:b/>
          <w:bCs/>
          <w:i w:val="false"/>
          <w:iCs w:val="false"/>
          <w:color w:val="1A1A1A"/>
          <w:sz w:val="22"/>
          <w:szCs w:val="22"/>
        </w:rPr>
        <w:t xml:space="preserve">1. Automatic Progressivity Through Path Length</w:t>
      </w:r>
    </w:p>
    <w:p>
      <w:pPr>
        <w:spacing w:after="120" w:before="80"/>
      </w:pPr>
      <w:r>
        <w:rPr>
          <w:rFonts w:ascii="Arial" w:cs="Arial" w:eastAsia="Arial" w:hAnsi="Arial"/>
          <w:b w:val="false"/>
          <w:bCs w:val="false"/>
          <w:i w:val="false"/>
          <w:iCs w:val="false"/>
          <w:color w:val="1A1A1A"/>
          <w:sz w:val="22"/>
          <w:szCs w:val="22"/>
        </w:rPr>
        <w:t xml:space="preserve">The wealthy do not earn more than others by a factor of millions — but their money travels further by a factor of millions. A hedge fund’s daily transaction integral dwarfs a working family’s annual transaction integral. The rate is flat; the effective burden scales with total monetary path length, which scales with wealth and financial activity.</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2. No Valuation Problem</w:t>
      </w:r>
    </w:p>
    <w:p>
      <w:pPr>
        <w:spacing w:after="120" w:before="80"/>
      </w:pPr>
      <w:r>
        <w:rPr>
          <w:rFonts w:ascii="Arial" w:cs="Arial" w:eastAsia="Arial" w:hAnsi="Arial"/>
          <w:b w:val="false"/>
          <w:bCs w:val="false"/>
          <w:i w:val="false"/>
          <w:iCs w:val="false"/>
          <w:color w:val="1A1A1A"/>
          <w:sz w:val="22"/>
          <w:szCs w:val="22"/>
        </w:rPr>
        <w:t xml:space="preserve">A wealth tax requires annual assessment of asset values — contested, gameable, expensive to enforce. The velocity tax requires only that a transaction clear through the banking system. The bank collects it automatically, like an ATM fee. No returns. No audits. No compliance apparatus. Complexity — high-frequency trading, derivatives layering, synthetic instruments — increases the integral being taxed rather than providing avoidance opportunities.</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3. The Tax Base Cannot Shrink</w:t>
      </w:r>
    </w:p>
    <w:p>
      <w:pPr>
        <w:spacing w:after="120" w:before="80"/>
      </w:pPr>
      <w:r>
        <w:rPr>
          <w:rFonts w:ascii="Arial" w:cs="Arial" w:eastAsia="Arial" w:hAnsi="Arial"/>
          <w:b w:val="false"/>
          <w:bCs w:val="false"/>
          <w:i w:val="false"/>
          <w:iCs w:val="false"/>
          <w:color w:val="1A1A1A"/>
          <w:sz w:val="22"/>
          <w:szCs w:val="22"/>
        </w:rPr>
        <w:t xml:space="preserve">Money does not die. The money supply M grows monotonically over time. The Federal Reserve expands M in downturns as lender of last resort. Financial innovation continuously creates new instruments that expand V. The cumulative path integral has never declined across any multi-decade window. Unlike income taxes — which collapse in recessions precisely when revenue is most needed — the integral base is countercyclical: V in the financial sector spikes during crises (panic selling, forced deleveraging, margin calls), meaning revenue may be highest precisely when it is most needed.</w:t>
      </w:r>
    </w:p>
    <w:p>
      <w:r>
        <w:br w:type="page"/>
      </w:r>
    </w:p>
    <w:p>
      <w:pPr>
        <w:pStyle w:val="Heading1"/>
        <w:pBdr>
          <w:bottom w:val="single" w:color="B8860B" w:sz="4"/>
        </w:pBdr>
        <w:spacing w:after="120" w:before="360"/>
      </w:pPr>
      <w:r>
        <w:rPr>
          <w:rFonts w:ascii="Arial" w:cs="Arial" w:eastAsia="Arial" w:hAnsi="Arial"/>
          <w:b/>
          <w:bCs/>
          <w:color w:val="1B3A5C"/>
          <w:sz w:val="28"/>
          <w:szCs w:val="28"/>
        </w:rPr>
        <w:t xml:space="preserve">IV. How Velocity Taxation Stabilizes the Dollar</w:t>
      </w:r>
    </w:p>
    <w:p>
      <w:pPr>
        <w:spacing w:after="120" w:before="80"/>
      </w:pPr>
      <w:r>
        <w:rPr>
          <w:rFonts w:ascii="Arial" w:cs="Arial" w:eastAsia="Arial" w:hAnsi="Arial"/>
          <w:b w:val="false"/>
          <w:bCs w:val="false"/>
          <w:i w:val="false"/>
          <w:iCs w:val="false"/>
          <w:color w:val="1A1A1A"/>
          <w:sz w:val="22"/>
          <w:szCs w:val="22"/>
        </w:rPr>
        <w:t xml:space="preserve">The connection between the velocity tax and dollar stabilization runs through three mechanisms, each reinforcing the others.</w:t>
      </w:r>
    </w:p>
    <w:p>
      <w:pPr>
        <w:spacing w:after="0" w:before="80"/>
      </w:pPr>
      <w:r>
        <w:t xml:space="preserve"/>
      </w:r>
    </w:p>
    <w:p>
      <w:pPr>
        <w:spacing w:after="80" w:before="240"/>
      </w:pPr>
      <w:r>
        <w:rPr>
          <w:rFonts w:ascii="Arial" w:cs="Arial" w:eastAsia="Arial" w:hAnsi="Arial"/>
          <w:b/>
          <w:bCs/>
          <w:color w:val="1B3A5C"/>
          <w:sz w:val="24"/>
          <w:szCs w:val="24"/>
        </w:rPr>
        <w:t xml:space="preserve">Mechanism 1: Structural Debt Paydown</w:t>
      </w:r>
    </w:p>
    <w:p>
      <w:pPr>
        <w:spacing w:after="120" w:before="80"/>
      </w:pPr>
      <w:r>
        <w:rPr>
          <w:rFonts w:ascii="Arial" w:cs="Arial" w:eastAsia="Arial" w:hAnsi="Arial"/>
          <w:b w:val="false"/>
          <w:bCs w:val="false"/>
          <w:i w:val="false"/>
          <w:iCs w:val="false"/>
          <w:color w:val="1A1A1A"/>
          <w:sz w:val="22"/>
          <w:szCs w:val="22"/>
        </w:rPr>
        <w:t xml:space="preserve">Revenue generated by taxing the path integral of monetary movement is not merely sufficient to replace existing taxes — it is large enough, by a significant margin, to mandate structural debt reduction as a built-in feature rather than a political choice.</w:t>
      </w:r>
    </w:p>
    <w:p>
      <w:pPr>
        <w:spacing w:after="0" w:before="60"/>
      </w:pPr>
      <w:r>
        <w:t xml:space="preserve"/>
      </w:r>
    </w:p>
    <w:p>
      <w:pPr>
        <w:spacing w:after="120" w:before="80"/>
      </w:pPr>
      <w:r>
        <w:rPr>
          <w:rFonts w:ascii="Arial" w:cs="Arial" w:eastAsia="Arial" w:hAnsi="Arial"/>
          <w:b w:val="false"/>
          <w:bCs w:val="false"/>
          <w:i w:val="false"/>
          <w:iCs w:val="false"/>
          <w:color w:val="1A1A1A"/>
          <w:sz w:val="22"/>
          <w:szCs w:val="22"/>
        </w:rPr>
        <w:t xml:space="preserve">This reverses the current fiscal spiral. The existing system is a negative feedback loop: debt service consumes revenue that would otherwise reduce debt, forcing further borrowing, which increases debt service, which consumes more revenue. The velocity tax creates the opposite loop:</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860B" w:sz="6"/>
              <w:left w:val="single" w:color="B8860B" w:sz="6"/>
              <w:bottom w:val="single" w:color="B8860B" w:sz="6"/>
              <w:right w:val="single" w:color="B8860B" w:sz="6"/>
            </w:tcBorders>
            <w:shd w:fill="F5F0E0" w:val="clear"/>
            <w:tcMar>
              <w:top w:type="dxa" w:w="160"/>
              <w:left w:type="dxa" w:w="360"/>
              <w:bottom w:type="dxa" w:w="160"/>
              <w:right w:type="dxa" w:w="360"/>
            </w:tcMar>
          </w:tcPr>
          <w:p>
            <w:pPr>
              <w:jc w:val="center"/>
            </w:pPr>
            <w:r>
              <w:rPr>
                <w:rFonts w:ascii="Arial" w:cs="Arial" w:eastAsia="Arial" w:hAnsi="Arial"/>
                <w:b/>
                <w:bCs/>
                <w:color w:val="1B3A5C"/>
                <w:sz w:val="22"/>
                <w:szCs w:val="22"/>
              </w:rPr>
              <w:t xml:space="preserve">Velocity tax revenue → Debt falls → Sovereign creditworthiness rises</w:t>
            </w:r>
          </w:p>
          <w:p>
            <w:pPr>
              <w:jc w:val="center"/>
            </w:pPr>
            <w:r>
              <w:rPr>
                <w:rFonts w:ascii="Arial" w:cs="Arial" w:eastAsia="Arial" w:hAnsi="Arial"/>
                <w:b/>
                <w:bCs/>
                <w:color w:val="B8860B"/>
                <w:sz w:val="28"/>
                <w:szCs w:val="28"/>
              </w:rPr>
              <w:t xml:space="preserve">↓</w:t>
            </w:r>
          </w:p>
          <w:p>
            <w:pPr>
              <w:jc w:val="center"/>
            </w:pPr>
            <w:r>
              <w:rPr>
                <w:rFonts w:ascii="Arial" w:cs="Arial" w:eastAsia="Arial" w:hAnsi="Arial"/>
                <w:b/>
                <w:bCs/>
                <w:color w:val="1B3A5C"/>
                <w:sz w:val="22"/>
                <w:szCs w:val="22"/>
              </w:rPr>
              <w:t xml:space="preserve">Borrowing costs drop → Deficit pressure eases → More capacity for further paydown</w:t>
            </w:r>
          </w:p>
          <w:p>
            <w:pPr>
              <w:spacing w:before="80"/>
              <w:jc w:val="center"/>
            </w:pPr>
            <w:r>
              <w:rPr>
                <w:rFonts w:ascii="Arial" w:cs="Arial" w:eastAsia="Arial" w:hAnsi="Arial"/>
                <w:b/>
                <w:bCs/>
                <w:i/>
                <w:iCs/>
                <w:color w:val="B8860B"/>
                <w:sz w:val="20"/>
                <w:szCs w:val="20"/>
              </w:rPr>
              <w:t xml:space="preserve">Dollar stabilizes — structurally, not through monetary policy alone</w:t>
            </w:r>
          </w:p>
        </w:tc>
      </w:tr>
    </w:tbl>
    <w:p>
      <w:pPr>
        <w:spacing w:after="0" w:before="120"/>
      </w:pPr>
      <w:r>
        <w:t xml:space="preserve"/>
      </w:r>
    </w:p>
    <w:p>
      <w:pPr>
        <w:spacing w:after="80" w:before="240"/>
      </w:pPr>
      <w:r>
        <w:rPr>
          <w:rFonts w:ascii="Arial" w:cs="Arial" w:eastAsia="Arial" w:hAnsi="Arial"/>
          <w:b/>
          <w:bCs/>
          <w:color w:val="1B3A5C"/>
          <w:sz w:val="24"/>
          <w:szCs w:val="24"/>
        </w:rPr>
        <w:t xml:space="preserve">Mechanism 2: Friction on Speculative Excess</w:t>
      </w:r>
    </w:p>
    <w:p>
      <w:pPr>
        <w:spacing w:after="120" w:before="80"/>
      </w:pPr>
      <w:r>
        <w:rPr>
          <w:rFonts w:ascii="Arial" w:cs="Arial" w:eastAsia="Arial" w:hAnsi="Arial"/>
          <w:b w:val="false"/>
          <w:bCs w:val="false"/>
          <w:i w:val="false"/>
          <w:iCs w:val="false"/>
          <w:color w:val="1A1A1A"/>
          <w:sz w:val="22"/>
          <w:szCs w:val="22"/>
        </w:rPr>
        <w:t xml:space="preserve">The flows currently pricing dollar instability into global currency markets are not productive flows. They are speculative velocity: currency swaps, derivative hedges against dollar positions, hot-money flows between reserve assets. These are precisely the transactions that generate the largest integrals.</w:t>
      </w:r>
    </w:p>
    <w:p>
      <w:pPr>
        <w:spacing w:after="0" w:before="60"/>
      </w:pPr>
      <w:r>
        <w:t xml:space="preserve"/>
      </w:r>
    </w:p>
    <w:p>
      <w:pPr>
        <w:spacing w:after="120" w:before="80"/>
      </w:pPr>
      <w:r>
        <w:rPr>
          <w:rFonts w:ascii="Arial" w:cs="Arial" w:eastAsia="Arial" w:hAnsi="Arial"/>
          <w:b w:val="false"/>
          <w:bCs w:val="false"/>
          <w:i w:val="false"/>
          <w:iCs w:val="false"/>
          <w:color w:val="1A1A1A"/>
          <w:sz w:val="22"/>
          <w:szCs w:val="22"/>
        </w:rPr>
        <w:t xml:space="preserve">A flat velocity tax applies friction to these flows proportionally to their volume. It does not prohibit them. It does not require regulators to identify or prohibit any specific instrument. It applies maximum friction precisely where maximum systemic instability is generated — because the flows generating instability are the same flows generating the largest integrals.</w:t>
      </w:r>
    </w:p>
    <w:p>
      <w:pPr>
        <w:spacing w:after="0" w:before="80"/>
      </w:pPr>
      <w:r>
        <w:t xml:space="preserve"/>
      </w:r>
    </w:p>
    <w:p>
      <w:pPr>
        <w:spacing w:after="80" w:before="240"/>
      </w:pPr>
      <w:r>
        <w:rPr>
          <w:rFonts w:ascii="Arial" w:cs="Arial" w:eastAsia="Arial" w:hAnsi="Arial"/>
          <w:b/>
          <w:bCs/>
          <w:color w:val="1B3A5C"/>
          <w:sz w:val="24"/>
          <w:szCs w:val="24"/>
        </w:rPr>
        <w:t xml:space="preserve">Mechanism 3: Productive Economy Shielded</w:t>
      </w:r>
    </w:p>
    <w:p>
      <w:pPr>
        <w:spacing w:after="120" w:before="80"/>
      </w:pPr>
      <w:r>
        <w:rPr>
          <w:rFonts w:ascii="Arial" w:cs="Arial" w:eastAsia="Arial" w:hAnsi="Arial"/>
          <w:b w:val="false"/>
          <w:bCs w:val="false"/>
          <w:i w:val="false"/>
          <w:iCs w:val="false"/>
          <w:color w:val="1A1A1A"/>
          <w:sz w:val="22"/>
          <w:szCs w:val="22"/>
        </w:rPr>
        <w:t xml:space="preserve">Because the rate is tiny (0.25–0.7%), the burden on individual productive transactions is negligible. A 0.35% tax on a $100 grocery purchase is $0.35. A 0.35% tax on $10 billion in daily equity trades is $35 million — from a single firm, on a single day. Manufacturing payroll, farm equipment financing, infrastructure bonds: all transact at rates that are functionally invisible. The tax does not reduce productive activity; it is barely detectable at the scale where production occurs.</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This asymmetry is built into the mathematics. The productive economy and the speculative economy use the same banking infrastructure, but the speculative economy generates orders of magnitude more transactions per dollar of underlying value. Equal rates produce radically unequal burdens by design.</w:t>
      </w:r>
    </w:p>
    <w:p>
      <w:pPr>
        <w:spacing w:after="0" w:before="200"/>
      </w:pPr>
      <w:r>
        <w:t xml:space="preserve"/>
      </w:r>
    </w:p>
    <w:p>
      <w:pPr>
        <w:pStyle w:val="Heading1"/>
        <w:pBdr>
          <w:bottom w:val="single" w:color="B8860B" w:sz="4"/>
        </w:pBdr>
        <w:spacing w:after="120" w:before="360"/>
      </w:pPr>
      <w:r>
        <w:rPr>
          <w:rFonts w:ascii="Arial" w:cs="Arial" w:eastAsia="Arial" w:hAnsi="Arial"/>
          <w:b/>
          <w:bCs/>
          <w:color w:val="1B3A5C"/>
          <w:sz w:val="28"/>
          <w:szCs w:val="28"/>
        </w:rPr>
        <w:t xml:space="preserve">V. The Dynamic Rate: A Control System, Not Just a Tax</w:t>
      </w:r>
    </w:p>
    <w:p>
      <w:pPr>
        <w:spacing w:after="120" w:before="80"/>
      </w:pPr>
      <w:r>
        <w:rPr>
          <w:rFonts w:ascii="Arial" w:cs="Arial" w:eastAsia="Arial" w:hAnsi="Arial"/>
          <w:b w:val="false"/>
          <w:bCs w:val="false"/>
          <w:i w:val="false"/>
          <w:iCs w:val="false"/>
          <w:color w:val="1A1A1A"/>
          <w:sz w:val="22"/>
          <w:szCs w:val="22"/>
        </w:rPr>
        <w:t xml:space="preserve">The most sophisticated element of the original 1989 proposal transforms the velocity tax from a revenue instrument into a monetary stabilization control system that generates revenue as a byproduct.</w:t>
      </w:r>
    </w:p>
    <w:p>
      <w:pPr>
        <w:spacing w:after="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5C" w:sz="6"/>
              <w:left w:val="single" w:color="1B3A5C" w:sz="6"/>
              <w:bottom w:val="single" w:color="1B3A5C" w:sz="6"/>
              <w:right w:val="single" w:color="1B3A5C" w:sz="6"/>
            </w:tcBorders>
            <w:shd w:fill="E8EEF4" w:val="clear"/>
            <w:tcMar>
              <w:top w:type="dxa" w:w="160"/>
              <w:left w:type="dxa" w:w="360"/>
              <w:bottom w:type="dxa" w:w="160"/>
              <w:right w:type="dxa" w:w="360"/>
            </w:tcMar>
          </w:tcPr>
          <w:p>
            <w:pPr>
              <w:jc w:val="center"/>
            </w:pPr>
            <w:r>
              <w:rPr>
                <w:rFonts w:ascii="Arial" w:cs="Arial" w:eastAsia="Arial" w:hAnsi="Arial"/>
                <w:b/>
                <w:bCs/>
                <w:color w:val="1B3A5C"/>
                <w:sz w:val="32"/>
                <w:szCs w:val="32"/>
              </w:rPr>
              <w:t xml:space="preserve">t(V) = t₀ + k × max(0, V − V₀)</w:t>
            </w:r>
          </w:p>
          <w:p>
            <w:pPr>
              <w:spacing w:before="80"/>
              <w:jc w:val="center"/>
            </w:pPr>
            <w:r>
              <w:rPr>
                <w:rFonts w:ascii="Arial" w:cs="Arial" w:eastAsia="Arial" w:hAnsi="Arial"/>
                <w:color w:val="555555"/>
                <w:sz w:val="18"/>
                <w:szCs w:val="18"/>
              </w:rPr>
              <w:t xml:space="preserve">t₀ = baseline rate  •  k = dampening coefficient  •  V₀ = productive velocity baseline</w:t>
            </w:r>
          </w:p>
        </w:tc>
      </w:tr>
    </w:tbl>
    <w:p>
      <w:pPr>
        <w:spacing w:after="0" w:before="120"/>
      </w:pPr>
      <w:r>
        <w:t xml:space="preserve"/>
      </w:r>
    </w:p>
    <w:p>
      <w:pPr>
        <w:spacing w:after="120" w:before="80"/>
      </w:pPr>
      <w:r>
        <w:rPr>
          <w:rFonts w:ascii="Arial" w:cs="Arial" w:eastAsia="Arial" w:hAnsi="Arial"/>
          <w:b w:val="false"/>
          <w:bCs w:val="false"/>
          <w:i w:val="false"/>
          <w:iCs w:val="false"/>
          <w:color w:val="1A1A1A"/>
          <w:sz w:val="22"/>
          <w:szCs w:val="22"/>
        </w:rPr>
        <w:t xml:space="preserve">The feedback loop: excess velocity is detected → rate rises → friction increases on excess transactions → velocity is dampened back toward productive baseline → rate falls. This is a negative control loop, self-correcting without legislative action.</w:t>
      </w:r>
    </w:p>
    <w:p>
      <w:pPr>
        <w:spacing w:after="0" w:before="80"/>
      </w:pPr>
      <w:r>
        <w:t xml:space="preserve"/>
      </w:r>
    </w:p>
    <w:p>
      <w:pPr>
        <w:spacing w:after="80" w:before="240"/>
      </w:pPr>
      <w:r>
        <w:rPr>
          <w:rFonts w:ascii="Arial" w:cs="Arial" w:eastAsia="Arial" w:hAnsi="Arial"/>
          <w:b/>
          <w:bCs/>
          <w:color w:val="1B3A5C"/>
          <w:sz w:val="24"/>
          <w:szCs w:val="24"/>
        </w:rPr>
        <w:t xml:space="preserve">Comparison: Velocity Tax vs. Federal Reserve Rate</w:t>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CCCCCC" w:sz="6"/>
              <w:left w:val="single" w:color="CCCCCC" w:sz="6"/>
              <w:bottom w:val="single" w:color="CCCCCC" w:sz="6"/>
              <w:right w:val="single" w:color="CCCCC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960"/>
            <w:tcBorders>
              <w:top w:val="single" w:color="CCCCCC" w:sz="6"/>
              <w:left w:val="single" w:color="CCCCCC" w:sz="6"/>
              <w:bottom w:val="single" w:color="CCCCCC" w:sz="6"/>
              <w:right w:val="single" w:color="CCCCC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Federal Reserve Rate</w:t>
            </w:r>
          </w:p>
        </w:tc>
        <w:tc>
          <w:tcPr>
            <w:tcW w:type="dxa" w:w="3000"/>
            <w:tcBorders>
              <w:top w:val="single" w:color="CCCCCC" w:sz="6"/>
              <w:left w:val="single" w:color="CCCCCC" w:sz="6"/>
              <w:bottom w:val="single" w:color="CCCCCC" w:sz="6"/>
              <w:right w:val="single" w:color="CCCCCC" w:sz="6"/>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Dynamic Velocity Tax</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Targets</w:t>
            </w:r>
          </w:p>
        </w:tc>
        <w:tc>
          <w:tcPr>
            <w:tcW w:type="dxa" w:w="3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borrowing (productive + speculative)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Excess financial velocity specifically</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Effect on Farmers/Manufacturers</w:t>
            </w:r>
          </w:p>
        </w:tc>
        <w:tc>
          <w:tcPr>
            <w:tcW w:type="dxa" w:w="3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Raises their borrowing costs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impact at baseline rates</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Response time</w:t>
            </w:r>
          </w:p>
        </w:tc>
        <w:tc>
          <w:tcPr>
            <w:tcW w:type="dxa" w:w="3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Monthly/quarterly, lagging indicators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Continuous, real-time clearing data</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Bubble prevention</w:t>
            </w:r>
          </w:p>
        </w:tc>
        <w:tc>
          <w:tcPr>
            <w:tcW w:type="dxa" w:w="3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Reactive (after bubble forms)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Structural (friction scales with excess)</w:t>
            </w:r>
          </w:p>
        </w:tc>
      </w:tr>
      <w:tr>
        <w:tc>
          <w:tcPr>
            <w:tcW w:type="dxa" w:w="2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management</w:t>
            </w:r>
          </w:p>
        </w:tc>
        <w:tc>
          <w:tcPr>
            <w:tcW w:type="dxa" w:w="396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applicable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Natural completion: AI executes within Fed-set parameters</w:t>
            </w:r>
          </w:p>
        </w:tc>
      </w:tr>
    </w:tbl>
    <w:p>
      <w:pPr>
        <w:spacing w:after="0" w:before="120"/>
      </w:pPr>
      <w:r>
        <w:t xml:space="preserve"/>
      </w:r>
    </w:p>
    <w:p>
      <w:pPr>
        <w:spacing w:after="120" w:before="80"/>
      </w:pPr>
      <w:r>
        <w:rPr>
          <w:rFonts w:ascii="Arial" w:cs="Arial" w:eastAsia="Arial" w:hAnsi="Arial"/>
          <w:b w:val="false"/>
          <w:bCs w:val="false"/>
          <w:i w:val="false"/>
          <w:iCs w:val="false"/>
          <w:color w:val="1A1A1A"/>
          <w:sz w:val="22"/>
          <w:szCs w:val="22"/>
        </w:rPr>
        <w:t xml:space="preserve">AI management is the natural completion of this design. The Federal Reserve makes rate decisions based on unemployment and CPI figures that may be weeks or months old. Monetary velocity is measurable in real time through the clearing system that collects the tax. An AI system monitoring transaction flows continuously could adjust the rate in fractions of a basis point, maintaining V near its productive baseline without the overcorrection cycles that quarterly human decisions inevitably produce. The Fed sets the policy parameters; the system executes within those parameters autonomously.</w:t>
      </w:r>
    </w:p>
    <w:p>
      <w:r>
        <w:br w:type="page"/>
      </w:r>
    </w:p>
    <w:p>
      <w:pPr>
        <w:pStyle w:val="Heading1"/>
        <w:pBdr>
          <w:bottom w:val="single" w:color="B8860B" w:sz="4"/>
        </w:pBdr>
        <w:spacing w:after="120" w:before="360"/>
      </w:pPr>
      <w:r>
        <w:rPr>
          <w:rFonts w:ascii="Arial" w:cs="Arial" w:eastAsia="Arial" w:hAnsi="Arial"/>
          <w:b/>
          <w:bCs/>
          <w:color w:val="1B3A5C"/>
          <w:sz w:val="28"/>
          <w:szCs w:val="28"/>
        </w:rPr>
        <w:t xml:space="preserve">VI. The 2026 Window: Why the Timing Is Not Incidental</w:t>
      </w:r>
    </w:p>
    <w:p>
      <w:pPr>
        <w:spacing w:after="120" w:before="80"/>
      </w:pPr>
      <w:r>
        <w:rPr>
          <w:rFonts w:ascii="Arial" w:cs="Arial" w:eastAsia="Arial" w:hAnsi="Arial"/>
          <w:b w:val="false"/>
          <w:bCs w:val="false"/>
          <w:i w:val="false"/>
          <w:iCs w:val="false"/>
          <w:color w:val="1A1A1A"/>
          <w:sz w:val="22"/>
          <w:szCs w:val="22"/>
        </w:rPr>
        <w:t xml:space="preserve">The Iran conflict did not create the dollar’s structural weakness. But it has accelerated the de-dollarization timeline from “decades away” to “the next 24 months.” The relevant question is whether alternative settlement infrastructure becomes permanent before the US can demonstrate fiscal credibility.</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Infrastructure built for Iran sanctions workarounds does not disappear when the Iran crisis ends. INSTEX (the European Iran payment mechanism) outlasted the specific transaction it was built for. The yuan-for-passage arrangement at the Strait does not require Iran’s cooperation to generalize: once the settlement infrastructure exists, any bilateral trade can route through it. The decision window — when the US can still demonstrate fiscal seriousness and make dollar-denominated trade more reliable than alternatives — is closing.</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The Suez analogy is instructive in one more dimension. When Britain’s reserve status collapsed in 1956, it happened within months — not years. Reserve currency transitions, when they occur, are not gradual. They are sudden, driven by a specific moment when markets collectively update their assessment of long-term fiscal credibility. The US is not at that moment. But the trajectory is visible, and the window to alter it is measured in years, not decades.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6"/>
              <w:bottom w:val="none" w:color="FFFFFF" w:sz="0"/>
              <w:right w:val="none" w:color="FFFFFF" w:sz="0"/>
            </w:tcBorders>
            <w:shd w:fill="F5F0E0" w:val="clear"/>
            <w:tcMar>
              <w:top w:type="dxa" w:w="120"/>
              <w:left w:type="dxa" w:w="240"/>
              <w:bottom w:type="dxa" w:w="120"/>
              <w:right w:type="dxa" w:w="240"/>
            </w:tcMar>
          </w:tcPr>
          <w:p>
            <w:r>
              <w:rPr>
                <w:rFonts w:ascii="Arial" w:cs="Arial" w:eastAsia="Arial" w:hAnsi="Arial"/>
                <w:b/>
                <w:bCs/>
                <w:i/>
                <w:iCs/>
                <w:color w:val="1B3A5C"/>
                <w:sz w:val="24"/>
                <w:szCs w:val="24"/>
              </w:rPr>
              <w:t xml:space="preserve">The velocity tax is not a response to the Iran crisis. It is the structural fiscal reform that the Iran crisis makes impossible to defer.</w:t>
            </w:r>
          </w:p>
        </w:tc>
      </w:tr>
    </w:tbl>
    <w:p>
      <w:pPr>
        <w:spacing w:after="0" w:before="120"/>
      </w:pPr>
      <w:r>
        <w:t xml:space="preserve"/>
      </w:r>
    </w:p>
    <w:p>
      <w:pPr>
        <w:spacing w:after="80" w:before="240"/>
      </w:pPr>
      <w:r>
        <w:rPr>
          <w:rFonts w:ascii="Arial" w:cs="Arial" w:eastAsia="Arial" w:hAnsi="Arial"/>
          <w:b/>
          <w:bCs/>
          <w:color w:val="1B3A5C"/>
          <w:sz w:val="24"/>
          <w:szCs w:val="24"/>
        </w:rPr>
        <w:t xml:space="preserve">The Conditional Rebate: Redirecting Capital From Speculation to Production</w:t>
      </w:r>
    </w:p>
    <w:p>
      <w:pPr>
        <w:spacing w:after="120" w:before="80"/>
      </w:pPr>
      <w:r>
        <w:rPr>
          <w:rFonts w:ascii="Arial" w:cs="Arial" w:eastAsia="Arial" w:hAnsi="Arial"/>
          <w:b w:val="false"/>
          <w:bCs w:val="false"/>
          <w:i w:val="false"/>
          <w:iCs w:val="false"/>
          <w:color w:val="1A1A1A"/>
          <w:sz w:val="22"/>
          <w:szCs w:val="22"/>
        </w:rPr>
        <w:t xml:space="preserve">A design element that directly addresses the political economy of implementation: a small fraction of collected revenue — perhaps 5–10% of what any financial institution remits — is returned to that institution, conditioned on deployment into tangible productive assets. Not derivatives. Not stock buybacks. Infrastructure, manufacturing, agricultural capital, energy systems, housing.</w:t>
      </w:r>
    </w:p>
    <w:p>
      <w:pPr>
        <w:spacing w:after="0" w:before="60"/>
      </w:pPr>
      <w:r>
        <w:t xml:space="preserve"/>
      </w:r>
    </w:p>
    <w:p>
      <w:pPr>
        <w:spacing w:after="120" w:before="80"/>
      </w:pPr>
      <w:r>
        <w:rPr>
          <w:rFonts w:ascii="Arial" w:cs="Arial" w:eastAsia="Arial" w:hAnsi="Arial"/>
          <w:b w:val="false"/>
          <w:bCs w:val="false"/>
          <w:i w:val="false"/>
          <w:iCs w:val="false"/>
          <w:color w:val="1A1A1A"/>
          <w:sz w:val="22"/>
          <w:szCs w:val="22"/>
        </w:rPr>
        <w:t xml:space="preserve">This does three things: (1) reduces financial sector opposition by providing a real financial incentive to participate; (2) structurally redirects capital from speculation to production, bending the ratio of productive V to speculative V in the right direction over time; and (3) creates a self-funding private-sector investment channel without requiring government to direct capital allocation.</w:t>
      </w:r>
    </w:p>
    <w:p>
      <w:pPr>
        <w:spacing w:after="0" w:before="80"/>
      </w:pPr>
      <w:r>
        <w:t xml:space="preserve"/>
      </w:r>
    </w:p>
    <w:p>
      <w:pPr>
        <w:spacing w:after="120" w:before="80"/>
      </w:pPr>
      <w:r>
        <w:rPr>
          <w:rFonts w:ascii="Arial" w:cs="Arial" w:eastAsia="Arial" w:hAnsi="Arial"/>
          <w:b w:val="false"/>
          <w:bCs w:val="false"/>
          <w:i w:val="false"/>
          <w:iCs w:val="false"/>
          <w:color w:val="1A1A1A"/>
          <w:sz w:val="22"/>
          <w:szCs w:val="22"/>
        </w:rPr>
        <w:t xml:space="preserve">In the current crisis context, the tangible-asset condition could be specifically tied to domestic supply chain resilience: helium recapture infrastructure, domestic ammonia production, rare earth processing, semiconductor fabrication. The tax generates revenue from financial excess; the rebate deploys a fraction of that revenue into the physical economy that excess has been extracting from.</w:t>
      </w:r>
    </w:p>
    <w:p>
      <w:pPr>
        <w:spacing w:after="0" w:before="200"/>
      </w:pPr>
      <w:r>
        <w:t xml:space="preserve"/>
      </w:r>
    </w:p>
    <w:p>
      <w:r>
        <w:br w:type="page"/>
      </w:r>
    </w:p>
    <w:p>
      <w:pPr>
        <w:pStyle w:val="Heading1"/>
        <w:pBdr>
          <w:bottom w:val="single" w:color="B8860B" w:sz="4"/>
        </w:pBdr>
        <w:spacing w:after="120" w:before="360"/>
      </w:pPr>
      <w:r>
        <w:rPr>
          <w:rFonts w:ascii="Arial" w:cs="Arial" w:eastAsia="Arial" w:hAnsi="Arial"/>
          <w:b/>
          <w:bCs/>
          <w:color w:val="1B3A5C"/>
          <w:sz w:val="28"/>
          <w:szCs w:val="28"/>
        </w:rPr>
        <w:t xml:space="preserve">VII. Legislative Action Plan: 90 Days</w:t>
      </w:r>
    </w:p>
    <w:p>
      <w:pPr>
        <w:spacing w:after="120" w:before="80"/>
      </w:pPr>
      <w:r>
        <w:rPr>
          <w:rFonts w:ascii="Arial" w:cs="Arial" w:eastAsia="Arial" w:hAnsi="Arial"/>
          <w:b w:val="false"/>
          <w:bCs w:val="false"/>
          <w:i w:val="false"/>
          <w:iCs w:val="false"/>
          <w:color w:val="1A1A1A"/>
          <w:sz w:val="22"/>
          <w:szCs w:val="22"/>
        </w:rPr>
        <w:t xml:space="preserve">The following actions are ordered by urgency. The first three require no new legislation. They establish the informational and institutional foundation for what follows.</w:t>
      </w:r>
    </w:p>
    <w:p>
      <w:pPr>
        <w:spacing w:after="0" w:before="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80"/>
              <w:left w:type="dxa" w:w="200"/>
              <w:bottom w:type="dxa" w:w="80"/>
              <w:right w:type="dxa" w:w="200"/>
            </w:tcMar>
          </w:tcPr>
          <w:p>
            <w:r>
              <w:rPr>
                <w:rFonts w:ascii="Arial" w:cs="Arial" w:eastAsia="Arial" w:hAnsi="Arial"/>
                <w:b/>
                <w:bCs/>
                <w:color w:val="FFFFFF"/>
                <w:sz w:val="22"/>
                <w:szCs w:val="22"/>
              </w:rPr>
              <w:t xml:space="preserve">IMMEDIATE — Executive Authority and Congressional Direction Available Now</w:t>
            </w:r>
          </w:p>
        </w:tc>
      </w:tr>
    </w:tbl>
    <w:p>
      <w:pPr>
        <w:spacing w:after="0" w:before="80"/>
      </w:pPr>
      <w:r>
        <w:t xml:space="preserve"/>
      </w:r>
    </w:p>
    <w:p>
      <w:pPr>
        <w:spacing w:after="120" w:before="80"/>
      </w:pPr>
      <w:r>
        <w:rPr>
          <w:rFonts w:ascii="Arial" w:cs="Arial" w:eastAsia="Arial" w:hAnsi="Arial"/>
          <w:b/>
          <w:bCs/>
          <w:i w:val="false"/>
          <w:iCs w:val="false"/>
          <w:color w:val="1A1A1A"/>
          <w:sz w:val="22"/>
          <w:szCs w:val="22"/>
        </w:rPr>
        <w:t xml:space="preserve">1. Treasury Velocity Study Directive</w:t>
      </w:r>
    </w:p>
    <w:p>
      <w:pPr>
        <w:spacing w:after="120" w:before="80"/>
      </w:pPr>
      <w:r>
        <w:rPr>
          <w:rFonts w:ascii="Arial" w:cs="Arial" w:eastAsia="Arial" w:hAnsi="Arial"/>
          <w:b w:val="false"/>
          <w:bCs w:val="false"/>
          <w:i w:val="false"/>
          <w:iCs w:val="false"/>
          <w:color w:val="1A1A1A"/>
          <w:sz w:val="22"/>
          <w:szCs w:val="22"/>
        </w:rPr>
        <w:t xml:space="preserve">Direct Treasury to produce a 60-day study of implementing a 0.1% Automated Payment Transaction pilot on financial transactions over $1 million. CBO scoring alongside. The study costs nothing; it establishes the institutional knowledge base for rapid implementation and forces the conversation into the legislative record.</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2. Federal Reserve Velocity Reporting Mandate</w:t>
      </w:r>
    </w:p>
    <w:p>
      <w:pPr>
        <w:spacing w:after="120" w:before="80"/>
      </w:pPr>
      <w:r>
        <w:rPr>
          <w:rFonts w:ascii="Arial" w:cs="Arial" w:eastAsia="Arial" w:hAnsi="Arial"/>
          <w:b w:val="false"/>
          <w:bCs w:val="false"/>
          <w:i w:val="false"/>
          <w:iCs w:val="false"/>
          <w:color w:val="1A1A1A"/>
          <w:sz w:val="22"/>
          <w:szCs w:val="22"/>
        </w:rPr>
        <w:t xml:space="preserve">Amend the Fed’s semi-annual monetary policy reporting to Congress (Humphrey-Hawkins) to include quarterly real-time velocity (V) disaggregated by transaction type: productive sector vs. financial sector. This data exists in the clearing system. Making it visible to Congress is the prerequisite for AI-managed rate design.</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3. De-Dollarization Early Warning System</w:t>
      </w:r>
    </w:p>
    <w:p>
      <w:pPr>
        <w:spacing w:after="120" w:before="80"/>
      </w:pPr>
      <w:r>
        <w:rPr>
          <w:rFonts w:ascii="Arial" w:cs="Arial" w:eastAsia="Arial" w:hAnsi="Arial"/>
          <w:b w:val="false"/>
          <w:bCs w:val="false"/>
          <w:i w:val="false"/>
          <w:iCs w:val="false"/>
          <w:color w:val="1A1A1A"/>
          <w:sz w:val="22"/>
          <w:szCs w:val="22"/>
        </w:rPr>
        <w:t xml:space="preserve">Direct Treasury Intelligence and the Federal Reserve to establish a public de-dollarization monitoring dashboard: percentage of global trade settled in USD vs. alternative currencies, updated monthly. The Suez-speed risk requires that decision-makers see the trajectory in real time, not in quarterly reports.</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80"/>
              <w:left w:type="dxa" w:w="200"/>
              <w:bottom w:type="dxa" w:w="80"/>
              <w:right w:type="dxa" w:w="200"/>
            </w:tcMar>
          </w:tcPr>
          <w:p>
            <w:r>
              <w:rPr>
                <w:rFonts w:ascii="Arial" w:cs="Arial" w:eastAsia="Arial" w:hAnsi="Arial"/>
                <w:b/>
                <w:bCs/>
                <w:color w:val="FFFFFF"/>
                <w:sz w:val="22"/>
                <w:szCs w:val="22"/>
              </w:rPr>
              <w:t xml:space="preserve">30-DAY ACTIONS — Emergency Legislation</w:t>
            </w:r>
          </w:p>
        </w:tc>
      </w:tr>
    </w:tbl>
    <w:p>
      <w:pPr>
        <w:spacing w:after="0" w:before="80"/>
      </w:pPr>
      <w:r>
        <w:t xml:space="preserve"/>
      </w:r>
    </w:p>
    <w:p>
      <w:pPr>
        <w:spacing w:after="120" w:before="80"/>
      </w:pPr>
      <w:r>
        <w:rPr>
          <w:rFonts w:ascii="Arial" w:cs="Arial" w:eastAsia="Arial" w:hAnsi="Arial"/>
          <w:b/>
          <w:bCs/>
          <w:i w:val="false"/>
          <w:iCs w:val="false"/>
          <w:color w:val="1A1A1A"/>
          <w:sz w:val="22"/>
          <w:szCs w:val="22"/>
        </w:rPr>
        <w:t xml:space="preserve">4. Velocity Tax Pilot Act</w:t>
      </w:r>
    </w:p>
    <w:p>
      <w:pPr>
        <w:spacing w:after="120" w:before="80"/>
      </w:pPr>
      <w:r>
        <w:rPr>
          <w:rFonts w:ascii="Arial" w:cs="Arial" w:eastAsia="Arial" w:hAnsi="Arial"/>
          <w:b w:val="false"/>
          <w:bCs w:val="false"/>
          <w:i w:val="false"/>
          <w:iCs w:val="false"/>
          <w:color w:val="1A1A1A"/>
          <w:sz w:val="22"/>
          <w:szCs w:val="22"/>
        </w:rPr>
        <w:t xml:space="preserve">Draft and introduce legislation establishing a 0.1% transaction tax on equity trades above $100,000, effective for a 24-month pilot period. Revenue dedicated exclusively to sovereign debt paydown — no discretionary spending. The pilot is designed to generate CBO data on the countercyclical properties of the base (does V rise during the next crisis? does revenue?) and to demonstrate implementation feasibility. Sunset clause requires affirmative renewal.</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5. Conditional Rebate Design Commission</w:t>
      </w:r>
    </w:p>
    <w:p>
      <w:pPr>
        <w:spacing w:after="120" w:before="80"/>
      </w:pPr>
      <w:r>
        <w:rPr>
          <w:rFonts w:ascii="Arial" w:cs="Arial" w:eastAsia="Arial" w:hAnsi="Arial"/>
          <w:b w:val="false"/>
          <w:bCs w:val="false"/>
          <w:i w:val="false"/>
          <w:iCs w:val="false"/>
          <w:color w:val="1A1A1A"/>
          <w:sz w:val="22"/>
          <w:szCs w:val="22"/>
        </w:rPr>
        <w:t xml:space="preserve">Establish a bipartisan commission to design the tangible-asset rebate mechanism: legal definition of “tangible productive asset,” implementation via existing banking reporting infrastructure, enforcement through existing bank examination authority. Target: legislation ready for introduction within 90 days of commission first report.</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6. Dollar Reserve Protection Act</w:t>
      </w:r>
    </w:p>
    <w:p>
      <w:pPr>
        <w:spacing w:after="120" w:before="80"/>
      </w:pPr>
      <w:r>
        <w:rPr>
          <w:rFonts w:ascii="Arial" w:cs="Arial" w:eastAsia="Arial" w:hAnsi="Arial"/>
          <w:b w:val="false"/>
          <w:bCs w:val="false"/>
          <w:i w:val="false"/>
          <w:iCs w:val="false"/>
          <w:color w:val="1A1A1A"/>
          <w:sz w:val="22"/>
          <w:szCs w:val="22"/>
        </w:rPr>
        <w:t xml:space="preserve">Establish a bipartisan Dollar Reserve Protection Board with two specific mandates: (a) publish a public 10-year fiscal credibility assessment quarterly, and (b) hold veto authority over Treasury actions affecting essential civilian resource flows — preventing the weaponization of financial infrastructure against goods that alternatives to the dollar are being built specifically to transport.</w:t>
      </w:r>
    </w:p>
    <w:p>
      <w:pPr>
        <w:spacing w:after="0" w:before="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3A5C" w:val="clear"/>
            <w:tcMar>
              <w:top w:type="dxa" w:w="80"/>
              <w:left w:type="dxa" w:w="200"/>
              <w:bottom w:type="dxa" w:w="80"/>
              <w:right w:type="dxa" w:w="200"/>
            </w:tcMar>
          </w:tcPr>
          <w:p>
            <w:r>
              <w:rPr>
                <w:rFonts w:ascii="Arial" w:cs="Arial" w:eastAsia="Arial" w:hAnsi="Arial"/>
                <w:b/>
                <w:bCs/>
                <w:color w:val="FFFFFF"/>
                <w:sz w:val="22"/>
                <w:szCs w:val="22"/>
              </w:rPr>
              <w:t xml:space="preserve">90-DAY ACTIONS — Structural Architecture</w:t>
            </w:r>
          </w:p>
        </w:tc>
      </w:tr>
    </w:tbl>
    <w:p>
      <w:pPr>
        <w:spacing w:after="0" w:before="80"/>
      </w:pPr>
      <w:r>
        <w:t xml:space="preserve"/>
      </w:r>
    </w:p>
    <w:p>
      <w:pPr>
        <w:spacing w:after="120" w:before="80"/>
      </w:pPr>
      <w:r>
        <w:rPr>
          <w:rFonts w:ascii="Arial" w:cs="Arial" w:eastAsia="Arial" w:hAnsi="Arial"/>
          <w:b/>
          <w:bCs/>
          <w:i w:val="false"/>
          <w:iCs w:val="false"/>
          <w:color w:val="1A1A1A"/>
          <w:sz w:val="22"/>
          <w:szCs w:val="22"/>
        </w:rPr>
        <w:t xml:space="preserve">7. AI Monetary Management Authorization Act</w:t>
      </w:r>
    </w:p>
    <w:p>
      <w:pPr>
        <w:spacing w:after="120" w:before="80"/>
      </w:pPr>
      <w:r>
        <w:rPr>
          <w:rFonts w:ascii="Arial" w:cs="Arial" w:eastAsia="Arial" w:hAnsi="Arial"/>
          <w:b w:val="false"/>
          <w:bCs w:val="false"/>
          <w:i w:val="false"/>
          <w:iCs w:val="false"/>
          <w:color w:val="1A1A1A"/>
          <w:sz w:val="22"/>
          <w:szCs w:val="22"/>
        </w:rPr>
        <w:t xml:space="preserve">Direct NIST, Treasury, and the Federal Reserve jointly to develop a velocity-monitoring AI system using existing clearing data. The system operates within congressionally mandated parameters: V₀ (productive baseline), dampening coefficient k, and rate bounds on t. The Fed sets policy; the system executes. This is the Friedman rules-based monetary policy completed for the financial economy of 2026.</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8. Non-Dollar Clearing Protection Act</w:t>
      </w:r>
    </w:p>
    <w:p>
      <w:pPr>
        <w:spacing w:after="120" w:before="80"/>
      </w:pPr>
      <w:r>
        <w:rPr>
          <w:rFonts w:ascii="Arial" w:cs="Arial" w:eastAsia="Arial" w:hAnsi="Arial"/>
          <w:b w:val="false"/>
          <w:bCs w:val="false"/>
          <w:i w:val="false"/>
          <w:iCs w:val="false"/>
          <w:color w:val="1A1A1A"/>
          <w:sz w:val="22"/>
          <w:szCs w:val="22"/>
        </w:rPr>
        <w:t xml:space="preserve">Establish bilateral and multilateral clearing arrangements for designated essential goods — beginning with helium, ammonia, and rare earths — that operate outside SWIFT for those specific goods. Modeled on the INSTEX mechanism. The purpose is not to undermine dollar primacy but to prevent resource warfare from producing the very alternative infrastructure it is meant to punish. If essential goods can flow in dollars, they will. If they cannot, they will not.</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9. Intergenerational Fiscal Review Act</w:t>
      </w:r>
    </w:p>
    <w:p>
      <w:pPr>
        <w:spacing w:after="120" w:before="80"/>
      </w:pPr>
      <w:r>
        <w:rPr>
          <w:rFonts w:ascii="Arial" w:cs="Arial" w:eastAsia="Arial" w:hAnsi="Arial"/>
          <w:b w:val="false"/>
          <w:bCs w:val="false"/>
          <w:i w:val="false"/>
          <w:iCs w:val="false"/>
          <w:color w:val="1A1A1A"/>
          <w:sz w:val="22"/>
          <w:szCs w:val="22"/>
        </w:rPr>
        <w:t xml:space="preserve">Require Seventh Generation Fiscal Impact Statements for any executive action expected to affect sovereign debt by more than $1 trillion over 10 years. Modeled on environmental impact statements, with a 140-year temporal horizon and mandatory publication before the action takes effect. The generation born in 2166 will inherit whatever fiscal substrate Congress builds or fails to build. This legislation makes that inheritance visible while the decisions are still being made.</w:t>
      </w:r>
    </w:p>
    <w:p>
      <w:r>
        <w:br w:type="page"/>
      </w:r>
    </w:p>
    <w:p>
      <w:pPr>
        <w:pStyle w:val="Heading1"/>
        <w:pBdr>
          <w:bottom w:val="single" w:color="B8860B" w:sz="4"/>
        </w:pBdr>
        <w:spacing w:after="120" w:before="360"/>
      </w:pPr>
      <w:r>
        <w:rPr>
          <w:rFonts w:ascii="Arial" w:cs="Arial" w:eastAsia="Arial" w:hAnsi="Arial"/>
          <w:b/>
          <w:bCs/>
          <w:color w:val="1B3A5C"/>
          <w:sz w:val="28"/>
          <w:szCs w:val="28"/>
        </w:rPr>
        <w:t xml:space="preserve">The Synthesis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B8860B" w:sz="6"/>
              <w:left w:val="single" w:color="B8860B" w:sz="6"/>
              <w:bottom w:val="single" w:color="B8860B" w:sz="6"/>
              <w:right w:val="single" w:color="B8860B" w:sz="6"/>
            </w:tcBorders>
            <w:shd w:fill="F5F0E0" w:val="clear"/>
            <w:tcMar>
              <w:top w:type="dxa" w:w="200"/>
              <w:left w:type="dxa" w:w="360"/>
              <w:bottom w:type="dxa" w:w="200"/>
              <w:right w:type="dxa" w:w="360"/>
            </w:tcMar>
          </w:tcPr>
          <w:p>
            <w:r>
              <w:rPr>
                <w:rFonts w:ascii="Arial" w:cs="Arial" w:eastAsia="Arial" w:hAnsi="Arial"/>
                <w:color w:val="1A1A1A"/>
                <w:sz w:val="22"/>
                <w:szCs w:val="22"/>
              </w:rPr>
              <w:t xml:space="preserve">The 2026 Iran conflict is not the cause of the dollar’s structural weakness. It is the forcing function that makes the structural weakness impossible to defer. The US has spent 50 years taxing the productive economy to fund obligations whose true base has migrated to the financial economy. The velocity tax is the instrument that matches the tax base to where the economy actually lives.</w:t>
            </w:r>
          </w:p>
          <w:p>
            <w:pPr>
              <w:spacing w:after="0" w:before="80"/>
            </w:pPr>
            <w:r>
              <w:t xml:space="preserve"/>
            </w:r>
          </w:p>
          <w:p>
            <w:r>
              <w:rPr>
                <w:rFonts w:ascii="Arial" w:cs="Arial" w:eastAsia="Arial" w:hAnsi="Arial"/>
                <w:color w:val="1A1A1A"/>
                <w:sz w:val="22"/>
                <w:szCs w:val="22"/>
              </w:rPr>
              <w:t xml:space="preserve">Milton Friedman argued for rules-based monetary policy. He identified V as the variable that the productive economy cannot explain. The velocity tax is the fiscal completion of that insight: a rules-based instrument that responds to monetary reality automatically, generates revenue from the gap between the financial economy and the productive one it is supposed to represent, and uses that revenue to rebuild the fiscal credibility on which dollar reserve status ultimately depends.</w:t>
            </w:r>
          </w:p>
          <w:p>
            <w:pPr>
              <w:spacing w:after="0" w:before="80"/>
            </w:pPr>
            <w:r>
              <w:t xml:space="preserve"/>
            </w:r>
          </w:p>
          <w:p>
            <w:r>
              <w:rPr>
                <w:rFonts w:ascii="Arial" w:cs="Arial" w:eastAsia="Arial" w:hAnsi="Arial"/>
                <w:b/>
                <w:bCs/>
                <w:i/>
                <w:iCs/>
                <w:color w:val="1B3A5C"/>
                <w:sz w:val="22"/>
                <w:szCs w:val="22"/>
              </w:rPr>
              <w:t xml:space="preserve">The generation born in 2166 will not care about the Iran crisis of 2026. They will ask one question: what did Congress choose when the window was still open? This brief is the answer to that question, while the window still is.</w:t>
            </w:r>
          </w:p>
        </w:tc>
      </w:tr>
    </w:tbl>
    <w:p>
      <w:pPr>
        <w:spacing w:after="0" w:before="200"/>
      </w:pPr>
      <w:r>
        <w:t xml:space="preserve"/>
      </w:r>
    </w:p>
    <w:p>
      <w:pPr>
        <w:pStyle w:val="Heading1"/>
        <w:pBdr>
          <w:bottom w:val="single" w:color="B8860B" w:sz="4"/>
        </w:pBdr>
        <w:spacing w:after="120" w:before="360"/>
      </w:pPr>
      <w:r>
        <w:rPr>
          <w:rFonts w:ascii="Arial" w:cs="Arial" w:eastAsia="Arial" w:hAnsi="Arial"/>
          <w:b/>
          <w:bCs/>
          <w:color w:val="1B3A5C"/>
          <w:sz w:val="28"/>
          <w:szCs w:val="28"/>
        </w:rPr>
        <w:t xml:space="preserve">About the Derivation</w:t>
      </w:r>
    </w:p>
    <w:p>
      <w:pPr>
        <w:spacing w:after="120" w:before="80"/>
      </w:pPr>
      <w:r>
        <w:rPr>
          <w:rFonts w:ascii="Arial" w:cs="Arial" w:eastAsia="Arial" w:hAnsi="Arial"/>
          <w:b w:val="false"/>
          <w:bCs w:val="false"/>
          <w:i w:val="false"/>
          <w:iCs w:val="false"/>
          <w:color w:val="1A1A1A"/>
          <w:sz w:val="22"/>
          <w:szCs w:val="22"/>
        </w:rPr>
        <w:t xml:space="preserve">The velocity tax derivation in this brief was developed independently by Michael Fox in 1989, based on analysis of Federal Reserve monetary flow data and exchange transaction volumes, using Friedman’s equation of exchange as the theoretical foundation. The core mathematical insight — that this tax operates on the path integral of monetary movement rather than on any derivative (income, gain, consumption rate) — distinguishes it from all existing tax instruments.</w:t>
      </w:r>
    </w:p>
    <w:p>
      <w:pPr>
        <w:spacing w:after="0" w:before="60"/>
      </w:pPr>
      <w:r>
        <w:t xml:space="preserve"/>
      </w:r>
    </w:p>
    <w:p>
      <w:pPr>
        <w:spacing w:after="120" w:before="80"/>
      </w:pPr>
      <w:r>
        <w:rPr>
          <w:rFonts w:ascii="Arial" w:cs="Arial" w:eastAsia="Arial" w:hAnsi="Arial"/>
          <w:b w:val="false"/>
          <w:bCs w:val="false"/>
          <w:i w:val="false"/>
          <w:iCs w:val="false"/>
          <w:color w:val="1A1A1A"/>
          <w:sz w:val="22"/>
          <w:szCs w:val="22"/>
        </w:rPr>
        <w:t xml:space="preserve">Professor Edgar L. Feige at the University of Wisconsin-Madison arrived at essentially the same proposal independently through a different intellectual path (tax policy reform and underground economy research). His formal Automated Payment Transaction (APT) tax proposal appeared in Economic Policy in 2000. The Fox derivation predates Feige’s published proposal by 11 years and arrives from a different theoretical foundation. The convergence of two independent derivations is evidence that the instrument is a structural recognition, not a policy preference.</w:t>
      </w:r>
    </w:p>
    <w:p>
      <w:pPr>
        <w:spacing w:after="0" w:before="60"/>
      </w:pPr>
      <w:r>
        <w:t xml:space="preserve"/>
      </w:r>
    </w:p>
    <w:p>
      <w:pPr>
        <w:spacing w:after="120" w:before="80"/>
      </w:pPr>
      <w:r>
        <w:rPr>
          <w:rFonts w:ascii="Arial" w:cs="Arial" w:eastAsia="Arial" w:hAnsi="Arial"/>
          <w:b w:val="false"/>
          <w:bCs w:val="false"/>
          <w:i w:val="false"/>
          <w:iCs w:val="false"/>
          <w:color w:val="1A1A1A"/>
          <w:sz w:val="22"/>
          <w:szCs w:val="22"/>
        </w:rPr>
        <w:t xml:space="preserve">The dynamic rate variant (t = f(V)) and the AI management architecture were elements of the 1989 proposal not present in Feige’s formalization. The conditional rebate design is also original to the Fox derivation.</w:t>
      </w:r>
    </w:p>
    <w:p>
      <w:pPr>
        <w:spacing w:after="0" w:before="80"/>
      </w:pPr>
      <w:r>
        <w:t xml:space="preserve"/>
      </w:r>
    </w:p>
    <w:p>
      <w:pPr>
        <w:spacing w:after="120" w:before="80"/>
      </w:pPr>
      <w:r>
        <w:rPr>
          <w:rFonts w:ascii="Arial" w:cs="Arial" w:eastAsia="Arial" w:hAnsi="Arial"/>
          <w:b/>
          <w:bCs/>
          <w:i w:val="false"/>
          <w:iCs w:val="false"/>
          <w:color w:val="1A1A1A"/>
          <w:sz w:val="22"/>
          <w:szCs w:val="22"/>
        </w:rPr>
        <w:t xml:space="preserve">Full derivation: </w:t>
      </w:r>
    </w:p>
    <w:p>
      <w:pPr>
        <w:spacing w:after="80" w:before="40"/>
      </w:pPr>
      <w:r>
        <w:rPr>
          <w:rFonts w:ascii="Arial" w:cs="Arial" w:eastAsia="Arial" w:hAnsi="Arial"/>
          <w:i/>
          <w:iCs/>
          <w:color w:val="1B3A5C"/>
          <w:sz w:val="22"/>
          <w:szCs w:val="22"/>
        </w:rPr>
        <w:t xml:space="preserve">Taxing the Integral, Not the Derivative: An Independent Derivation of Velocity Taxation</w:t>
      </w:r>
      <w:r>
        <w:rPr>
          <w:rFonts w:ascii="Arial" w:cs="Arial" w:eastAsia="Arial" w:hAnsi="Arial"/>
          <w:color w:val="1A1A1A"/>
          <w:sz w:val="22"/>
          <w:szCs w:val="22"/>
        </w:rPr>
        <w:t xml:space="preserve"> — Michael Fox, 1989 / written down 2026. Available in the Federated Village Project repository.</w:t>
      </w:r>
    </w:p>
    <w:p>
      <w:pPr>
        <w:spacing w:after="0" w:before="60"/>
      </w:pPr>
      <w:r>
        <w:t xml:space="preserve"/>
      </w:r>
    </w:p>
    <w:p>
      <w:pPr>
        <w:spacing w:after="120" w:before="80"/>
      </w:pPr>
      <w:r>
        <w:rPr>
          <w:rFonts w:ascii="Arial" w:cs="Arial" w:eastAsia="Arial" w:hAnsi="Arial"/>
          <w:b w:val="false"/>
          <w:bCs w:val="false"/>
          <w:i w:val="false"/>
          <w:iCs w:val="false"/>
          <w:color w:val="555555"/>
          <w:sz w:val="22"/>
          <w:szCs w:val="22"/>
        </w:rPr>
        <w:t xml:space="preserve">This legislative brief was produced by the Federated Village Project. Seventh Generation Scout methodology: Perplexity Sonar (live research) + cross-model deliberative panel + constitutional analysis. Source logs available at github.com/Mfox-research99/federated-village.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pBdr>
    </w:pPr>
  </w:p>
  <w:p>
    <w:pPr>
      <w:spacing w:before="80"/>
      <w:jc w:val="center"/>
    </w:pPr>
    <w:r>
      <w:rPr>
        <w:rFonts w:ascii="Arial" w:cs="Arial" w:eastAsia="Arial" w:hAnsi="Arial"/>
        <w:i/>
        <w:iCs/>
        <w:color w:val="555555"/>
        <w:sz w:val="16"/>
        <w:szCs w:val="16"/>
      </w:rPr>
      <w:t xml:space="preserve">Produced by the Federated Village Project | Seventh Generation Scout | github.com/Mfox-research99/federated-village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tcPr>
        <w:p>
          <w:r>
            <w:rPr>
              <w:rFonts w:ascii="Arial" w:cs="Arial" w:eastAsia="Arial" w:hAnsi="Arial"/>
              <w:color w:val="1B3A5C"/>
              <w:sz w:val="16"/>
              <w:szCs w:val="16"/>
            </w:rPr>
            <w:t xml:space="preserve">FISCAL STABILITY BRIEF  |  FEDERATED VILLAGE PROJECT  |  APRIL 5, 2026</w:t>
          </w:r>
        </w:p>
      </w:tc>
      <w:tc>
        <w:tcPr>
          <w:tcW w:type="dxa" w:w="252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tc>
    </w:tr>
  </w:tbl>
  <w:p>
    <w:pPr>
      <w:pBdr>
        <w:bottom w:val="single" w:color="B8860B"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2026-04-05T13:11:16.797Z</dcterms:created>
  <dcterms:modified xsi:type="dcterms:W3CDTF">2026-04-05T13:11:16.797Z</dcterms:modified>
</cp:coreProperties>
</file>

<file path=docProps/custom.xml><?xml version="1.0" encoding="utf-8"?>
<Properties xmlns="http://schemas.openxmlformats.org/officeDocument/2006/custom-properties" xmlns:vt="http://schemas.openxmlformats.org/officeDocument/2006/docPropsVTypes"/>
</file>