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360"/>
              <w:left w:type="dxa" w:w="480"/>
              <w:bottom w:type="dxa" w:w="360"/>
              <w:right w:type="dxa" w:w="480"/>
            </w:tcMar>
          </w:tcPr>
          <w:p>
            <w:pPr>
              <w:jc w:val="center"/>
            </w:pPr>
            <w:r>
              <w:rPr>
                <w:rFonts w:ascii="Arial" w:cs="Arial" w:eastAsia="Arial" w:hAnsi="Arial"/>
                <w:b/>
                <w:bCs/>
                <w:color w:val="B8860B"/>
                <w:sz w:val="20"/>
                <w:szCs w:val="20"/>
              </w:rPr>
              <w:t xml:space="preserve">FISCAL STABILITY BRIEF — REVISED EDITION</w:t>
            </w:r>
          </w:p>
          <w:p>
            <w:pPr>
              <w:spacing w:before="100"/>
              <w:jc w:val="center"/>
            </w:pPr>
            <w:r>
              <w:rPr>
                <w:rFonts w:ascii="Arial" w:cs="Arial" w:eastAsia="Arial" w:hAnsi="Arial"/>
                <w:b/>
                <w:bCs/>
                <w:color w:val="FFFFFF"/>
                <w:sz w:val="34"/>
                <w:szCs w:val="34"/>
              </w:rPr>
              <w:t xml:space="preserve">Stabilizing the Dollar in a World at War:</w:t>
            </w:r>
          </w:p>
          <w:p>
            <w:pPr>
              <w:spacing w:after="60" w:before="60"/>
              <w:jc w:val="center"/>
            </w:pPr>
            <w:r>
              <w:rPr>
                <w:rFonts w:ascii="Arial" w:cs="Arial" w:eastAsia="Arial" w:hAnsi="Arial"/>
                <w:b/>
                <w:bCs/>
                <w:color w:val="FFFFFF"/>
                <w:sz w:val="30"/>
                <w:szCs w:val="30"/>
              </w:rPr>
              <w:t xml:space="preserve">Velocity Taxation, Social Dividend, and the Capital Flight Fallacy</w:t>
            </w:r>
          </w:p>
          <w:p>
            <w:pPr>
              <w:pBdr>
                <w:top w:val="single" w:color="B8860B" w:sz="4"/>
              </w:pBdr>
              <w:spacing w:before="100"/>
              <w:jc w:val="center"/>
            </w:pPr>
            <w:r>
              <w:rPr>
                <w:rFonts w:ascii="Arial" w:cs="Arial" w:eastAsia="Arial" w:hAnsi="Arial"/>
                <w:i/>
                <w:iCs/>
                <w:color w:val="B8860B"/>
                <w:sz w:val="19"/>
                <w:szCs w:val="19"/>
              </w:rPr>
              <w:t xml:space="preserve">A Legislative Brief for the United States Congress  |  April 5, 2026  |  Incorporating Cross-Model Constitutional Review</w:t>
            </w:r>
          </w:p>
        </w:tc>
      </w:tr>
    </w:tbl>
    <w:p>
      <w:pPr>
        <w:spacing w:after="0" w:before="2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00"/>
              <w:left w:type="dxa" w:w="240"/>
              <w:bottom w:type="dxa" w:w="100"/>
              <w:right w:type="dxa" w:w="240"/>
            </w:tcMar>
          </w:tcPr>
          <w:p>
            <w:r>
              <w:rPr>
                <w:rFonts w:ascii="Arial" w:cs="Arial" w:eastAsia="Arial" w:hAnsi="Arial"/>
                <w:b/>
                <w:bCs/>
                <w:color w:val="1B3A5C"/>
                <w:sz w:val="20"/>
                <w:szCs w:val="20"/>
              </w:rPr>
              <w:t xml:space="preserve">REVISION NOTE</w:t>
            </w:r>
          </w:p>
          <w:p>
            <w:pPr>
              <w:spacing w:before="60"/>
            </w:pPr>
            <w:r>
              <w:rPr>
                <w:rFonts w:ascii="Arial" w:cs="Arial" w:eastAsia="Arial" w:hAnsi="Arial"/>
                <w:color w:val="1A1A1A"/>
                <w:sz w:val="20"/>
                <w:szCs w:val="20"/>
              </w:rPr>
              <w:t xml:space="preserve">This is a revised edition of the Fiscal Stability Brief (April 5, 2026). It incorporates findings from a two-stage cross-model constitutional review (Kimi K2.5, GLM-5, DeepSeek-V3, GPT-4o; synthesis by DeepSeek-R1) and addresses the strongest objections raised. The core velocity tax derivation is unchanged. The principal revisions are: (1) the social dividend section — a new argument addressing the capital flight objection; (2) strengthened oversight provisions in the action plan; and (3) Action 10, the Seventh Generation Monetary Oversight Commission.</w:t>
            </w:r>
          </w:p>
        </w:tc>
      </w:tr>
    </w:tbl>
    <w:p>
      <w:pPr>
        <w:spacing w:after="0" w:before="200"/>
      </w:pPr>
      <w:r>
        <w:t xml:space="preserve"/>
      </w:r>
    </w:p>
    <w:p>
      <w:pPr>
        <w:pStyle w:val="Heading1"/>
        <w:pBdr>
          <w:bottom w:val="single" w:color="B8860B" w:sz="4"/>
        </w:pBdr>
        <w:spacing w:after="100" w:before="320"/>
      </w:pPr>
      <w:r>
        <w:rPr>
          <w:rFonts w:ascii="Arial" w:cs="Arial" w:eastAsia="Arial" w:hAnsi="Arial"/>
          <w:b/>
          <w:bCs/>
          <w:color w:val="1B3A5C"/>
          <w:sz w:val="28"/>
          <w:szCs w:val="28"/>
        </w:rPr>
        <w:t xml:space="preserve">Executive Summary</w:t>
      </w:r>
    </w:p>
    <w:p>
      <w:pPr>
        <w:spacing w:after="100" w:before="60"/>
      </w:pPr>
      <w:r>
        <w:rPr>
          <w:rFonts w:ascii="Arial" w:cs="Arial" w:eastAsia="Arial" w:hAnsi="Arial"/>
          <w:b w:val="false"/>
          <w:bCs w:val="false"/>
          <w:i w:val="false"/>
          <w:iCs w:val="false"/>
          <w:color w:val="1A1A1A"/>
          <w:sz w:val="22"/>
          <w:szCs w:val="22"/>
        </w:rPr>
        <w:t xml:space="preserve">The United States dollar is losing reserve status for two reinforcing reasons. The first is tactical: use of financial infrastructure as a weapon against essential civilian resources has demonstrated to allied nations that dollar-denominated trade carries confiscation risk. The second is structural: the US has accumulated debt at a scale that cannot be serviced sustainably from an income-based tax system calibrated to a 20th-century productive economy.</w:t>
      </w:r>
    </w:p>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i/>
                <w:iCs/>
                <w:color w:val="1B3A5C"/>
                <w:sz w:val="24"/>
                <w:szCs w:val="24"/>
              </w:rPr>
              <w:t xml:space="preserve">The velocity tax addresses the structural problem. It does not tax income, consumption, or wealth. It taxes the path integral of monetary movement — every transaction clearing through the banking system at a flat rate of 0.25–0.7%.</w:t>
            </w:r>
          </w:p>
        </w:tc>
      </w:tr>
    </w:tbl>
    <w:p>
      <w:pPr>
        <w:spacing w:after="0" w:before="120"/>
      </w:pPr>
      <w:r>
        <w:t xml:space="preserve"/>
      </w:r>
    </w:p>
    <w:p>
      <w:pPr>
        <w:spacing w:after="100" w:before="60"/>
      </w:pPr>
      <w:r>
        <w:rPr>
          <w:rFonts w:ascii="Arial" w:cs="Arial" w:eastAsia="Arial" w:hAnsi="Arial"/>
          <w:b w:val="false"/>
          <w:bCs w:val="false"/>
          <w:i w:val="false"/>
          <w:iCs w:val="false"/>
          <w:color w:val="1A1A1A"/>
          <w:sz w:val="22"/>
          <w:szCs w:val="22"/>
        </w:rPr>
        <w:t xml:space="preserve">Because financial transaction volume is orders of magnitude larger than GDP, a tiny rate generates revenue sufficient to replace the entire federal tax apparatus — with surplus. The primary purpose of that surplus is the social dividend: universal healthcare, a guaranteed income floor, and universal pensions for every American. These are not add-ons or aspirational targets. They are the reason the instrument exists. Debt reduction is the structural consequence of the surplus after social programs are fully funded — a consequence that stabilizes the dollar and strengthens the instrument’s political durability.</w:t>
      </w:r>
    </w:p>
    <w:p>
      <w:pPr>
        <w:spacing w:after="0" w:before="80"/>
      </w:pPr>
      <w:r>
        <w:t xml:space="preserve"/>
      </w:r>
    </w:p>
    <w:p>
      <w:pPr>
        <w:spacing w:after="100" w:before="60"/>
      </w:pPr>
      <w:r>
        <w:rPr>
          <w:rFonts w:ascii="Arial" w:cs="Arial" w:eastAsia="Arial" w:hAnsi="Arial"/>
          <w:b w:val="false"/>
          <w:bCs w:val="false"/>
          <w:i w:val="false"/>
          <w:iCs w:val="false"/>
          <w:color w:val="1A1A1A"/>
          <w:sz w:val="22"/>
          <w:szCs w:val="22"/>
        </w:rPr>
        <w:t xml:space="preserve">This is the answer to the capital flight objection. Critics argue that taxing financial transactions will trigger capital flight to non-dollar instruments. The concern has merit for speculative capital — precisely the capital this instrument applies friction to. But productive capital does not flee to low-tax environments above all else. It seeks stable, consuming populations, low labor overhead, and workforce flexibility. A nation providing universal healthcare, guaranteed income, and universal pensions provides all three simultaneously. The velocity tax and the social dividend are not in tension. They are the same instrument working at two layers of the economy at once.</w:t>
      </w:r>
    </w:p>
    <w:p>
      <w:r>
        <w:br w:type="page"/>
      </w:r>
    </w:p>
    <w:p>
      <w:pPr>
        <w:pStyle w:val="Heading1"/>
        <w:pBdr>
          <w:bottom w:val="single" w:color="B8860B" w:sz="4"/>
        </w:pBdr>
        <w:spacing w:after="100" w:before="320"/>
      </w:pPr>
      <w:r>
        <w:rPr>
          <w:rFonts w:ascii="Arial" w:cs="Arial" w:eastAsia="Arial" w:hAnsi="Arial"/>
          <w:b/>
          <w:bCs/>
          <w:color w:val="1B3A5C"/>
          <w:sz w:val="28"/>
          <w:szCs w:val="28"/>
        </w:rPr>
        <w:t xml:space="preserve">I. The Dollar Under Pressure</w:t>
      </w:r>
    </w:p>
    <w:p>
      <w:pPr>
        <w:spacing w:after="100" w:before="60"/>
      </w:pPr>
      <w:r>
        <w:rPr>
          <w:rFonts w:ascii="Arial" w:cs="Arial" w:eastAsia="Arial" w:hAnsi="Arial"/>
          <w:b w:val="false"/>
          <w:bCs w:val="false"/>
          <w:i w:val="false"/>
          <w:iCs w:val="false"/>
          <w:color w:val="1A1A1A"/>
          <w:sz w:val="22"/>
          <w:szCs w:val="22"/>
        </w:rPr>
        <w:t xml:space="preserve">The dollar’s reserve status is not an entitlement. It persists only as long as the dollar is the most reliable, most liquid, and least politically weaponized medium for international settlement. All three foundations are under stress simultaneously.</w:t>
      </w:r>
    </w:p>
    <w:p>
      <w:pPr>
        <w:spacing w:after="0" w:before="80"/>
      </w:pPr>
      <w:r>
        <w:t xml:space="preserve"/>
      </w:r>
    </w:p>
    <w:p>
      <w:pPr>
        <w:spacing w:after="80" w:before="200"/>
      </w:pPr>
      <w:r>
        <w:rPr>
          <w:rFonts w:ascii="Arial" w:cs="Arial" w:eastAsia="Arial" w:hAnsi="Arial"/>
          <w:b/>
          <w:bCs/>
          <w:color w:val="1B3A5C"/>
          <w:sz w:val="24"/>
          <w:szCs w:val="24"/>
        </w:rPr>
        <w:t xml:space="preserve">The Tactical Damage: Weaponization and Trust</w:t>
      </w:r>
    </w:p>
    <w:p>
      <w:pPr>
        <w:pStyle w:val="ListParagraph"/>
        <w:numPr>
          <w:ilvl w:val="0"/>
          <w:numId w:val="2"/>
        </w:numPr>
        <w:spacing w:after="40" w:before="40"/>
      </w:pPr>
      <w:r>
        <w:rPr>
          <w:rFonts w:ascii="Arial" w:cs="Arial" w:eastAsia="Arial" w:hAnsi="Arial"/>
          <w:color w:val="1A1A1A"/>
          <w:sz w:val="22"/>
          <w:szCs w:val="22"/>
        </w:rPr>
        <w:t xml:space="preserve">Iran now accepts yuan for passage through the Strait of Hormuz. This is operational infrastructure, not protest.</w:t>
      </w:r>
    </w:p>
    <w:p>
      <w:pPr>
        <w:pStyle w:val="ListParagraph"/>
        <w:numPr>
          <w:ilvl w:val="0"/>
          <w:numId w:val="2"/>
        </w:numPr>
        <w:spacing w:after="40" w:before="40"/>
      </w:pPr>
      <w:r>
        <w:rPr>
          <w:rFonts w:ascii="Arial" w:cs="Arial" w:eastAsia="Arial" w:hAnsi="Arial"/>
          <w:color w:val="1A1A1A"/>
          <w:sz w:val="22"/>
          <w:szCs w:val="22"/>
        </w:rPr>
        <w:t xml:space="preserve">Japan and South Korea are building yuan/euro settlement mechanisms that route around SWIFT for energy and helium purchases. They have no choice.</w:t>
      </w:r>
    </w:p>
    <w:p>
      <w:pPr>
        <w:pStyle w:val="ListParagraph"/>
        <w:numPr>
          <w:ilvl w:val="0"/>
          <w:numId w:val="2"/>
        </w:numPr>
        <w:spacing w:after="40" w:before="40"/>
      </w:pPr>
      <w:r>
        <w:rPr>
          <w:rFonts w:ascii="Arial" w:cs="Arial" w:eastAsia="Arial" w:hAnsi="Arial"/>
          <w:color w:val="1A1A1A"/>
          <w:sz w:val="22"/>
          <w:szCs w:val="22"/>
        </w:rPr>
        <w:t xml:space="preserve">BRICS nations have accelerated local-currency settlement negotiations throughout 2025–2026.</w:t>
      </w:r>
    </w:p>
    <w:p>
      <w:pPr>
        <w:pStyle w:val="ListParagraph"/>
        <w:numPr>
          <w:ilvl w:val="0"/>
          <w:numId w:val="2"/>
        </w:numPr>
        <w:spacing w:after="40" w:before="40"/>
      </w:pPr>
      <w:r>
        <w:rPr>
          <w:rFonts w:ascii="Arial" w:cs="Arial" w:eastAsia="Arial" w:hAnsi="Arial"/>
          <w:color w:val="1A1A1A"/>
          <w:sz w:val="22"/>
          <w:szCs w:val="22"/>
        </w:rPr>
        <w:t xml:space="preserve">Saudi Arabia has discussed yuan-denominated oil contracts. Once this infrastructure exists, it does not revert.</w:t>
      </w:r>
    </w:p>
    <w:p>
      <w:pPr>
        <w:spacing w:after="0" w:before="80"/>
      </w:pPr>
      <w:r>
        <w:t xml:space="preserve"/>
      </w:r>
    </w:p>
    <w:p>
      <w:pPr>
        <w:spacing w:after="100" w:before="60"/>
      </w:pPr>
      <w:r>
        <w:rPr>
          <w:rFonts w:ascii="Arial" w:cs="Arial" w:eastAsia="Arial" w:hAnsi="Arial"/>
          <w:b w:val="false"/>
          <w:bCs w:val="false"/>
          <w:i w:val="false"/>
          <w:iCs w:val="false"/>
          <w:color w:val="1A1A1A"/>
          <w:sz w:val="22"/>
          <w:szCs w:val="22"/>
        </w:rPr>
        <w:t xml:space="preserve">The Suez parallel remains the most precise historical analogue: Britain achieved military success in 1956 and lost reserve currency status within months. The critical difference: in 1956, the United States imposed the correction. In 2026, the United States is the acting hegemon. There is no external correction mechanism.</w:t>
      </w:r>
    </w:p>
    <w:p>
      <w:pPr>
        <w:spacing w:after="0" w:before="80"/>
      </w:pPr>
      <w:r>
        <w:t xml:space="preserve"/>
      </w:r>
    </w:p>
    <w:p>
      <w:pPr>
        <w:spacing w:after="80" w:before="200"/>
      </w:pPr>
      <w:r>
        <w:rPr>
          <w:rFonts w:ascii="Arial" w:cs="Arial" w:eastAsia="Arial" w:hAnsi="Arial"/>
          <w:b/>
          <w:bCs/>
          <w:color w:val="1B3A5C"/>
          <w:sz w:val="24"/>
          <w:szCs w:val="24"/>
        </w:rPr>
        <w:t xml:space="preserve">The Structural Damage: Debt That Cannot Be Serviced</w:t>
      </w:r>
    </w:p>
    <w:p>
      <w:pPr>
        <w:spacing w:after="100" w:before="60"/>
      </w:pPr>
      <w:r>
        <w:rPr>
          <w:rFonts w:ascii="Arial" w:cs="Arial" w:eastAsia="Arial" w:hAnsi="Arial"/>
          <w:b w:val="false"/>
          <w:bCs w:val="false"/>
          <w:i w:val="false"/>
          <w:iCs w:val="false"/>
          <w:color w:val="1A1A1A"/>
          <w:sz w:val="22"/>
          <w:szCs w:val="22"/>
        </w:rPr>
        <w:t xml:space="preserve">Federal debt exceeds $36 trillion. Debt service is the fastest-growing budget line, crowding out defense, infrastructure, and social programs simultaneously. The income tax system cannot solve this — it is procyclical by design: revenues collapse in recessions precisely when debt pressure is highest. This is not political failure. It is a design failure built into the instrument.</w:t>
      </w:r>
    </w:p>
    <w:p>
      <w:pPr>
        <w:spacing w:after="0" w:before="200"/>
      </w:pPr>
      <w:r>
        <w:t xml:space="preserve"/>
      </w:r>
    </w:p>
    <w:p>
      <w:pPr>
        <w:pStyle w:val="Heading1"/>
        <w:pBdr>
          <w:bottom w:val="single" w:color="B8860B" w:sz="4"/>
        </w:pBdr>
        <w:spacing w:after="100" w:before="320"/>
      </w:pPr>
      <w:r>
        <w:rPr>
          <w:rFonts w:ascii="Arial" w:cs="Arial" w:eastAsia="Arial" w:hAnsi="Arial"/>
          <w:b/>
          <w:bCs/>
          <w:color w:val="1B3A5C"/>
          <w:sz w:val="28"/>
          <w:szCs w:val="28"/>
        </w:rPr>
        <w:t xml:space="preserve">II. The Economy Has Changed — The Tax Base Has Not</w:t>
      </w:r>
    </w:p>
    <w:p>
      <w:pPr>
        <w:spacing w:after="100" w:before="60"/>
      </w:pPr>
      <w:r>
        <w:rPr>
          <w:rFonts w:ascii="Arial" w:cs="Arial" w:eastAsia="Arial" w:hAnsi="Arial"/>
          <w:b w:val="false"/>
          <w:bCs w:val="false"/>
          <w:i w:val="false"/>
          <w:iCs w:val="false"/>
          <w:color w:val="1A1A1A"/>
          <w:sz w:val="22"/>
          <w:szCs w:val="22"/>
        </w:rPr>
        <w:t xml:space="preserve">Milton Friedman’s equation of exchange:</w:t>
      </w:r>
    </w:p>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E8EEF4" w:val="clear"/>
            <w:tcMar>
              <w:top w:type="dxa" w:w="160"/>
              <w:left w:type="dxa" w:w="480"/>
              <w:bottom w:type="dxa" w:w="160"/>
              <w:right w:type="dxa" w:w="480"/>
            </w:tcMar>
          </w:tcPr>
          <w:p>
            <w:pPr>
              <w:jc w:val="center"/>
            </w:pPr>
            <w:r>
              <w:rPr>
                <w:rFonts w:ascii="Arial" w:cs="Arial" w:eastAsia="Arial" w:hAnsi="Arial"/>
                <w:b/>
                <w:bCs/>
                <w:color w:val="1B3A5C"/>
                <w:sz w:val="40"/>
                <w:szCs w:val="40"/>
              </w:rPr>
              <w:t xml:space="preserve">MV = PQ</w:t>
            </w:r>
          </w:p>
          <w:p>
            <w:pPr>
              <w:spacing w:before="80"/>
              <w:jc w:val="center"/>
            </w:pPr>
            <w:r>
              <w:rPr>
                <w:rFonts w:ascii="Arial" w:cs="Arial" w:eastAsia="Arial" w:hAnsi="Arial"/>
                <w:color w:val="555555"/>
                <w:sz w:val="18"/>
                <w:szCs w:val="18"/>
              </w:rPr>
              <w:t xml:space="preserve">M = money supply  •  V = velocity of money  •  P = price level  •  Q = real output</w:t>
            </w:r>
          </w:p>
        </w:tc>
      </w:tr>
    </w:tbl>
    <w:p>
      <w:pPr>
        <w:spacing w:after="0" w:before="120"/>
      </w:pPr>
      <w:r>
        <w:t xml:space="preserve"/>
      </w:r>
    </w:p>
    <w:p>
      <w:pPr>
        <w:spacing w:after="100" w:before="60"/>
      </w:pPr>
      <w:r>
        <w:rPr>
          <w:rFonts w:ascii="Arial" w:cs="Arial" w:eastAsia="Arial" w:hAnsi="Arial"/>
          <w:b w:val="false"/>
          <w:bCs w:val="false"/>
          <w:i w:val="false"/>
          <w:iCs w:val="false"/>
          <w:color w:val="1A1A1A"/>
          <w:sz w:val="22"/>
          <w:szCs w:val="22"/>
        </w:rPr>
        <w:t xml:space="preserve">Policy has focused on M and PQ. V was treated as stable background noise. It is not. High-frequency trading executes millions of transactions per second. Derivatives, futures, equity trades, currency swaps — all V, not Q. The productive economy is bounded by what people make, grow, and sell. Financial transaction volume is not.</w:t>
      </w:r>
    </w:p>
    <w:p>
      <w:pPr>
        <w:spacing w:after="0" w:before="60"/>
      </w:pPr>
      <w:r>
        <w:t xml:space="preserve"/>
      </w:r>
    </w:p>
    <w:p>
      <w:pPr>
        <w:spacing w:after="100" w:before="60"/>
      </w:pPr>
      <w:r>
        <w:rPr>
          <w:rFonts w:ascii="Arial" w:cs="Arial" w:eastAsia="Arial" w:hAnsi="Arial"/>
          <w:b w:val="false"/>
          <w:bCs w:val="false"/>
          <w:i w:val="false"/>
          <w:iCs w:val="false"/>
          <w:color w:val="1A1A1A"/>
          <w:sz w:val="22"/>
          <w:szCs w:val="22"/>
        </w:rPr>
        <w:t xml:space="preserve">In any modern economy with active exchanges, the path integral of monetary movement — the total accumulated distance money travels — exceeds GDP by orders of magnitude. Every existing tax is anchored to Q. They collectively ignore the vast majority of economic activity occurring in the financial layer above the productive economy.</w:t>
      </w:r>
    </w:p>
    <w:p>
      <w:pPr>
        <w:spacing w:after="0" w:before="200"/>
      </w:pPr>
      <w:r>
        <w:t xml:space="preserve"/>
      </w:r>
    </w:p>
    <w:p>
      <w:r>
        <w:br w:type="page"/>
      </w:r>
    </w:p>
    <w:p>
      <w:pPr>
        <w:pStyle w:val="Heading1"/>
        <w:pBdr>
          <w:bottom w:val="single" w:color="B8860B" w:sz="4"/>
        </w:pBdr>
        <w:spacing w:after="100" w:before="320"/>
      </w:pPr>
      <w:r>
        <w:rPr>
          <w:rFonts w:ascii="Arial" w:cs="Arial" w:eastAsia="Arial" w:hAnsi="Arial"/>
          <w:b/>
          <w:bCs/>
          <w:color w:val="1B3A5C"/>
          <w:sz w:val="28"/>
          <w:szCs w:val="28"/>
        </w:rPr>
        <w:t xml:space="preserve">III. The Velocity Tax: Structure and Mechanics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i/>
                <w:iCs/>
                <w:color w:val="1B3A5C"/>
                <w:sz w:val="24"/>
                <w:szCs w:val="24"/>
              </w:rPr>
              <w:t xml:space="preserve">Every existing tax taxes the derivative. The velocity tax taxes the integral.</w:t>
            </w:r>
          </w:p>
        </w:tc>
      </w:tr>
    </w:tbl>
    <w:p>
      <w:pPr>
        <w:spacing w:after="0" w:before="120"/>
      </w:pPr>
      <w:r>
        <w:t xml:space="preserve"/>
      </w:r>
    </w:p>
    <w:p>
      <w:pPr>
        <w:spacing w:after="100" w:before="60"/>
      </w:pPr>
      <w:r>
        <w:rPr>
          <w:rFonts w:ascii="Arial" w:cs="Arial" w:eastAsia="Arial" w:hAnsi="Arial"/>
          <w:b w:val="false"/>
          <w:bCs w:val="false"/>
          <w:i w:val="false"/>
          <w:iCs w:val="false"/>
          <w:color w:val="1A1A1A"/>
          <w:sz w:val="22"/>
          <w:szCs w:val="22"/>
        </w:rPr>
        <w:t xml:space="preserve">Income tax measures the rate of change of money accumulating to a person — a derivative with respect to time. The velocity tax taxes the path integral of monetary movement: the total accumulated distance money travels, regardless of direction, destination, or who ends up holding it. A flat rate t applied at any clearing event.</w:t>
      </w:r>
    </w:p>
    <w:p>
      <w:pPr>
        <w:spacing w:after="0" w:before="80"/>
      </w:pPr>
      <w:r>
        <w:t xml:space="preserve"/>
      </w:r>
    </w:p>
    <w:p>
      <w:pPr>
        <w:spacing w:after="80" w:before="200"/>
      </w:pPr>
      <w:r>
        <w:rPr>
          <w:rFonts w:ascii="Arial" w:cs="Arial" w:eastAsia="Arial" w:hAnsi="Arial"/>
          <w:b/>
          <w:bCs/>
          <w:color w:val="1B3A5C"/>
          <w:sz w:val="24"/>
          <w:szCs w:val="24"/>
        </w:rPr>
        <w:t xml:space="preserve">What Each Tax Sees — A Simple Example</w:t>
      </w:r>
    </w:p>
    <w:p>
      <w:pPr>
        <w:spacing w:after="100" w:before="60"/>
      </w:pPr>
      <w:r>
        <w:rPr>
          <w:rFonts w:ascii="Arial" w:cs="Arial" w:eastAsia="Arial" w:hAnsi="Arial"/>
          <w:b w:val="false"/>
          <w:bCs w:val="false"/>
          <w:i w:val="false"/>
          <w:iCs w:val="false"/>
          <w:color w:val="1A1A1A"/>
          <w:sz w:val="22"/>
          <w:szCs w:val="22"/>
        </w:rPr>
        <w:t xml:space="preserve">A stock position traded one thousand times in a day, zero net price change:</w:t>
      </w:r>
    </w:p>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120"/>
        <w:gridCol w:w="6600"/>
      </w:tblGrid>
      <w:tr>
        <w:tc>
          <w:tcPr>
            <w:tcW w:type="dxa" w:w="312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Tax</w:t>
            </w:r>
          </w:p>
        </w:tc>
        <w:tc>
          <w:tcPr>
            <w:tcW w:type="dxa" w:w="6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sees</w:t>
            </w:r>
          </w:p>
        </w:tc>
      </w:tr>
      <w:tr>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Income Tax</w:t>
            </w:r>
          </w:p>
        </w:tc>
        <w:tc>
          <w:tcPr>
            <w:tcW w:type="dxa" w:w="6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 No gain recognized.</w:t>
            </w:r>
          </w:p>
        </w:tc>
      </w:tr>
      <w:tr>
        <w:tc>
          <w:tcPr>
            <w:tcW w:type="dxa" w:w="312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b w:val="false"/>
                <w:bCs w:val="false"/>
                <w:color w:val="1A1A1A"/>
                <w:sz w:val="20"/>
                <w:szCs w:val="20"/>
              </w:rPr>
              <w:t xml:space="preserve">Capital Gains</w:t>
            </w:r>
          </w:p>
        </w:tc>
        <w:tc>
          <w:tcPr>
            <w:tcW w:type="dxa" w:w="660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 Position unchanged.</w:t>
            </w:r>
          </w:p>
        </w:tc>
      </w:tr>
      <w:tr>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Sales Tax</w:t>
            </w:r>
          </w:p>
        </w:tc>
        <w:tc>
          <w:tcPr>
            <w:tcW w:type="dxa" w:w="6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 No consumption occurred.</w:t>
            </w:r>
          </w:p>
        </w:tc>
      </w:tr>
      <w:tr>
        <w:tc>
          <w:tcPr>
            <w:tcW w:type="dxa" w:w="312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b/>
                <w:bCs/>
                <w:color w:val="1B3A5C"/>
                <w:sz w:val="20"/>
                <w:szCs w:val="20"/>
              </w:rPr>
              <w:t xml:space="preserve">Velocity Tax</w:t>
            </w:r>
          </w:p>
        </w:tc>
        <w:tc>
          <w:tcPr>
            <w:tcW w:type="dxa" w:w="660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b/>
                <w:bCs/>
                <w:color w:val="1B3A5C"/>
                <w:sz w:val="20"/>
                <w:szCs w:val="20"/>
              </w:rPr>
              <w:t xml:space="preserve">Two thousand transaction legs. An enormous accumulated path.</w:t>
            </w:r>
          </w:p>
        </w:tc>
      </w:tr>
    </w:tbl>
    <w:p>
      <w:pPr>
        <w:spacing w:after="0" w:before="120"/>
      </w:pPr>
      <w:r>
        <w:t xml:space="preserve"/>
      </w:r>
    </w:p>
    <w:p>
      <w:pPr>
        <w:spacing w:after="100" w:before="60"/>
      </w:pPr>
      <w:r>
        <w:rPr>
          <w:rFonts w:ascii="Arial" w:cs="Arial" w:eastAsia="Arial" w:hAnsi="Arial"/>
          <w:b w:val="false"/>
          <w:bCs w:val="false"/>
          <w:i w:val="false"/>
          <w:iCs w:val="false"/>
          <w:color w:val="1A1A1A"/>
          <w:sz w:val="22"/>
          <w:szCs w:val="22"/>
        </w:rPr>
        <w:t xml:space="preserve">The mathematics is straightforward. Rate range 0.25–0.7% generates revenue sufficient to replace the entire federal tax apparatus because the base — total cleared transaction volume — exceeds GDP by orders of magnitude. A 0.35% tax on a $100 grocery purchase is $0.35. A 0.35% tax on $10 billion in daily equity trades is $35 million from one firm, one day.</w:t>
      </w:r>
    </w:p>
    <w:p>
      <w:pPr>
        <w:spacing w:after="0" w:before="60"/>
      </w:pPr>
      <w:r>
        <w:t xml:space="preserve"/>
      </w:r>
    </w:p>
    <w:p>
      <w:pPr>
        <w:spacing w:after="100" w:before="60"/>
      </w:pPr>
      <w:r>
        <w:rPr>
          <w:rFonts w:ascii="Arial" w:cs="Arial" w:eastAsia="Arial" w:hAnsi="Arial"/>
          <w:b w:val="false"/>
          <w:bCs w:val="false"/>
          <w:i w:val="false"/>
          <w:iCs w:val="false"/>
          <w:color w:val="1A1A1A"/>
          <w:sz w:val="22"/>
          <w:szCs w:val="22"/>
        </w:rPr>
        <w:t xml:space="preserve">Three structural properties: automatic progressivity (wealthy money travels further by orders of magnitude — flat rate, radically unequal burden by design); no valuation problem (bank deducts at clearing layer automatically, like an ATM fee — no returns, no audits, complexity increases the tax rather than enabling avoidance); countercyclical base (V spikes during financial crises, revenue is highest precisely when most needed).</w:t>
      </w:r>
    </w:p>
    <w:p>
      <w:pPr>
        <w:spacing w:after="0" w:before="200"/>
      </w:pPr>
      <w:r>
        <w:t xml:space="preserve"/>
      </w:r>
    </w:p>
    <w:p>
      <w:r>
        <w:br w:type="page"/>
      </w:r>
    </w:p>
    <w:p>
      <w:pPr>
        <w:pStyle w:val="Heading1"/>
        <w:pBdr>
          <w:bottom w:val="single" w:color="B8860B" w:sz="4"/>
        </w:pBdr>
        <w:spacing w:after="100" w:before="320"/>
      </w:pPr>
      <w:r>
        <w:rPr>
          <w:rFonts w:ascii="Arial" w:cs="Arial" w:eastAsia="Arial" w:hAnsi="Arial"/>
          <w:b/>
          <w:bCs/>
          <w:color w:val="1B3A5C"/>
          <w:sz w:val="28"/>
          <w:szCs w:val="28"/>
        </w:rPr>
        <w:t xml:space="preserve">IV. How the Velocity Tax Stabilizes the Dollar</w:t>
      </w:r>
    </w:p>
    <w:p>
      <w:pPr>
        <w:spacing w:after="100" w:before="60"/>
      </w:pPr>
      <w:r>
        <w:rPr>
          <w:rFonts w:ascii="Arial" w:cs="Arial" w:eastAsia="Arial" w:hAnsi="Arial"/>
          <w:b w:val="false"/>
          <w:bCs w:val="false"/>
          <w:i w:val="false"/>
          <w:iCs w:val="false"/>
          <w:color w:val="1A1A1A"/>
          <w:sz w:val="22"/>
          <w:szCs w:val="22"/>
        </w:rPr>
        <w:t xml:space="preserve">The dollar’s instability has two causes: structural (unsustainable debt), and behavioral (speculative capital flows that price instability into currency markets). The velocity tax addresses both simultaneously, across three stages. But the mechanism that makes all three stages work is the same: the social dividend. A nation providing universal healthcare, guaranteed income, and pensions is a nation whose working population has spending power, flexibility, and security. Productive capital does not flee that environment. It is attracted to it.</w:t>
      </w:r>
    </w:p>
    <w:p>
      <w:pPr>
        <w:spacing w:after="0" w:before="80"/>
      </w:pPr>
      <w:r>
        <w:t xml:space="preserve"/>
      </w:r>
    </w:p>
    <w:p>
      <w:pPr>
        <w:spacing w:after="80" w:before="200"/>
      </w:pPr>
      <w:r>
        <w:rPr>
          <w:rFonts w:ascii="Arial" w:cs="Arial" w:eastAsia="Arial" w:hAnsi="Arial"/>
          <w:b/>
          <w:bCs/>
          <w:color w:val="1B3A5C"/>
          <w:sz w:val="24"/>
          <w:szCs w:val="24"/>
        </w:rPr>
        <w:t xml:space="preserve">Stage 1 — The Social Dividend as Productive Capital Magnet</w:t>
      </w:r>
    </w:p>
    <w:p>
      <w:pPr>
        <w:spacing w:after="100" w:before="60"/>
      </w:pPr>
      <w:r>
        <w:rPr>
          <w:rFonts w:ascii="Arial" w:cs="Arial" w:eastAsia="Arial" w:hAnsi="Arial"/>
          <w:b w:val="false"/>
          <w:bCs w:val="false"/>
          <w:i w:val="false"/>
          <w:iCs w:val="false"/>
          <w:color w:val="1A1A1A"/>
          <w:sz w:val="22"/>
          <w:szCs w:val="22"/>
        </w:rPr>
        <w:t xml:space="preserve">Consider what employers currently bear: $7–8,000 per employee per year in healthcare costs, rising annually. Pension and retirement obligations as long-term balance sheet liabilities. Wage pressure from workers who cannot afford job risk because losing a job means losing healthcare. Under a velocity tax regime that funds universal healthcare, guaranteed income, and universal pensions, these burdens disappear entirely. The cost reduction for any employer hiring American workers exceeds the friction from transaction taxes on productive commerce by an order of magnitude.</w:t>
      </w:r>
    </w:p>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860B" w:sz="6"/>
              <w:left w:val="single" w:color="B8860B" w:sz="6"/>
              <w:bottom w:val="single" w:color="B8860B" w:sz="6"/>
              <w:right w:val="single" w:color="B8860B" w:sz="6"/>
            </w:tcBorders>
            <w:shd w:fill="F5F0E0" w:val="clear"/>
            <w:tcMar>
              <w:top w:type="dxa" w:w="160"/>
              <w:left w:type="dxa" w:w="360"/>
              <w:bottom w:type="dxa" w:w="160"/>
              <w:right w:type="dxa" w:w="360"/>
            </w:tcMar>
          </w:tcPr>
          <w:p>
            <w:pPr>
              <w:jc w:val="center"/>
            </w:pPr>
            <w:r>
              <w:rPr>
                <w:rFonts w:ascii="Arial" w:cs="Arial" w:eastAsia="Arial" w:hAnsi="Arial"/>
                <w:b/>
                <w:bCs/>
                <w:color w:val="1B3A5C"/>
                <w:sz w:val="22"/>
                <w:szCs w:val="22"/>
              </w:rPr>
              <w:t xml:space="preserve">Social dividend → Employer overhead falls → Workers gain flexibility</w:t>
            </w:r>
          </w:p>
          <w:p>
            <w:pPr>
              <w:jc w:val="center"/>
            </w:pPr>
            <w:r>
              <w:rPr>
                <w:rFonts w:ascii="Arial" w:cs="Arial" w:eastAsia="Arial" w:hAnsi="Arial"/>
                <w:b/>
                <w:bCs/>
                <w:color w:val="B8860B"/>
                <w:sz w:val="28"/>
                <w:szCs w:val="28"/>
              </w:rPr>
              <w:t xml:space="preserve">↓</w:t>
            </w:r>
          </w:p>
          <w:p>
            <w:pPr>
              <w:jc w:val="center"/>
            </w:pPr>
            <w:r>
              <w:rPr>
                <w:rFonts w:ascii="Arial" w:cs="Arial" w:eastAsia="Arial" w:hAnsi="Arial"/>
                <w:b/>
                <w:bCs/>
                <w:color w:val="1B3A5C"/>
                <w:sz w:val="22"/>
                <w:szCs w:val="22"/>
              </w:rPr>
              <w:t xml:space="preserve">Productive investment rises → Consumer demand rises → Dollar demand rises</w:t>
            </w:r>
          </w:p>
          <w:p>
            <w:pPr>
              <w:spacing w:before="80"/>
              <w:jc w:val="center"/>
            </w:pPr>
            <w:r>
              <w:rPr>
                <w:rFonts w:ascii="Arial" w:cs="Arial" w:eastAsia="Arial" w:hAnsi="Arial"/>
                <w:b/>
                <w:bCs/>
                <w:i/>
                <w:iCs/>
                <w:color w:val="B8860B"/>
                <w:sz w:val="20"/>
                <w:szCs w:val="20"/>
              </w:rPr>
              <w:t xml:space="preserve">The velocity tax is worth more as a productive-capital magnet than any rate reduction billionaires could demand</w:t>
            </w:r>
          </w:p>
        </w:tc>
      </w:tr>
    </w:tbl>
    <w:p>
      <w:pPr>
        <w:spacing w:after="0" w:before="80"/>
      </w:pPr>
      <w:r>
        <w:t xml:space="preserve"/>
      </w:r>
    </w:p>
    <w:p>
      <w:pPr>
        <w:spacing w:after="100" w:before="60"/>
      </w:pPr>
      <w:r>
        <w:rPr>
          <w:rFonts w:ascii="Arial" w:cs="Arial" w:eastAsia="Arial" w:hAnsi="Arial"/>
          <w:b w:val="false"/>
          <w:bCs w:val="false"/>
          <w:i w:val="false"/>
          <w:iCs w:val="false"/>
          <w:color w:val="1A1A1A"/>
          <w:sz w:val="22"/>
          <w:szCs w:val="22"/>
        </w:rPr>
        <w:t xml:space="preserve">Surplus revenue above social program funding flows to sovereign debt paydown. That reduction generates a second feedback loop: creditworthiness rises, borrowing costs fall, deficit pressure eases, paydown capacity increases. The dollar stabilizes structurally. But this structural consequence is downstream of the social dividend, not upstream of it.</w:t>
      </w:r>
    </w:p>
    <w:p>
      <w:pPr>
        <w:spacing w:after="0" w:before="120"/>
      </w:pPr>
      <w:r>
        <w:t xml:space="preserve"/>
      </w:r>
    </w:p>
    <w:p>
      <w:pPr>
        <w:spacing w:after="80" w:before="200"/>
      </w:pPr>
      <w:r>
        <w:rPr>
          <w:rFonts w:ascii="Arial" w:cs="Arial" w:eastAsia="Arial" w:hAnsi="Arial"/>
          <w:b/>
          <w:bCs/>
          <w:color w:val="1B3A5C"/>
          <w:sz w:val="24"/>
          <w:szCs w:val="24"/>
        </w:rPr>
        <w:t xml:space="preserve">Stage 2 — Friction on Speculative Excess</w:t>
      </w:r>
    </w:p>
    <w:p>
      <w:pPr>
        <w:spacing w:after="100" w:before="60"/>
      </w:pPr>
      <w:r>
        <w:rPr>
          <w:rFonts w:ascii="Arial" w:cs="Arial" w:eastAsia="Arial" w:hAnsi="Arial"/>
          <w:b w:val="false"/>
          <w:bCs w:val="false"/>
          <w:i w:val="false"/>
          <w:iCs w:val="false"/>
          <w:color w:val="1A1A1A"/>
          <w:sz w:val="22"/>
          <w:szCs w:val="22"/>
        </w:rPr>
        <w:t xml:space="preserve">The flows currently pricing dollar instability into currency markets are speculative V, not productive V. A flat velocity tax applies maximum friction to maximum-volume transactions without prohibiting any instrument or requiring regulatory identification. The tax is self-targeting: it applies friction where fragility is generated, not where value is created.</w:t>
      </w:r>
    </w:p>
    <w:p>
      <w:pPr>
        <w:spacing w:after="0" w:before="80"/>
      </w:pPr>
      <w:r>
        <w:t xml:space="preserve"/>
      </w:r>
    </w:p>
    <w:p>
      <w:pPr>
        <w:spacing w:after="80" w:before="200"/>
      </w:pPr>
      <w:r>
        <w:rPr>
          <w:rFonts w:ascii="Arial" w:cs="Arial" w:eastAsia="Arial" w:hAnsi="Arial"/>
          <w:b/>
          <w:bCs/>
          <w:color w:val="1B3A5C"/>
          <w:sz w:val="24"/>
          <w:szCs w:val="24"/>
        </w:rPr>
        <w:t xml:space="preserve">Stage 3 — The Dynamic Rate as Monetary Control</w:t>
      </w:r>
    </w:p>
    <w:p>
      <w:pPr>
        <w:spacing w:after="100" w:before="60"/>
      </w:pPr>
      <w:r>
        <w:rPr>
          <w:rFonts w:ascii="Arial" w:cs="Arial" w:eastAsia="Arial" w:hAnsi="Arial"/>
          <w:b w:val="false"/>
          <w:bCs w:val="false"/>
          <w:i w:val="false"/>
          <w:iCs w:val="false"/>
          <w:color w:val="1A1A1A"/>
          <w:sz w:val="22"/>
          <w:szCs w:val="22"/>
        </w:rPr>
        <w:t xml:space="preserve">The rate need not be fixed. It can be set as a function of velocity itself:</w:t>
      </w:r>
    </w:p>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E8EEF4" w:val="clear"/>
            <w:tcMar>
              <w:top w:type="dxa" w:w="160"/>
              <w:left w:type="dxa" w:w="480"/>
              <w:bottom w:type="dxa" w:w="160"/>
              <w:right w:type="dxa" w:w="480"/>
            </w:tcMar>
          </w:tcPr>
          <w:p>
            <w:pPr>
              <w:jc w:val="center"/>
            </w:pPr>
            <w:r>
              <w:rPr>
                <w:rFonts w:ascii="Arial" w:cs="Arial" w:eastAsia="Arial" w:hAnsi="Arial"/>
                <w:b/>
                <w:bCs/>
                <w:color w:val="1B3A5C"/>
                <w:sz w:val="32"/>
                <w:szCs w:val="32"/>
              </w:rPr>
              <w:t xml:space="preserve">t(V) = t₀ + k × max(0, V − V₀)</w:t>
            </w:r>
          </w:p>
          <w:p>
            <w:pPr>
              <w:spacing w:before="80"/>
              <w:jc w:val="center"/>
            </w:pPr>
            <w:r>
              <w:rPr>
                <w:rFonts w:ascii="Arial" w:cs="Arial" w:eastAsia="Arial" w:hAnsi="Arial"/>
                <w:color w:val="555555"/>
                <w:sz w:val="18"/>
                <w:szCs w:val="18"/>
              </w:rPr>
              <w:t xml:space="preserve">Rate rises with excess velocity, falls at productive baseline — self-correcting without legislative action</w:t>
            </w:r>
          </w:p>
        </w:tc>
      </w:tr>
    </w:tbl>
    <w:p>
      <w:pPr>
        <w:spacing w:after="0" w:before="80"/>
      </w:pPr>
      <w:r>
        <w:t xml:space="preserve"/>
      </w:r>
    </w:p>
    <w:p>
      <w:pPr>
        <w:spacing w:after="100" w:before="60"/>
      </w:pPr>
      <w:r>
        <w:rPr>
          <w:rFonts w:ascii="Arial" w:cs="Arial" w:eastAsia="Arial" w:hAnsi="Arial"/>
          <w:b w:val="false"/>
          <w:bCs w:val="false"/>
          <w:i w:val="false"/>
          <w:iCs w:val="false"/>
          <w:color w:val="1A1A1A"/>
          <w:sz w:val="22"/>
          <w:szCs w:val="22"/>
        </w:rPr>
        <w:t xml:space="preserve">This is surgical where the Fed’s interest rate tool is blunt. Raising rates to cool speculation simultaneously raises costs for the manufacturer financing equipment, the farmer buying seed, the family purchasing a home. The velocity-responsive rate applies friction specifically to excess financial velocity, leaving productive transactions at baseline rates. AI management — operating on real-time clearing data rather than lagging CPI and unemployment figures �� is the natural execution layer. The Fed sets the parameters; the system executes within them.</w:t>
      </w:r>
    </w:p>
    <w:p>
      <w:pPr>
        <w:spacing w:after="0" w:before="200"/>
      </w:pPr>
      <w:r>
        <w:t xml:space="preserve"/>
      </w:r>
    </w:p>
    <w:p>
      <w:r>
        <w:br w:type="page"/>
      </w:r>
    </w:p>
    <w:p>
      <w:pPr>
        <w:pStyle w:val="Heading1"/>
        <w:pBdr>
          <w:bottom w:val="single" w:color="B8860B" w:sz="4"/>
        </w:pBdr>
        <w:spacing w:after="100" w:before="320"/>
      </w:pPr>
      <w:r>
        <w:rPr>
          <w:rFonts w:ascii="Arial" w:cs="Arial" w:eastAsia="Arial" w:hAnsi="Arial"/>
          <w:b/>
          <w:bCs/>
          <w:color w:val="1B3A5C"/>
          <w:sz w:val="28"/>
          <w:szCs w:val="28"/>
        </w:rPr>
        <w:t xml:space="preserve">V. The Social Dividend: Healthcare, Income, and Pensions</w:t>
      </w:r>
    </w:p>
    <w:p>
      <w:pPr>
        <w:spacing w:after="100" w:before="60"/>
      </w:pPr>
      <w:r>
        <w:rPr>
          <w:rFonts w:ascii="Arial" w:cs="Arial" w:eastAsia="Arial" w:hAnsi="Arial"/>
          <w:b w:val="false"/>
          <w:bCs w:val="false"/>
          <w:i w:val="false"/>
          <w:iCs w:val="false"/>
          <w:color w:val="1A1A1A"/>
          <w:sz w:val="22"/>
          <w:szCs w:val="22"/>
        </w:rPr>
        <w:t xml:space="preserve">The revenue generated by velocity taxation is large enough not only to replace existing taxes and mandate structural debt reduction — it is large enough to fund a social dividend: universal healthcare, a guaranteed income floor, and universal pensions. This is not an add-on to the fiscal argument. It is the answer to the strongest objection the proposal faces.</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i/>
                <w:iCs/>
                <w:color w:val="1B3A5C"/>
                <w:sz w:val="24"/>
                <w:szCs w:val="24"/>
              </w:rPr>
              <w:t xml:space="preserve">The capital flight objection assumes capital prefers low-tax environments above all else. It does not. Productive capital also requires a stable, consuming population, low labor overhead, and workforce flexibility. The social dividend provides all three.</w:t>
            </w:r>
          </w:p>
        </w:tc>
      </w:tr>
    </w:tbl>
    <w:p>
      <w:pPr>
        <w:spacing w:after="0" w:before="120"/>
      </w:pPr>
      <w:r>
        <w:t xml:space="preserve"/>
      </w:r>
    </w:p>
    <w:p>
      <w:pPr>
        <w:spacing w:after="80" w:before="200"/>
      </w:pPr>
      <w:r>
        <w:rPr>
          <w:rFonts w:ascii="Arial" w:cs="Arial" w:eastAsia="Arial" w:hAnsi="Arial"/>
          <w:b/>
          <w:bCs/>
          <w:color w:val="1B3A5C"/>
          <w:sz w:val="24"/>
          <w:szCs w:val="24"/>
        </w:rPr>
        <w:t xml:space="preserve">The Capital Flight Objection — and the Countervailing Case</w:t>
      </w:r>
    </w:p>
    <w:p>
      <w:pPr>
        <w:spacing w:after="100" w:before="60"/>
      </w:pPr>
      <w:r>
        <w:rPr>
          <w:rFonts w:ascii="Arial" w:cs="Arial" w:eastAsia="Arial" w:hAnsi="Arial"/>
          <w:b w:val="false"/>
          <w:bCs w:val="false"/>
          <w:i w:val="false"/>
          <w:iCs w:val="false"/>
          <w:color w:val="1A1A1A"/>
          <w:sz w:val="22"/>
          <w:szCs w:val="22"/>
        </w:rPr>
        <w:t xml:space="preserve">Critics argue that taxing financial transactions will trigger capital flight to non-dollar instruments. The concern has merit for speculative capital — precisely the capital the tax is designed to apply friction to. But for productive capital — the capital that builds factories, funds research, hires workers, and generates real economic output — the calculus is different.</w:t>
      </w:r>
    </w:p>
    <w:p>
      <w:pPr>
        <w:spacing w:after="0" w:before="80"/>
      </w:pPr>
      <w:r>
        <w:t xml:space="preserve"/>
      </w:r>
    </w:p>
    <w:p>
      <w:pPr>
        <w:spacing w:after="100" w:before="60"/>
      </w:pPr>
      <w:r>
        <w:rPr>
          <w:rFonts w:ascii="Arial" w:cs="Arial" w:eastAsia="Arial" w:hAnsi="Arial"/>
          <w:b w:val="false"/>
          <w:bCs w:val="false"/>
          <w:i w:val="false"/>
          <w:iCs w:val="false"/>
          <w:color w:val="1A1A1A"/>
          <w:sz w:val="22"/>
          <w:szCs w:val="22"/>
        </w:rPr>
        <w:t xml:space="preserve">Consider what employers currently bear:</w:t>
      </w:r>
    </w:p>
    <w:p>
      <w:pPr>
        <w:pStyle w:val="ListParagraph"/>
        <w:numPr>
          <w:ilvl w:val="0"/>
          <w:numId w:val="2"/>
        </w:numPr>
        <w:spacing w:after="40" w:before="40"/>
      </w:pPr>
      <w:r>
        <w:rPr>
          <w:rFonts w:ascii="Arial" w:cs="Arial" w:eastAsia="Arial" w:hAnsi="Arial"/>
          <w:color w:val="1A1A1A"/>
          <w:sz w:val="22"/>
          <w:szCs w:val="22"/>
        </w:rPr>
        <w:t xml:space="preserve">Average employer healthcare cost: approximately $7–8,000 per employee per year, rising annually</w:t>
      </w:r>
    </w:p>
    <w:p>
      <w:pPr>
        <w:pStyle w:val="ListParagraph"/>
        <w:numPr>
          <w:ilvl w:val="0"/>
          <w:numId w:val="2"/>
        </w:numPr>
        <w:spacing w:after="40" w:before="40"/>
      </w:pPr>
      <w:r>
        <w:rPr>
          <w:rFonts w:ascii="Arial" w:cs="Arial" w:eastAsia="Arial" w:hAnsi="Arial"/>
          <w:color w:val="1A1A1A"/>
          <w:sz w:val="22"/>
          <w:szCs w:val="22"/>
        </w:rPr>
        <w:t xml:space="preserve">Pension and retirement obligation: a major balance sheet liability for any employer offering defined benefits</w:t>
      </w:r>
    </w:p>
    <w:p>
      <w:pPr>
        <w:pStyle w:val="ListParagraph"/>
        <w:numPr>
          <w:ilvl w:val="0"/>
          <w:numId w:val="2"/>
        </w:numPr>
        <w:spacing w:after="40" w:before="40"/>
      </w:pPr>
      <w:r>
        <w:rPr>
          <w:rFonts w:ascii="Arial" w:cs="Arial" w:eastAsia="Arial" w:hAnsi="Arial"/>
          <w:color w:val="1A1A1A"/>
          <w:sz w:val="22"/>
          <w:szCs w:val="22"/>
        </w:rPr>
        <w:t xml:space="preserve">Wage pressure from workers who cannot afford job risk because they will lose healthcare coverage</w:t>
      </w:r>
    </w:p>
    <w:p>
      <w:pPr>
        <w:spacing w:after="0" w:before="80"/>
      </w:pPr>
      <w:r>
        <w:t xml:space="preserve"/>
      </w:r>
    </w:p>
    <w:p>
      <w:pPr>
        <w:spacing w:after="100" w:before="60"/>
      </w:pPr>
      <w:r>
        <w:rPr>
          <w:rFonts w:ascii="Arial" w:cs="Arial" w:eastAsia="Arial" w:hAnsi="Arial"/>
          <w:b w:val="false"/>
          <w:bCs w:val="false"/>
          <w:i w:val="false"/>
          <w:iCs w:val="false"/>
          <w:color w:val="1A1A1A"/>
          <w:sz w:val="22"/>
          <w:szCs w:val="22"/>
        </w:rPr>
        <w:t xml:space="preserve">Under a velocity tax regime that funds universal healthcare, guaranteed income, and universal pensions:</w:t>
      </w:r>
    </w:p>
    <w:p>
      <w:pPr>
        <w:pStyle w:val="ListParagraph"/>
        <w:numPr>
          <w:ilvl w:val="0"/>
          <w:numId w:val="2"/>
        </w:numPr>
        <w:spacing w:after="40" w:before="40"/>
      </w:pPr>
      <w:r>
        <w:rPr>
          <w:rFonts w:ascii="Arial" w:cs="Arial" w:eastAsia="Arial" w:hAnsi="Arial"/>
          <w:color w:val="1A1A1A"/>
          <w:sz w:val="22"/>
          <w:szCs w:val="22"/>
        </w:rPr>
        <w:t xml:space="preserve">Employer healthcare overhead disappears entirely — a cost reduction that dwarfs any transaction tax burden on productive commerce</w:t>
      </w:r>
    </w:p>
    <w:p>
      <w:pPr>
        <w:pStyle w:val="ListParagraph"/>
        <w:numPr>
          <w:ilvl w:val="0"/>
          <w:numId w:val="2"/>
        </w:numPr>
        <w:spacing w:after="40" w:before="40"/>
      </w:pPr>
      <w:r>
        <w:rPr>
          <w:rFonts w:ascii="Arial" w:cs="Arial" w:eastAsia="Arial" w:hAnsi="Arial"/>
          <w:color w:val="1A1A1A"/>
          <w:sz w:val="22"/>
          <w:szCs w:val="22"/>
        </w:rPr>
        <w:t xml:space="preserve">Workers gain economic flexibility: a person whose healthcare and income floor are guaranteed can take entrepreneurial risks, accept lower wages in exchange for equity, change jobs without fear — creating a more dynamic, innovative labor market</w:t>
      </w:r>
    </w:p>
    <w:p>
      <w:pPr>
        <w:pStyle w:val="ListParagraph"/>
        <w:numPr>
          <w:ilvl w:val="0"/>
          <w:numId w:val="2"/>
        </w:numPr>
        <w:spacing w:after="40" w:before="40"/>
      </w:pPr>
      <w:r>
        <w:rPr>
          <w:rFonts w:ascii="Arial" w:cs="Arial" w:eastAsia="Arial" w:hAnsi="Arial"/>
          <w:color w:val="1A1A1A"/>
          <w:sz w:val="22"/>
          <w:szCs w:val="22"/>
        </w:rPr>
        <w:t xml:space="preserve">The baseline wage floor rises without mandated minimums — workers negotiating from security rather than desperation</w:t>
      </w:r>
    </w:p>
    <w:p>
      <w:pPr>
        <w:spacing w:after="0" w:before="80"/>
      </w:pPr>
      <w:r>
        <w:t xml:space="preserve"/>
      </w:r>
    </w:p>
    <w:p>
      <w:pPr>
        <w:spacing w:after="80" w:before="200"/>
      </w:pPr>
      <w:r>
        <w:rPr>
          <w:rFonts w:ascii="Arial" w:cs="Arial" w:eastAsia="Arial" w:hAnsi="Arial"/>
          <w:b/>
          <w:bCs/>
          <w:color w:val="1B3A5C"/>
          <w:sz w:val="24"/>
          <w:szCs w:val="24"/>
        </w:rPr>
        <w:t xml:space="preserve">The H1B Dimension</w:t>
      </w:r>
    </w:p>
    <w:p>
      <w:pPr>
        <w:spacing w:after="100" w:before="60"/>
      </w:pPr>
      <w:r>
        <w:rPr>
          <w:rFonts w:ascii="Arial" w:cs="Arial" w:eastAsia="Arial" w:hAnsi="Arial"/>
          <w:b w:val="false"/>
          <w:bCs w:val="false"/>
          <w:i w:val="false"/>
          <w:iCs w:val="false"/>
          <w:color w:val="1A1A1A"/>
          <w:sz w:val="22"/>
          <w:szCs w:val="22"/>
        </w:rPr>
        <w:t xml:space="preserve">H1B visa usage is driven by three factors: wage arbitrage (foreign workers accept lower wages), benefit arbitrage (foreign workers expect fewer employer-provided benefits), and skill scarcity. Universal healthcare and guaranteed income eliminate benefit arbitrage entirely. Domestic workers become cost-competitive with foreign alternatives without any restrictive visa legislation. The employer incentive for H1B hiring diminishes not through mandate but through changed economics.</w:t>
      </w:r>
    </w:p>
    <w:p>
      <w:pPr>
        <w:spacing w:after="0" w:before="80"/>
      </w:pPr>
      <w:r>
        <w:t xml:space="preserve"/>
      </w:r>
    </w:p>
    <w:p>
      <w:pPr>
        <w:spacing w:after="100" w:before="60"/>
      </w:pPr>
      <w:r>
        <w:rPr>
          <w:rFonts w:ascii="Arial" w:cs="Arial" w:eastAsia="Arial" w:hAnsi="Arial"/>
          <w:b w:val="false"/>
          <w:bCs w:val="false"/>
          <w:i w:val="false"/>
          <w:iCs w:val="false"/>
          <w:color w:val="1A1A1A"/>
          <w:sz w:val="22"/>
          <w:szCs w:val="22"/>
        </w:rPr>
        <w:t xml:space="preserve">This has a Seventh Generation dimension. The H1B program, as currently structured, transfers human capital from developing nations to the United States — a form of knowledge extraction from the global south. A domestic labor market that is competitive on its own terms does not require this extraction. Future generations inherit a labor market that does not depend on continued import of human capital at the expense of the countries of origin.</w:t>
      </w:r>
    </w:p>
    <w:p>
      <w:pPr>
        <w:spacing w:after="0" w:before="80"/>
      </w:pPr>
      <w:r>
        <w:t xml:space="preserve"/>
      </w:r>
    </w:p>
    <w:p>
      <w:pPr>
        <w:spacing w:after="80" w:before="200"/>
      </w:pPr>
      <w:r>
        <w:rPr>
          <w:rFonts w:ascii="Arial" w:cs="Arial" w:eastAsia="Arial" w:hAnsi="Arial"/>
          <w:b/>
          <w:bCs/>
          <w:color w:val="1B3A5C"/>
          <w:sz w:val="24"/>
          <w:szCs w:val="24"/>
        </w:rPr>
        <w:t xml:space="preserve">What the Social Dividend Changes in the Capital Flight Argument</w:t>
      </w:r>
    </w:p>
    <w:p>
      <w:pPr>
        <w:spacing w:after="100" w:before="60"/>
      </w:pPr>
      <w:r>
        <w:rPr>
          <w:rFonts w:ascii="Arial" w:cs="Arial" w:eastAsia="Arial" w:hAnsi="Arial"/>
          <w:b w:val="false"/>
          <w:bCs w:val="false"/>
          <w:i w:val="false"/>
          <w:iCs w:val="false"/>
          <w:color w:val="1A1A1A"/>
          <w:sz w:val="22"/>
          <w:szCs w:val="22"/>
        </w:rPr>
        <w:t xml:space="preserve">The standard capital flight scenario assumes: tax rises, capital moves to lower-tax environment. This is accurate for speculative capital operating across arbitrary jurisdictions. It is inaccurate for productive capital with specific reasons to be in the United States:</w:t>
      </w:r>
    </w:p>
    <w:p>
      <w:pPr>
        <w:pStyle w:val="ListParagraph"/>
        <w:numPr>
          <w:ilvl w:val="0"/>
          <w:numId w:val="2"/>
        </w:numPr>
        <w:spacing w:after="40" w:before="40"/>
      </w:pPr>
      <w:r>
        <w:rPr>
          <w:rFonts w:ascii="Arial" w:cs="Arial" w:eastAsia="Arial" w:hAnsi="Arial"/>
          <w:color w:val="1A1A1A"/>
          <w:sz w:val="22"/>
          <w:szCs w:val="22"/>
        </w:rPr>
        <w:t xml:space="preserve">Rule of law and property rights: unchanged</w:t>
      </w:r>
    </w:p>
    <w:p>
      <w:pPr>
        <w:pStyle w:val="ListParagraph"/>
        <w:numPr>
          <w:ilvl w:val="0"/>
          <w:numId w:val="2"/>
        </w:numPr>
        <w:spacing w:after="40" w:before="40"/>
      </w:pPr>
      <w:r>
        <w:rPr>
          <w:rFonts w:ascii="Arial" w:cs="Arial" w:eastAsia="Arial" w:hAnsi="Arial"/>
          <w:color w:val="1A1A1A"/>
          <w:sz w:val="22"/>
          <w:szCs w:val="22"/>
        </w:rPr>
        <w:t xml:space="preserve">Deep liquid markets: enhanced by friction on destabilizing speculation</w:t>
      </w:r>
    </w:p>
    <w:p>
      <w:pPr>
        <w:pStyle w:val="ListParagraph"/>
        <w:numPr>
          <w:ilvl w:val="0"/>
          <w:numId w:val="2"/>
        </w:numPr>
        <w:spacing w:after="40" w:before="40"/>
      </w:pPr>
      <w:r>
        <w:rPr>
          <w:rFonts w:ascii="Arial" w:cs="Arial" w:eastAsia="Arial" w:hAnsi="Arial"/>
          <w:color w:val="1A1A1A"/>
          <w:sz w:val="22"/>
          <w:szCs w:val="22"/>
        </w:rPr>
        <w:t xml:space="preserve">Educated workforce with spending power: significantly improved</w:t>
      </w:r>
    </w:p>
    <w:p>
      <w:pPr>
        <w:pStyle w:val="ListParagraph"/>
        <w:numPr>
          <w:ilvl w:val="0"/>
          <w:numId w:val="2"/>
        </w:numPr>
        <w:spacing w:after="40" w:before="40"/>
      </w:pPr>
      <w:r>
        <w:rPr>
          <w:rFonts w:ascii="Arial" w:cs="Arial" w:eastAsia="Arial" w:hAnsi="Arial"/>
          <w:color w:val="1A1A1A"/>
          <w:sz w:val="22"/>
          <w:szCs w:val="22"/>
        </w:rPr>
        <w:t xml:space="preserve">Political stability: improved by reduced austerity pressure and debt spiral</w:t>
      </w:r>
    </w:p>
    <w:p>
      <w:pPr>
        <w:pStyle w:val="ListParagraph"/>
        <w:numPr>
          <w:ilvl w:val="0"/>
          <w:numId w:val="2"/>
        </w:numPr>
        <w:spacing w:after="40" w:before="40"/>
      </w:pPr>
      <w:r>
        <w:rPr>
          <w:rFonts w:ascii="Arial" w:cs="Arial" w:eastAsia="Arial" w:hAnsi="Arial"/>
          <w:color w:val="1A1A1A"/>
          <w:sz w:val="22"/>
          <w:szCs w:val="22"/>
        </w:rPr>
        <w:t xml:space="preserve">Consumer domestic demand: significantly improved by guaranteed income and healthcare security</w:t>
      </w:r>
    </w:p>
    <w:p>
      <w:pPr>
        <w:spacing w:after="0" w:before="80"/>
      </w:pPr>
      <w:r>
        <w:t xml:space="preserve"/>
      </w:r>
    </w:p>
    <w:p>
      <w:pPr>
        <w:spacing w:after="100" w:before="60"/>
      </w:pPr>
      <w:r>
        <w:rPr>
          <w:rFonts w:ascii="Arial" w:cs="Arial" w:eastAsia="Arial" w:hAnsi="Arial"/>
          <w:b w:val="false"/>
          <w:bCs w:val="false"/>
          <w:i w:val="false"/>
          <w:iCs w:val="false"/>
          <w:color w:val="1A1A1A"/>
          <w:sz w:val="22"/>
          <w:szCs w:val="22"/>
        </w:rPr>
        <w:t xml:space="preserve">The velocity tax applies friction to the capital that destabilizes markets. The social dividend attracts the capital that builds them. These are not competing goals — they are the same instrument working at two different layers of the economy simultaneously.</w:t>
      </w:r>
    </w:p>
    <w:p>
      <w:pPr>
        <w:spacing w:after="0" w:before="200"/>
      </w:pPr>
      <w:r>
        <w:t xml:space="preserve"/>
      </w:r>
    </w:p>
    <w:p>
      <w:r>
        <w:br w:type="page"/>
      </w:r>
    </w:p>
    <w:p>
      <w:pPr>
        <w:pStyle w:val="Heading1"/>
        <w:pBdr>
          <w:bottom w:val="single" w:color="B8860B" w:sz="4"/>
        </w:pBdr>
        <w:spacing w:after="100" w:before="320"/>
      </w:pPr>
      <w:r>
        <w:rPr>
          <w:rFonts w:ascii="Arial" w:cs="Arial" w:eastAsia="Arial" w:hAnsi="Arial"/>
          <w:b/>
          <w:bCs/>
          <w:color w:val="1B3A5C"/>
          <w:sz w:val="28"/>
          <w:szCs w:val="28"/>
        </w:rPr>
        <w:t xml:space="preserve">VI. Transforming the IRS: From Tax Enforcement to Economic Development</w:t>
      </w:r>
    </w:p>
    <w:p>
      <w:pPr>
        <w:spacing w:after="100" w:before="60"/>
      </w:pPr>
      <w:r>
        <w:rPr>
          <w:rFonts w:ascii="Arial" w:cs="Arial" w:eastAsia="Arial" w:hAnsi="Arial"/>
          <w:b w:val="false"/>
          <w:bCs w:val="false"/>
          <w:i w:val="false"/>
          <w:iCs w:val="false"/>
          <w:color w:val="1A1A1A"/>
          <w:sz w:val="22"/>
          <w:szCs w:val="22"/>
        </w:rPr>
        <w:t xml:space="preserve">The Internal Revenue Service employs approximately 87,000 people and operates more than 600 field offices organized by geography across the United States. Its primary function is enforcement: auditing returns, collecting income taxes, administering a system of complexity that requires a parallel private industry of tax attorneys and accountants to navigate.</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i/>
                <w:iCs/>
                <w:color w:val="1B3A5C"/>
                <w:sz w:val="24"/>
                <w:szCs w:val="24"/>
              </w:rPr>
              <w:t xml:space="preserve">The velocity tax is self-collecting. Banks deduct at the clearing layer automatically — like an ATM fee. There are no income returns to file, no capital gains to calculate, no avoidance strategies to audit. The enforcement apparatus of the IRS becomes largely obsolete the day the velocity tax replaces the income system.</w:t>
            </w:r>
          </w:p>
        </w:tc>
      </w:tr>
    </w:tbl>
    <w:p>
      <w:pPr>
        <w:spacing w:after="0" w:before="120"/>
      </w:pPr>
      <w:r>
        <w:t xml:space="preserve"/>
      </w:r>
    </w:p>
    <w:p>
      <w:pPr>
        <w:spacing w:after="100" w:before="60"/>
      </w:pPr>
      <w:r>
        <w:rPr>
          <w:rFonts w:ascii="Arial" w:cs="Arial" w:eastAsia="Arial" w:hAnsi="Arial"/>
          <w:b w:val="false"/>
          <w:bCs w:val="false"/>
          <w:i w:val="false"/>
          <w:iCs w:val="false"/>
          <w:color w:val="1A1A1A"/>
          <w:sz w:val="22"/>
          <w:szCs w:val="22"/>
        </w:rPr>
        <w:t xml:space="preserve">This is not a problem. It is an opportunity. The IRS’s existing infrastructure — its people, its geographic distribution, its institutional knowledge of local economies — is the single largest underutilized economic development asset in the federal government.</w:t>
      </w:r>
    </w:p>
    <w:p>
      <w:pPr>
        <w:spacing w:after="0" w:before="80"/>
      </w:pPr>
      <w:r>
        <w:t xml:space="preserve"/>
      </w:r>
    </w:p>
    <w:p>
      <w:pPr>
        <w:spacing w:after="80" w:before="200"/>
      </w:pPr>
      <w:r>
        <w:rPr>
          <w:rFonts w:ascii="Arial" w:cs="Arial" w:eastAsia="Arial" w:hAnsi="Arial"/>
          <w:b/>
          <w:bCs/>
          <w:color w:val="1B3A5C"/>
          <w:sz w:val="24"/>
          <w:szCs w:val="24"/>
        </w:rPr>
        <w:t xml:space="preserve">The Internal Revenue Development Service</w:t>
      </w:r>
    </w:p>
    <w:p>
      <w:pPr>
        <w:spacing w:after="100" w:before="60"/>
      </w:pPr>
      <w:r>
        <w:rPr>
          <w:rFonts w:ascii="Arial" w:cs="Arial" w:eastAsia="Arial" w:hAnsi="Arial"/>
          <w:b w:val="false"/>
          <w:bCs w:val="false"/>
          <w:i w:val="false"/>
          <w:iCs w:val="false"/>
          <w:color w:val="1A1A1A"/>
          <w:sz w:val="22"/>
          <w:szCs w:val="22"/>
        </w:rPr>
        <w:t xml:space="preserve">Concurrent with velocity tax implementation, the IRS should be renamed, remandated, and redirected. The Internal Revenue Development Service retains the geographic district structure intact. Each district office receives an annual allocation of velocity tax revenue proportional to the economic activity in its district. Its new mandate is simple: deploy that revenue into the productive economy of the district.</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40"/>
        <w:gridCol w:w="5880"/>
      </w:tblGrid>
      <w:tr>
        <w:tc>
          <w:tcPr>
            <w:tcW w:type="dxa" w:w="38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IRS TODAY</w:t>
            </w:r>
          </w:p>
        </w:tc>
        <w:tc>
          <w:tcPr>
            <w:tcW w:type="dxa" w:w="58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B8860B"/>
                <w:sz w:val="20"/>
                <w:szCs w:val="20"/>
              </w:rPr>
              <w:t xml:space="preserve">REVENUE DEVELOPMENT SERVICE</w:t>
            </w:r>
          </w:p>
        </w:tc>
      </w:tr>
      <w:tr>
        <w:tc>
          <w:tcPr>
            <w:tcW w:type="dxa" w:w="38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Enforces tax returns</w:t>
            </w:r>
          </w:p>
        </w:tc>
        <w:tc>
          <w:tcPr>
            <w:tcW w:type="dxa" w:w="58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color w:val="2E6B2E"/>
                <w:sz w:val="20"/>
                <w:szCs w:val="20"/>
              </w:rPr>
              <w:t xml:space="preserve">No returns: clearing layer self-collects</w:t>
            </w:r>
          </w:p>
        </w:tc>
      </w:tr>
      <w:tr>
        <w:tc>
          <w:tcPr>
            <w:tcW w:type="dxa" w:w="384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i/>
                <w:iCs/>
                <w:color w:val="555555"/>
                <w:sz w:val="20"/>
                <w:szCs w:val="20"/>
              </w:rPr>
              <w:t xml:space="preserve">Audits individuals and businesses</w:t>
            </w:r>
          </w:p>
        </w:tc>
        <w:tc>
          <w:tcPr>
            <w:tcW w:type="dxa" w:w="588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b/>
                <w:bCs/>
                <w:color w:val="2E6B2E"/>
                <w:sz w:val="20"/>
                <w:szCs w:val="20"/>
              </w:rPr>
              <w:t xml:space="preserve">Allocates capital to productive investment</w:t>
            </w:r>
          </w:p>
        </w:tc>
      </w:tr>
      <w:tr>
        <w:tc>
          <w:tcPr>
            <w:tcW w:type="dxa" w:w="38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Extracts from the productive economy</w:t>
            </w:r>
          </w:p>
        </w:tc>
        <w:tc>
          <w:tcPr>
            <w:tcW w:type="dxa" w:w="58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color w:val="2E6B2E"/>
                <w:sz w:val="20"/>
                <w:szCs w:val="20"/>
              </w:rPr>
              <w:t xml:space="preserve">Reinvests into the productive economy</w:t>
            </w:r>
          </w:p>
        </w:tc>
      </w:tr>
      <w:tr>
        <w:tc>
          <w:tcPr>
            <w:tcW w:type="dxa" w:w="384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i/>
                <w:iCs/>
                <w:color w:val="555555"/>
                <w:sz w:val="20"/>
                <w:szCs w:val="20"/>
              </w:rPr>
              <w:t xml:space="preserve">Same function in every district</w:t>
            </w:r>
          </w:p>
        </w:tc>
        <w:tc>
          <w:tcPr>
            <w:tcW w:type="dxa" w:w="588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b/>
                <w:bCs/>
                <w:color w:val="2E6B2E"/>
                <w:sz w:val="20"/>
                <w:szCs w:val="20"/>
              </w:rPr>
              <w:t xml:space="preserve">District mandate: deploy to local productive capacity</w:t>
            </w:r>
          </w:p>
        </w:tc>
      </w:tr>
      <w:tr>
        <w:tc>
          <w:tcPr>
            <w:tcW w:type="dxa" w:w="38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Fear and adversarial relationship</w:t>
            </w:r>
          </w:p>
        </w:tc>
        <w:tc>
          <w:tcPr>
            <w:tcW w:type="dxa" w:w="58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color w:val="2E6B2E"/>
                <w:sz w:val="20"/>
                <w:szCs w:val="20"/>
              </w:rPr>
              <w:t xml:space="preserve">Partnership with local businesses and municipalities</w:t>
            </w:r>
          </w:p>
        </w:tc>
      </w:tr>
      <w:tr>
        <w:tc>
          <w:tcPr>
            <w:tcW w:type="dxa" w:w="384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i/>
                <w:iCs/>
                <w:color w:val="555555"/>
                <w:sz w:val="20"/>
                <w:szCs w:val="20"/>
              </w:rPr>
              <w:t xml:space="preserve">Complexity enables avoidance industry</w:t>
            </w:r>
          </w:p>
        </w:tc>
        <w:tc>
          <w:tcPr>
            <w:tcW w:type="dxa" w:w="588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b/>
                <w:bCs/>
                <w:color w:val="2E6B2E"/>
                <w:sz w:val="20"/>
                <w:szCs w:val="20"/>
              </w:rPr>
              <w:t xml:space="preserve">No complexity: flat rate on cleared transactions</w:t>
            </w:r>
          </w:p>
        </w:tc>
      </w:tr>
    </w:tbl>
    <w:p>
      <w:pPr>
        <w:spacing w:after="0" w:before="120"/>
      </w:pPr>
      <w:r>
        <w:t xml:space="preserve"/>
      </w:r>
    </w:p>
    <w:p>
      <w:pPr>
        <w:spacing w:after="80" w:before="200"/>
      </w:pPr>
      <w:r>
        <w:rPr>
          <w:rFonts w:ascii="Arial" w:cs="Arial" w:eastAsia="Arial" w:hAnsi="Arial"/>
          <w:b/>
          <w:bCs/>
          <w:color w:val="1B3A5C"/>
          <w:sz w:val="24"/>
          <w:szCs w:val="24"/>
        </w:rPr>
        <w:t xml:space="preserve">How District Deployment Works</w:t>
      </w:r>
    </w:p>
    <w:p>
      <w:pPr>
        <w:spacing w:after="100" w:before="60"/>
      </w:pPr>
      <w:r>
        <w:rPr>
          <w:rFonts w:ascii="Arial" w:cs="Arial" w:eastAsia="Arial" w:hAnsi="Arial"/>
          <w:b w:val="false"/>
          <w:bCs w:val="false"/>
          <w:i w:val="false"/>
          <w:iCs w:val="false"/>
          <w:color w:val="1A1A1A"/>
          <w:sz w:val="22"/>
          <w:szCs w:val="22"/>
        </w:rPr>
        <w:t xml:space="preserve">Each district office develops a local productive investment plan, updated annually, submitted to Congress for review. Deployment targets are constrained by statutory categories: infrastructure, manufacturing capacity, agricultural capital, energy systems, housing, domestic supply chain resilience. The district office cannot invest in financial instruments. Revenue goes into production, not back into the financial layer it was collected from.</w:t>
      </w:r>
    </w:p>
    <w:p>
      <w:pPr>
        <w:spacing w:after="0" w:before="80"/>
      </w:pPr>
      <w:r>
        <w:t xml:space="preserve"/>
      </w:r>
    </w:p>
    <w:p>
      <w:pPr>
        <w:spacing w:after="100" w:before="60"/>
      </w:pPr>
      <w:r>
        <w:rPr>
          <w:rFonts w:ascii="Arial" w:cs="Arial" w:eastAsia="Arial" w:hAnsi="Arial"/>
          <w:b w:val="false"/>
          <w:bCs w:val="false"/>
          <w:i w:val="false"/>
          <w:iCs w:val="false"/>
          <w:color w:val="1A1A1A"/>
          <w:sz w:val="22"/>
          <w:szCs w:val="22"/>
        </w:rPr>
        <w:t xml:space="preserve">This is not federal centralization. A district in rural Iowa deploys its allocation into agricultural infrastructure, grain storage, irrigation, rural broadband. A district in Detroit deploys into manufacturing revitalization, workforce training, supply chain reinvestment. A district in Appalachia deploys into energy transition and infrastructure. The geographic distribution of the IRS network — built over a century to reach every community in America — becomes the delivery mechanism for the most ambitious domestic investment program in American history.</w:t>
      </w:r>
    </w:p>
    <w:p>
      <w:pPr>
        <w:spacing w:after="0" w:before="80"/>
      </w:pPr>
      <w:r>
        <w:t xml:space="preserve"/>
      </w:r>
    </w:p>
    <w:p>
      <w:pPr>
        <w:spacing w:after="80" w:before="200"/>
      </w:pPr>
      <w:r>
        <w:rPr>
          <w:rFonts w:ascii="Arial" w:cs="Arial" w:eastAsia="Arial" w:hAnsi="Arial"/>
          <w:b/>
          <w:bCs/>
          <w:color w:val="1B3A5C"/>
          <w:sz w:val="24"/>
          <w:szCs w:val="24"/>
        </w:rPr>
        <w:t xml:space="preserve">The MV=PQ Consequence</w:t>
      </w:r>
    </w:p>
    <w:p>
      <w:pPr>
        <w:spacing w:after="100" w:before="60"/>
      </w:pPr>
      <w:r>
        <w:rPr>
          <w:rFonts w:ascii="Arial" w:cs="Arial" w:eastAsia="Arial" w:hAnsi="Arial"/>
          <w:b w:val="false"/>
          <w:bCs w:val="false"/>
          <w:i w:val="false"/>
          <w:iCs w:val="false"/>
          <w:color w:val="1A1A1A"/>
          <w:sz w:val="22"/>
          <w:szCs w:val="22"/>
        </w:rPr>
        <w:t xml:space="preserve">Velocity taxation reduces speculative V (friction on excess financial transaction volume). The social dividend increases Q (workforce productivity through healthcare and income security). District reinvestment increases Q further (productive capacity). The transformed IRS is the mechanism by which collected V-tax revenue recycles directly back into productive Q rather than disappearing into financial instruments. All three effects work in the same direction: toward a healthier, more stable monetary equation, and toward the productive economy the United States has been disinvesting from for four decades.</w:t>
      </w:r>
    </w:p>
    <w:p>
      <w:pPr>
        <w:spacing w:after="0" w:before="200"/>
      </w:pPr>
      <w:r>
        <w:t xml:space="preserve"/>
      </w:r>
    </w:p>
    <w:p>
      <w:r>
        <w:br w:type="page"/>
      </w:r>
    </w:p>
    <w:p>
      <w:pPr>
        <w:pStyle w:val="Heading1"/>
        <w:pBdr>
          <w:bottom w:val="single" w:color="B8860B" w:sz="4"/>
        </w:pBdr>
        <w:spacing w:after="100" w:before="320"/>
      </w:pPr>
      <w:r>
        <w:rPr>
          <w:rFonts w:ascii="Arial" w:cs="Arial" w:eastAsia="Arial" w:hAnsi="Arial"/>
          <w:b/>
          <w:bCs/>
          <w:color w:val="1B3A5C"/>
          <w:sz w:val="28"/>
          <w:szCs w:val="28"/>
        </w:rPr>
        <w:t xml:space="preserve">VII. The 2026 Window: Why Structural Reform Cannot Be Deferred</w:t>
      </w:r>
    </w:p>
    <w:p>
      <w:pPr>
        <w:spacing w:after="100" w:before="60"/>
      </w:pPr>
      <w:r>
        <w:rPr>
          <w:rFonts w:ascii="Arial" w:cs="Arial" w:eastAsia="Arial" w:hAnsi="Arial"/>
          <w:b w:val="false"/>
          <w:bCs w:val="false"/>
          <w:i w:val="false"/>
          <w:iCs w:val="false"/>
          <w:color w:val="1A1A1A"/>
          <w:sz w:val="22"/>
          <w:szCs w:val="22"/>
        </w:rPr>
        <w:t xml:space="preserve">The Iran conflict has accelerated the de-dollarization timeline from decades away to the next 24 months. The relevant question is whether alternative settlement infrastructure becomes permanent before the US can demonstrate fiscal credibility. Infrastructure built for Iran sanctions workarounds does not disappear when the Iran crisis ends.</w:t>
      </w:r>
    </w:p>
    <w:p>
      <w:pPr>
        <w:spacing w:after="0" w:before="80"/>
      </w:pPr>
      <w:r>
        <w:t xml:space="preserve"/>
      </w:r>
    </w:p>
    <w:p>
      <w:pPr>
        <w:spacing w:after="100" w:before="60"/>
      </w:pPr>
      <w:r>
        <w:rPr>
          <w:rFonts w:ascii="Arial" w:cs="Arial" w:eastAsia="Arial" w:hAnsi="Arial"/>
          <w:b w:val="false"/>
          <w:bCs w:val="false"/>
          <w:i w:val="false"/>
          <w:iCs w:val="false"/>
          <w:color w:val="1A1A1A"/>
          <w:sz w:val="22"/>
          <w:szCs w:val="22"/>
        </w:rPr>
        <w:t xml:space="preserve">Two parallel lock-in points are converging:</w:t>
      </w:r>
    </w:p>
    <w:p>
      <w:pPr>
        <w:pStyle w:val="ListParagraph"/>
        <w:numPr>
          <w:ilvl w:val="0"/>
          <w:numId w:val="2"/>
        </w:numPr>
        <w:spacing w:after="40" w:before="40"/>
      </w:pPr>
      <w:r>
        <w:rPr>
          <w:rFonts w:ascii="Arial" w:cs="Arial" w:eastAsia="Arial" w:hAnsi="Arial"/>
          <w:color w:val="1A1A1A"/>
          <w:sz w:val="22"/>
          <w:szCs w:val="22"/>
        </w:rPr>
        <w:t xml:space="preserve">The 2028 debt service threshold: when debt service exceeds approximately 30% of revenues, austerity or hyperinflation become mathematically unavoidable — closing fiscal optionality permanently</w:t>
      </w:r>
    </w:p>
    <w:p>
      <w:pPr>
        <w:pStyle w:val="ListParagraph"/>
        <w:numPr>
          <w:ilvl w:val="0"/>
          <w:numId w:val="2"/>
        </w:numPr>
        <w:spacing w:after="40" w:before="40"/>
      </w:pPr>
      <w:r>
        <w:rPr>
          <w:rFonts w:ascii="Arial" w:cs="Arial" w:eastAsia="Arial" w:hAnsi="Arial"/>
          <w:color w:val="1A1A1A"/>
          <w:sz w:val="22"/>
          <w:szCs w:val="22"/>
        </w:rPr>
        <w:t xml:space="preserve">The infrastructure point of no return: estimated Q1–Q4 2027 — when yuan/energy settlement rails achieve critical-mass network effects that make dollar reserve status restoration thermodynamically impossible</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i/>
                <w:iCs/>
                <w:color w:val="1B3A5C"/>
                <w:sz w:val="24"/>
                <w:szCs w:val="24"/>
              </w:rPr>
              <w:t xml:space="preserve">The velocity tax is not a response to the Iran crisis. It is the structural fiscal reform that the Iran crisis makes impossible to defer.</w:t>
            </w:r>
          </w:p>
        </w:tc>
      </w:tr>
    </w:tbl>
    <w:p>
      <w:pPr>
        <w:spacing w:after="0" w:before="120"/>
      </w:pPr>
      <w:r>
        <w:t xml:space="preserve"/>
      </w:r>
    </w:p>
    <w:p>
      <w:pPr>
        <w:spacing w:after="80" w:before="200"/>
      </w:pPr>
      <w:r>
        <w:rPr>
          <w:rFonts w:ascii="Arial" w:cs="Arial" w:eastAsia="Arial" w:hAnsi="Arial"/>
          <w:b/>
          <w:bCs/>
          <w:color w:val="1B3A5C"/>
          <w:sz w:val="24"/>
          <w:szCs w:val="24"/>
        </w:rPr>
        <w:t xml:space="preserve">The Conditional Rebate: Redirecting Capital to Production</w:t>
      </w:r>
    </w:p>
    <w:p>
      <w:pPr>
        <w:spacing w:after="100" w:before="60"/>
      </w:pPr>
      <w:r>
        <w:rPr>
          <w:rFonts w:ascii="Arial" w:cs="Arial" w:eastAsia="Arial" w:hAnsi="Arial"/>
          <w:b w:val="false"/>
          <w:bCs w:val="false"/>
          <w:i w:val="false"/>
          <w:iCs w:val="false"/>
          <w:color w:val="1A1A1A"/>
          <w:sz w:val="22"/>
          <w:szCs w:val="22"/>
        </w:rPr>
        <w:t xml:space="preserve">A fraction of collected revenue — 5–10% of what any financial institution remits — is returned to that institution, conditioned on deployment into tangible productive assets: infrastructure, manufacturing, agricultural capital, energy systems, housing. This reduces financial sector opposition, structurally redirects capital from speculation to production, and creates a private-sector investment channel without requiring government to direct capital allocation.</w:t>
      </w:r>
    </w:p>
    <w:p>
      <w:pPr>
        <w:spacing w:after="100" w:before="60"/>
      </w:pPr>
      <w:r>
        <w:rPr>
          <w:rFonts w:ascii="Arial" w:cs="Arial" w:eastAsia="Arial" w:hAnsi="Arial"/>
          <w:b w:val="false"/>
          <w:bCs w:val="false"/>
          <w:i w:val="false"/>
          <w:iCs w:val="false"/>
          <w:color w:val="1A1A1A"/>
          <w:sz w:val="22"/>
          <w:szCs w:val="22"/>
        </w:rPr>
        <w:t xml:space="preserve">In the 2026 context, the tangible-asset condition could be specifically tied to domestic supply chain resilience: helium recapture infrastructure, domestic ammonia production, rare earth processing, semiconductor fabrication.</w:t>
      </w:r>
    </w:p>
    <w:p>
      <w:pPr>
        <w:spacing w:after="0" w:before="200"/>
      </w:pPr>
      <w:r>
        <w:t xml:space="preserve"/>
      </w:r>
    </w:p>
    <w:p>
      <w:r>
        <w:br w:type="page"/>
      </w:r>
    </w:p>
    <w:p>
      <w:pPr>
        <w:pStyle w:val="Heading1"/>
        <w:pBdr>
          <w:bottom w:val="single" w:color="B8860B" w:sz="4"/>
        </w:pBdr>
        <w:spacing w:after="100" w:before="320"/>
      </w:pPr>
      <w:r>
        <w:rPr>
          <w:rFonts w:ascii="Arial" w:cs="Arial" w:eastAsia="Arial" w:hAnsi="Arial"/>
          <w:b/>
          <w:bCs/>
          <w:color w:val="1B3A5C"/>
          <w:sz w:val="28"/>
          <w:szCs w:val="28"/>
        </w:rPr>
        <w:t xml:space="preserve">VIII. Revised Legislative Action Plan — 10 Actions</w:t>
      </w:r>
    </w:p>
    <w:p>
      <w:pPr>
        <w:spacing w:after="100" w:before="60"/>
      </w:pPr>
      <w:r>
        <w:rPr>
          <w:rFonts w:ascii="Arial" w:cs="Arial" w:eastAsia="Arial" w:hAnsi="Arial"/>
          <w:b w:val="false"/>
          <w:bCs w:val="false"/>
          <w:i w:val="false"/>
          <w:iCs w:val="false"/>
          <w:color w:val="1A1A1A"/>
          <w:sz w:val="22"/>
          <w:szCs w:val="22"/>
        </w:rPr>
        <w:t xml:space="preserve">Revised following cross-model constitutional review. Changes from prior version: de-dollarization tripwire lowered from 5% to 2%; pilot period extended from 24 to 36 months with independent certification for renewal; AI oversight provisions strengthened with preemptive authority; Action 10 (Seventh Generation Monetary Oversight Commission) added.</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80"/>
              <w:left w:type="dxa" w:w="200"/>
              <w:bottom w:type="dxa" w:w="80"/>
              <w:right w:type="dxa" w:w="200"/>
            </w:tcMar>
          </w:tcPr>
          <w:p>
            <w:r>
              <w:rPr>
                <w:rFonts w:ascii="Arial" w:cs="Arial" w:eastAsia="Arial" w:hAnsi="Arial"/>
                <w:b/>
                <w:bCs/>
                <w:color w:val="FFFFFF"/>
                <w:sz w:val="22"/>
                <w:szCs w:val="22"/>
              </w:rPr>
              <w:t xml:space="preserve">IMMEDIATE — Executive Authority Available Now</w:t>
            </w:r>
          </w:p>
        </w:tc>
      </w:tr>
    </w:tbl>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ACTION 1 — TREASURY VELOCITY STUDY DIRECTIVE</w:t>
            </w:r>
            <w:r>
              <w:rPr>
                <w:rFonts w:ascii="Arial" w:cs="Arial" w:eastAsia="Arial" w:hAnsi="Arial"/>
                <w:color w:val="B8860B"/>
                <w:sz w:val="18"/>
                <w:szCs w:val="18"/>
              </w:rPr>
              <w:t xml:space="preserve">   [Immediate]</w:t>
            </w:r>
          </w:p>
        </w:tc>
      </w:tr>
      <w:tr>
        <w:tc>
          <w:tcPr>
            <w:tcW w:type="dxa" w:w="9720"/>
            <w:tcBorders>
              <w:top w:val="single" w:color="1B3A5C" w:sz="6"/>
              <w:left w:val="single" w:color="1B3A5C" w:sz="6"/>
              <w:bottom w:val="single" w:color="1B3A5C" w:sz="6"/>
              <w:right w:val="single" w:color="1B3A5C" w:sz="6"/>
            </w:tcBorders>
            <w:shd w:fill="E8EEF4" w:val="clear"/>
            <w:tcMar>
              <w:top w:type="dxa" w:w="120"/>
              <w:left w:type="dxa" w:w="200"/>
              <w:bottom w:type="dxa" w:w="120"/>
              <w:right w:type="dxa" w:w="200"/>
            </w:tcMar>
          </w:tcPr>
          <w:p>
            <w:r>
              <w:rPr>
                <w:rFonts w:ascii="Arial" w:cs="Arial" w:eastAsia="Arial" w:hAnsi="Arial"/>
                <w:color w:val="1A1A1A"/>
                <w:sz w:val="22"/>
                <w:szCs w:val="22"/>
              </w:rPr>
              <w:t xml:space="preserve">Direct Treasury to produce a 60-day study of implementing a 0.1% Automated Payment Transaction pilot on financial transactions over $1 million. CBO scoring alongside. Establishes institutional knowledge base and forces the conversation into the legislative record.</w:t>
            </w:r>
          </w:p>
        </w:tc>
      </w:tr>
    </w:tbl>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ACTION 2 — FEDERAL RESERVE VELOCITY REPORTING MANDATE</w:t>
            </w:r>
            <w:r>
              <w:rPr>
                <w:rFonts w:ascii="Arial" w:cs="Arial" w:eastAsia="Arial" w:hAnsi="Arial"/>
                <w:color w:val="B8860B"/>
                <w:sz w:val="18"/>
                <w:szCs w:val="18"/>
              </w:rPr>
              <w:t xml:space="preserve">   [Immediate]</w:t>
            </w:r>
          </w:p>
        </w:tc>
      </w:tr>
      <w:tr>
        <w:tc>
          <w:tcPr>
            <w:tcW w:type="dxa" w:w="9720"/>
            <w:tcBorders>
              <w:top w:val="single" w:color="1B3A5C" w:sz="6"/>
              <w:left w:val="single" w:color="1B3A5C" w:sz="6"/>
              <w:bottom w:val="single" w:color="1B3A5C" w:sz="6"/>
              <w:right w:val="single" w:color="1B3A5C" w:sz="6"/>
            </w:tcBorders>
            <w:shd w:fill="E8EEF4" w:val="clear"/>
            <w:tcMar>
              <w:top w:type="dxa" w:w="120"/>
              <w:left w:type="dxa" w:w="200"/>
              <w:bottom w:type="dxa" w:w="120"/>
              <w:right w:type="dxa" w:w="200"/>
            </w:tcMar>
          </w:tcPr>
          <w:p>
            <w:r>
              <w:rPr>
                <w:rFonts w:ascii="Arial" w:cs="Arial" w:eastAsia="Arial" w:hAnsi="Arial"/>
                <w:color w:val="1A1A1A"/>
                <w:sz w:val="22"/>
                <w:szCs w:val="22"/>
              </w:rPr>
              <w:t xml:space="preserve">Amend the Fed’s semi-annual monetary policy reporting (Humphrey-Hawkins) to include quarterly real-time velocity (V) disaggregated by transaction type: productive sector vs. financial sector. This data exists in clearing systems. Making it visible to Congress is the prerequisite for accountable rate design.</w:t>
            </w:r>
          </w:p>
        </w:tc>
      </w:tr>
    </w:tbl>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ACTION 3 — DE-DOLLARIZATION EARLY WARNING DASHBOARD</w:t>
            </w:r>
            <w:r>
              <w:rPr>
                <w:rFonts w:ascii="Arial" w:cs="Arial" w:eastAsia="Arial" w:hAnsi="Arial"/>
                <w:color w:val="B8860B"/>
                <w:sz w:val="18"/>
                <w:szCs w:val="18"/>
              </w:rPr>
              <w:t xml:space="preserve">   [Immediate]</w:t>
            </w:r>
          </w:p>
        </w:tc>
      </w:tr>
      <w:tr>
        <w:tc>
          <w:tcPr>
            <w:tcW w:type="dxa" w:w="9720"/>
            <w:tcBorders>
              <w:top w:val="single" w:color="1B3A5C" w:sz="6"/>
              <w:left w:val="single" w:color="1B3A5C" w:sz="6"/>
              <w:bottom w:val="single" w:color="1B3A5C" w:sz="6"/>
              <w:right w:val="single" w:color="1B3A5C" w:sz="6"/>
            </w:tcBorders>
            <w:shd w:fill="E8EEF4" w:val="clear"/>
            <w:tcMar>
              <w:top w:type="dxa" w:w="120"/>
              <w:left w:type="dxa" w:w="200"/>
              <w:bottom w:type="dxa" w:w="120"/>
              <w:right w:type="dxa" w:w="200"/>
            </w:tcMar>
          </w:tcPr>
          <w:p>
            <w:r>
              <w:rPr>
                <w:rFonts w:ascii="Arial" w:cs="Arial" w:eastAsia="Arial" w:hAnsi="Arial"/>
                <w:color w:val="1A1A1A"/>
                <w:sz w:val="22"/>
                <w:szCs w:val="22"/>
              </w:rPr>
              <w:t xml:space="preserve">Direct Treasury Intelligence and the Federal Reserve to publish a monthly de-dollarization monitoring dashboard: percentage of global trade settled in USD vs. alternative currencies. Real-time visibility into the lock-in trajectory. Baseline data for the 2% tripwire in Action 7.</w:t>
            </w:r>
          </w:p>
        </w:tc>
      </w:tr>
    </w:tbl>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80"/>
              <w:left w:type="dxa" w:w="200"/>
              <w:bottom w:type="dxa" w:w="80"/>
              <w:right w:type="dxa" w:w="200"/>
            </w:tcMar>
          </w:tcPr>
          <w:p>
            <w:r>
              <w:rPr>
                <w:rFonts w:ascii="Arial" w:cs="Arial" w:eastAsia="Arial" w:hAnsi="Arial"/>
                <w:b/>
                <w:bCs/>
                <w:color w:val="FFFFFF"/>
                <w:sz w:val="22"/>
                <w:szCs w:val="22"/>
              </w:rPr>
              <w:t xml:space="preserve">30-DAY ACTIONS — Emergency Legislation</w:t>
            </w:r>
          </w:p>
        </w:tc>
      </w:tr>
    </w:tbl>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ACTION 4 — VELOCITY TAX PILOT ACT</w:t>
            </w:r>
            <w:r>
              <w:rPr>
                <w:rFonts w:ascii="Arial" w:cs="Arial" w:eastAsia="Arial" w:hAnsi="Arial"/>
                <w:color w:val="B8860B"/>
                <w:sz w:val="18"/>
                <w:szCs w:val="18"/>
              </w:rPr>
              <w:t xml:space="preserve">   [30-Day — Revised]</w:t>
            </w:r>
          </w:p>
        </w:tc>
      </w:tr>
      <w:tr>
        <w:tc>
          <w:tcPr>
            <w:tcW w:type="dxa" w:w="9720"/>
            <w:tcBorders>
              <w:top w:val="single" w:color="1B3A5C" w:sz="6"/>
              <w:left w:val="single" w:color="1B3A5C" w:sz="6"/>
              <w:bottom w:val="single" w:color="1B3A5C" w:sz="6"/>
              <w:right w:val="single" w:color="1B3A5C" w:sz="6"/>
            </w:tcBorders>
            <w:shd w:fill="E8EEF4" w:val="clear"/>
            <w:tcMar>
              <w:top w:type="dxa" w:w="120"/>
              <w:left w:type="dxa" w:w="200"/>
              <w:bottom w:type="dxa" w:w="120"/>
              <w:right w:type="dxa" w:w="200"/>
            </w:tcMar>
          </w:tcPr>
          <w:p>
            <w:r>
              <w:rPr>
                <w:rFonts w:ascii="Arial" w:cs="Arial" w:eastAsia="Arial" w:hAnsi="Arial"/>
                <w:color w:val="1A1A1A"/>
                <w:sz w:val="22"/>
                <w:szCs w:val="22"/>
              </w:rPr>
              <w:t xml:space="preserve">Introduce legislation establishing a 0.1% transaction tax on equity trades above $100,000, effective for a 36-month pilot period (extended from 24 months to accumulate meaningful monetary confidence data). Revenue is held in escrow during the pilot — it is not pre-committed to debt paydown or any other allocation. The purpose of the escrow is to prevent the pilot’s revenue from creating fiscal dependence on renewal, and to ensure that when the permanent program is designed, the allocation debate (social programs vs. debt paydown) is conducted on its merits rather than on the inertia of an already-running mechanism. Renewal requires independent performance certification confirming no measurable de-dollarization acceleration attributable to the pilot. Sunset is real: non-renewal is the default if certification is not obtained.</w:t>
            </w:r>
          </w:p>
        </w:tc>
      </w:tr>
    </w:tbl>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ACTION 5 — SOCIAL DIVIDEND FRAMEWORK ACT</w:t>
            </w:r>
            <w:r>
              <w:rPr>
                <w:rFonts w:ascii="Arial" w:cs="Arial" w:eastAsia="Arial" w:hAnsi="Arial"/>
                <w:color w:val="B8860B"/>
                <w:sz w:val="18"/>
                <w:szCs w:val="18"/>
              </w:rPr>
              <w:t xml:space="preserve">   [30-Day]</w:t>
            </w:r>
          </w:p>
        </w:tc>
      </w:tr>
      <w:tr>
        <w:tc>
          <w:tcPr>
            <w:tcW w:type="dxa" w:w="9720"/>
            <w:tcBorders>
              <w:top w:val="single" w:color="1B3A5C" w:sz="6"/>
              <w:left w:val="single" w:color="1B3A5C" w:sz="6"/>
              <w:bottom w:val="single" w:color="1B3A5C" w:sz="6"/>
              <w:right w:val="single" w:color="1B3A5C" w:sz="6"/>
            </w:tcBorders>
            <w:shd w:fill="E8EEF4" w:val="clear"/>
            <w:tcMar>
              <w:top w:type="dxa" w:w="120"/>
              <w:left w:type="dxa" w:w="200"/>
              <w:bottom w:type="dxa" w:w="120"/>
              <w:right w:type="dxa" w:w="200"/>
            </w:tcMar>
          </w:tcPr>
          <w:p>
            <w:r>
              <w:rPr>
                <w:rFonts w:ascii="Arial" w:cs="Arial" w:eastAsia="Arial" w:hAnsi="Arial"/>
                <w:color w:val="1A1A1A"/>
                <w:sz w:val="22"/>
                <w:szCs w:val="22"/>
              </w:rPr>
              <w:t xml:space="preserve">Introduce companion legislation establishing the statutory framework for deploying velocity tax surplus revenue (beyond debt paydown) to three social dividend programs: universal healthcare (single-payer, replacing employer mandate), guaranteed income floor (indexed to regional cost of living), and universal pension (supplementing but not replacing Social Security). Implementation is phased: healthcare first (eliminates largest employer overhead burden and generates most immediate labor market flexibility), income floor second, pensions third. The social dividend is funded only from surplus above debt paydown targets — debt reduction is not compromised.</w:t>
            </w:r>
          </w:p>
        </w:tc>
      </w:tr>
    </w:tbl>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ACTION 6 — CONDITIONAL REBATE AND DOLLAR RESERVE PROTECTION ACT</w:t>
            </w:r>
            <w:r>
              <w:rPr>
                <w:rFonts w:ascii="Arial" w:cs="Arial" w:eastAsia="Arial" w:hAnsi="Arial"/>
                <w:color w:val="B8860B"/>
                <w:sz w:val="18"/>
                <w:szCs w:val="18"/>
              </w:rPr>
              <w:t xml:space="preserve">   [30-Day]</w:t>
            </w:r>
          </w:p>
        </w:tc>
      </w:tr>
      <w:tr>
        <w:tc>
          <w:tcPr>
            <w:tcW w:type="dxa" w:w="9720"/>
            <w:tcBorders>
              <w:top w:val="single" w:color="1B3A5C" w:sz="6"/>
              <w:left w:val="single" w:color="1B3A5C" w:sz="6"/>
              <w:bottom w:val="single" w:color="1B3A5C" w:sz="6"/>
              <w:right w:val="single" w:color="1B3A5C" w:sz="6"/>
            </w:tcBorders>
            <w:shd w:fill="E8EEF4" w:val="clear"/>
            <w:tcMar>
              <w:top w:type="dxa" w:w="120"/>
              <w:left w:type="dxa" w:w="200"/>
              <w:bottom w:type="dxa" w:w="120"/>
              <w:right w:type="dxa" w:w="200"/>
            </w:tcMar>
          </w:tcPr>
          <w:p>
            <w:r>
              <w:rPr>
                <w:rFonts w:ascii="Arial" w:cs="Arial" w:eastAsia="Arial" w:hAnsi="Arial"/>
                <w:color w:val="1A1A1A"/>
                <w:sz w:val="22"/>
                <w:szCs w:val="22"/>
              </w:rPr>
              <w:t xml:space="preserve">Two provisions: (1) a conditional rebate mechanism returning 5–10% of velocity tax revenue to financial institutions conditioned on deployment into tangible productive assets (infrastructure, manufacturing, agricultural capital, energy, housing, domestic supply chain resilience); (2) a bipartisan Dollar Reserve Protection Board with veto authority over Treasury actions affecting essential civilian resource flows — preventing weaponization of financial infrastructure against the goods alternative settlement systems are being built specifically to transport.</w:t>
            </w:r>
          </w:p>
        </w:tc>
      </w:tr>
    </w:tbl>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80"/>
              <w:left w:type="dxa" w:w="200"/>
              <w:bottom w:type="dxa" w:w="80"/>
              <w:right w:type="dxa" w:w="200"/>
            </w:tcMar>
          </w:tcPr>
          <w:p>
            <w:r>
              <w:rPr>
                <w:rFonts w:ascii="Arial" w:cs="Arial" w:eastAsia="Arial" w:hAnsi="Arial"/>
                <w:b/>
                <w:bCs/>
                <w:color w:val="FFFFFF"/>
                <w:sz w:val="22"/>
                <w:szCs w:val="22"/>
              </w:rPr>
              <w:t xml:space="preserve">90-DAY ACTIONS — Structural Architecture</w:t>
            </w:r>
          </w:p>
        </w:tc>
      </w:tr>
    </w:tbl>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ACTION 7 — AI MONETARY MANAGEMENT AUTHORIZATION ACT</w:t>
            </w:r>
            <w:r>
              <w:rPr>
                <w:rFonts w:ascii="Arial" w:cs="Arial" w:eastAsia="Arial" w:hAnsi="Arial"/>
                <w:color w:val="B8860B"/>
                <w:sz w:val="18"/>
                <w:szCs w:val="18"/>
              </w:rPr>
              <w:t xml:space="preserve">   [90-Day — Revised]</w:t>
            </w:r>
          </w:p>
        </w:tc>
      </w:tr>
      <w:tr>
        <w:tc>
          <w:tcPr>
            <w:tcW w:type="dxa" w:w="9720"/>
            <w:tcBorders>
              <w:top w:val="single" w:color="1B3A5C" w:sz="6"/>
              <w:left w:val="single" w:color="1B3A5C" w:sz="6"/>
              <w:bottom w:val="single" w:color="1B3A5C" w:sz="6"/>
              <w:right w:val="single" w:color="1B3A5C" w:sz="6"/>
            </w:tcBorders>
            <w:shd w:fill="E8EEF4" w:val="clear"/>
            <w:tcMar>
              <w:top w:type="dxa" w:w="120"/>
              <w:left w:type="dxa" w:w="200"/>
              <w:bottom w:type="dxa" w:w="120"/>
              <w:right w:type="dxa" w:w="200"/>
            </w:tcMar>
          </w:tcPr>
          <w:p>
            <w:r>
              <w:rPr>
                <w:rFonts w:ascii="Arial" w:cs="Arial" w:eastAsia="Arial" w:hAnsi="Arial"/>
                <w:color w:val="1A1A1A"/>
                <w:sz w:val="22"/>
                <w:szCs w:val="22"/>
              </w:rPr>
              <w:t xml:space="preserve">Direct NIST, Treasury, and the Federal Reserve jointly to develop a velocity-monitoring AI system using existing clearing data. The system operates within congressionally mandated parameters: V₀ (productive baseline), k (dampening coefficient), and rate bounds on t — all set by the Federal Reserve and reviewable by Congress.
OVERSIGHT REVISIONS from prior version: (a) De-dollarization tripwire lowered from 5% to 2%: AI rate adjustment authority is automatically suspended pending Commission review if the Action 3 dashboard shows USD reserve share declining by more than 2 percentage points in any 12-month period. (b) Preemptive review authority vested in the Seventh Generation Monetary Oversight Commission (Action 10): the Commission may initiate review and rate freeze on forward-looking risk indicators, not only lagging metrics. (c) Graduated response: review → rate freeze → suspension, not binary on/off. (d) Congressional override by majority vote remains. (e) Monthly rate adjustment logs and parameter settings remain public. (f) 36-month affirmative renewal required.</w:t>
            </w:r>
          </w:p>
        </w:tc>
      </w:tr>
    </w:tbl>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ACTION 8 — NON-DOLLAR CLEARING PROTECTION ACT</w:t>
            </w:r>
            <w:r>
              <w:rPr>
                <w:rFonts w:ascii="Arial" w:cs="Arial" w:eastAsia="Arial" w:hAnsi="Arial"/>
                <w:color w:val="B8860B"/>
                <w:sz w:val="18"/>
                <w:szCs w:val="18"/>
              </w:rPr>
              <w:t xml:space="preserve">   [90-Day]</w:t>
            </w:r>
          </w:p>
        </w:tc>
      </w:tr>
      <w:tr>
        <w:tc>
          <w:tcPr>
            <w:tcW w:type="dxa" w:w="9720"/>
            <w:tcBorders>
              <w:top w:val="single" w:color="1B3A5C" w:sz="6"/>
              <w:left w:val="single" w:color="1B3A5C" w:sz="6"/>
              <w:bottom w:val="single" w:color="1B3A5C" w:sz="6"/>
              <w:right w:val="single" w:color="1B3A5C" w:sz="6"/>
            </w:tcBorders>
            <w:shd w:fill="E8EEF4" w:val="clear"/>
            <w:tcMar>
              <w:top w:type="dxa" w:w="120"/>
              <w:left w:type="dxa" w:w="200"/>
              <w:bottom w:type="dxa" w:w="120"/>
              <w:right w:type="dxa" w:w="200"/>
            </w:tcMar>
          </w:tcPr>
          <w:p>
            <w:r>
              <w:rPr>
                <w:rFonts w:ascii="Arial" w:cs="Arial" w:eastAsia="Arial" w:hAnsi="Arial"/>
                <w:color w:val="1A1A1A"/>
                <w:sz w:val="22"/>
                <w:szCs w:val="22"/>
              </w:rPr>
              <w:t xml:space="preserve">Establish clearing arrangements for designated essential goods — beginning with helium, ammonia, and rare earths — that operate outside SWIFT for those specific goods. If essential goods can flow in dollars, they will. This ensures they can, regardless of sanctions state. Modeled on INSTEX. Prevents resource warfare from producing the very alternative clearing infrastructure it is meant to punish.</w:t>
            </w:r>
          </w:p>
        </w:tc>
      </w:tr>
    </w:tbl>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60"/>
              <w:left w:type="dxa" w:w="160"/>
              <w:bottom w:type="dxa" w:w="60"/>
              <w:right w:type="dxa" w:w="160"/>
            </w:tcMar>
          </w:tcPr>
          <w:p>
            <w:r>
              <w:rPr>
                <w:rFonts w:ascii="Arial" w:cs="Arial" w:eastAsia="Arial" w:hAnsi="Arial"/>
                <w:b/>
                <w:bCs/>
                <w:color w:val="FFFFFF"/>
                <w:sz w:val="20"/>
                <w:szCs w:val="20"/>
              </w:rPr>
              <w:t xml:space="preserve">ACTION 9 — INTERGENERATIONAL FISCAL REVIEW ACT</w:t>
            </w:r>
            <w:r>
              <w:rPr>
                <w:rFonts w:ascii="Arial" w:cs="Arial" w:eastAsia="Arial" w:hAnsi="Arial"/>
                <w:color w:val="B8860B"/>
                <w:sz w:val="18"/>
                <w:szCs w:val="18"/>
              </w:rPr>
              <w:t xml:space="preserve">   [90-Day]</w:t>
            </w:r>
          </w:p>
        </w:tc>
      </w:tr>
      <w:tr>
        <w:tc>
          <w:tcPr>
            <w:tcW w:type="dxa" w:w="9720"/>
            <w:tcBorders>
              <w:top w:val="single" w:color="1B3A5C" w:sz="6"/>
              <w:left w:val="single" w:color="1B3A5C" w:sz="6"/>
              <w:bottom w:val="single" w:color="1B3A5C" w:sz="6"/>
              <w:right w:val="single" w:color="1B3A5C" w:sz="6"/>
            </w:tcBorders>
            <w:shd w:fill="E8EEF4" w:val="clear"/>
            <w:tcMar>
              <w:top w:type="dxa" w:w="120"/>
              <w:left w:type="dxa" w:w="200"/>
              <w:bottom w:type="dxa" w:w="120"/>
              <w:right w:type="dxa" w:w="200"/>
            </w:tcMar>
          </w:tcPr>
          <w:p>
            <w:r>
              <w:rPr>
                <w:rFonts w:ascii="Arial" w:cs="Arial" w:eastAsia="Arial" w:hAnsi="Arial"/>
                <w:color w:val="1A1A1A"/>
                <w:sz w:val="22"/>
                <w:szCs w:val="22"/>
              </w:rPr>
              <w:t xml:space="preserve">Require Seventh Generation Fiscal Impact Statements for any executive action expected to affect sovereign debt by more than $1 trillion over 10 years. 140-year temporal horizon. Mandatory publication before the action takes effect. Private right of action for unborn heirs via trustee — with the Seventh Generation Monetary Oversight Commission (Action 10) holding standing to act as trustee in federal court.</w:t>
            </w:r>
          </w:p>
        </w:tc>
      </w:tr>
    </w:tbl>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2E6B2E" w:val="clear"/>
            <w:tcMar>
              <w:top w:type="dxa" w:w="80"/>
              <w:left w:type="dxa" w:w="200"/>
              <w:bottom w:type="dxa" w:w="80"/>
              <w:right w:type="dxa" w:w="200"/>
            </w:tcMar>
          </w:tcPr>
          <w:p>
            <w:r>
              <w:rPr>
                <w:rFonts w:ascii="Arial" w:cs="Arial" w:eastAsia="Arial" w:hAnsi="Arial"/>
                <w:b/>
                <w:bCs/>
                <w:color w:val="FFFFFF"/>
                <w:sz w:val="22"/>
                <w:szCs w:val="22"/>
              </w:rPr>
              <w:t xml:space="preserve">ACTION 10 — NEW: THE SEVENTH GENERATION MONETARY OVERSIGHT COMMISSION</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6B2E" w:sz="6"/>
              <w:left w:val="single" w:color="2E6B2E" w:sz="6"/>
              <w:bottom w:val="single" w:color="2E6B2E" w:sz="6"/>
              <w:right w:val="single" w:color="2E6B2E" w:sz="6"/>
            </w:tcBorders>
            <w:shd w:fill="EAF4EA" w:val="clear"/>
            <w:tcMar>
              <w:top w:type="dxa" w:w="160"/>
              <w:left w:type="dxa" w:w="240"/>
              <w:bottom w:type="dxa" w:w="160"/>
              <w:right w:type="dxa" w:w="240"/>
            </w:tcMar>
          </w:tcPr>
          <w:p>
            <w:r>
              <w:rPr>
                <w:rFonts w:ascii="Arial" w:cs="Arial" w:eastAsia="Arial" w:hAnsi="Arial"/>
                <w:color w:val="1A1A1A"/>
                <w:sz w:val="22"/>
                <w:szCs w:val="22"/>
              </w:rPr>
              <w:t xml:space="preserve">Establish an independent oversight body for the AI monetary management system. Modeled on the constitutional structure of long-horizon stewardship councils, not on financial regulatory bodies.</w:t>
            </w:r>
          </w:p>
          <w:p>
            <w:pPr>
              <w:spacing w:after="0" w:before="80"/>
            </w:pPr>
            <w:r>
              <w:t xml:space="preserve"/>
            </w:r>
          </w:p>
          <w:p>
            <w:r>
              <w:rPr>
                <w:rFonts w:ascii="Arial" w:cs="Arial" w:eastAsia="Arial" w:hAnsi="Arial"/>
                <w:color w:val="1A1A1A"/>
                <w:sz w:val="22"/>
                <w:szCs w:val="22"/>
              </w:rPr>
              <w:t xml:space="preserve">COMPOSITION: Seven commissioners serving 14-year staggered terms (one commissioner per generation represented). Appointed by a bipartisan process. Explicitly barred: no commissioner may have held a position at a financial institution, broker-dealer, exchange, or hedge fund within the 10 years preceding appointment, or for 10 years following. Compensation: equivalent to federal district court judges. The commission is drawn from economists, constitutional scholars, environmental scientists, and community representatives — the same disciplines as a Seventh Generation council.</w:t>
            </w:r>
          </w:p>
          <w:p>
            <w:pPr>
              <w:spacing w:after="0" w:before="80"/>
            </w:pPr>
            <w:r>
              <w:t xml:space="preserve"/>
            </w:r>
          </w:p>
          <w:p>
            <w:r>
              <w:rPr>
                <w:rFonts w:ascii="Arial" w:cs="Arial" w:eastAsia="Arial" w:hAnsi="Arial"/>
                <w:color w:val="1A1A1A"/>
                <w:sz w:val="22"/>
                <w:szCs w:val="22"/>
              </w:rPr>
              <w:t xml:space="preserve">AUTHORITY: (1) Preemptive suspension power based on forward-looking risk indicators, not only lagging metrics. (2) Interpretive sovereignty: mandate and resources to produce plain-language quarterly reports on AI system operations, accessible to non-specialists. (3) Sunset enforcement: authority to block renewal if genuine democratic deliberation has not occurred and to initiate wind-down procedures if the system is found to be serving institutional momentum rather than democratic mandate. (4) Tripwire authority: Commission sets and adjusts the de-dollarization suspension threshold (starting at 2%, reviewed quarterly). (5) Federal court standing as trustee for the Intergenerational Fiscal Review Act.</w:t>
            </w:r>
          </w:p>
          <w:p>
            <w:pPr>
              <w:spacing w:after="0" w:before="80"/>
            </w:pPr>
            <w:r>
              <w:t xml:space="preserve"/>
            </w:r>
          </w:p>
          <w:p>
            <w:r>
              <w:rPr>
                <w:rFonts w:ascii="Arial" w:cs="Arial" w:eastAsia="Arial" w:hAnsi="Arial"/>
                <w:i/>
                <w:iCs/>
                <w:color w:val="1B3A5C"/>
                <w:sz w:val="22"/>
                <w:szCs w:val="22"/>
              </w:rPr>
              <w:t xml:space="preserve">RATIONALE: The deepest constitutional risk of AI-managed monetary policy is not that it fails — it is that it succeeds and becomes unquestionable. Success is how institutional lock-in happens. The Commission is the structural response to success: an institution whose fiduciary obligation is to people not yet born, with real authority to interrupt system momentum when it begins serving its own continuity rather than democratic sovereignty.</w:t>
            </w:r>
          </w:p>
        </w:tc>
      </w:tr>
    </w:tbl>
    <w:p>
      <w:pPr>
        <w:spacing w:after="0" w:before="200"/>
      </w:pPr>
      <w:r>
        <w:t xml:space="preserve"/>
      </w:r>
    </w:p>
    <w:p>
      <w:r>
        <w:br w:type="page"/>
      </w:r>
    </w:p>
    <w:p>
      <w:pPr>
        <w:pStyle w:val="Heading1"/>
        <w:pBdr>
          <w:bottom w:val="single" w:color="B8860B" w:sz="4"/>
        </w:pBdr>
        <w:spacing w:after="100" w:before="320"/>
      </w:pPr>
      <w:r>
        <w:rPr>
          <w:rFonts w:ascii="Arial" w:cs="Arial" w:eastAsia="Arial" w:hAnsi="Arial"/>
          <w:b/>
          <w:bCs/>
          <w:color w:val="1B3A5C"/>
          <w:sz w:val="28"/>
          <w:szCs w:val="28"/>
        </w:rPr>
        <w:t xml:space="preserve">The Synthesis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860B" w:sz="6"/>
              <w:left w:val="single" w:color="B8860B" w:sz="6"/>
              <w:bottom w:val="single" w:color="B8860B" w:sz="6"/>
              <w:right w:val="single" w:color="B8860B" w:sz="6"/>
            </w:tcBorders>
            <w:shd w:fill="F5F0E0" w:val="clear"/>
            <w:tcMar>
              <w:top w:type="dxa" w:w="200"/>
              <w:left w:type="dxa" w:w="360"/>
              <w:bottom w:type="dxa" w:w="200"/>
              <w:right w:type="dxa" w:w="360"/>
            </w:tcMar>
          </w:tcPr>
          <w:p>
            <w:r>
              <w:rPr>
                <w:rFonts w:ascii="Arial" w:cs="Arial" w:eastAsia="Arial" w:hAnsi="Arial"/>
                <w:color w:val="1A1A1A"/>
                <w:sz w:val="22"/>
                <w:szCs w:val="22"/>
              </w:rPr>
              <w:t xml:space="preserve">The 2026 Iran conflict is the forcing function that makes structural fiscal reform impossible to defer. The velocity tax is not a response to the conflict. It is the instrument that matches the tax base to where the economy actually lives: in the path integral of monetary movement, not in the income and consumption flows of a 20th-century economy.</w:t>
            </w:r>
          </w:p>
          <w:p>
            <w:pPr>
              <w:spacing w:after="0" w:before="80"/>
            </w:pPr>
            <w:r>
              <w:t xml:space="preserve"/>
            </w:r>
          </w:p>
          <w:p>
            <w:r>
              <w:rPr>
                <w:rFonts w:ascii="Arial" w:cs="Arial" w:eastAsia="Arial" w:hAnsi="Arial"/>
                <w:color w:val="1A1A1A"/>
                <w:sz w:val="22"/>
                <w:szCs w:val="22"/>
              </w:rPr>
              <w:t xml:space="preserve">The capital flight objection dissolves when the full instrument is understood. Speculative capital faces friction. Productive capital gains a more attractive environment: a nation whose workers have healthcare security, income floors, and pension certainty is a nation with consumer demand, labor flexibility, and political stability. The velocity tax applies friction to the economy of extraction and creates the conditions for the economy of production.</w:t>
            </w:r>
          </w:p>
          <w:p>
            <w:pPr>
              <w:spacing w:after="0" w:before="80"/>
            </w:pPr>
            <w:r>
              <w:t xml:space="preserve"/>
            </w:r>
          </w:p>
          <w:p>
            <w:r>
              <w:rPr>
                <w:rFonts w:ascii="Arial" w:cs="Arial" w:eastAsia="Arial" w:hAnsi="Arial"/>
                <w:b/>
                <w:bCs/>
                <w:i/>
                <w:iCs/>
                <w:color w:val="1B3A5C"/>
                <w:sz w:val="22"/>
                <w:szCs w:val="22"/>
              </w:rPr>
              <w:t xml:space="preserve">The generation born in 2166 will inherit one of two fiscal substrates. In one, sovereign debt has compounded beyond the capacity of any income-based tax system to service, alternative reserve currencies have achieved network-effect permanence, and the United States has completed the transition from hegemon to managed-decline enclave. In the other, the path integral of monetary movement has been put to work: debt reduced, dollar stabilized, social foundations built, speculative excess structurally dampened, and an independent commission of 14-year stewards watching the instrument to ensure it continues to serve the living, not the institutional momentum of the dead.</w:t>
            </w:r>
          </w:p>
        </w:tc>
      </w:tr>
    </w:tbl>
    <w:p>
      <w:pPr>
        <w:spacing w:after="0" w:before="160"/>
      </w:pPr>
      <w:r>
        <w:t xml:space="preserve"/>
      </w:r>
    </w:p>
    <w:p>
      <w:pPr>
        <w:spacing w:after="60" w:before="280"/>
      </w:pPr>
      <w:r>
        <w:rPr>
          <w:rFonts w:ascii="Arial" w:cs="Arial" w:eastAsia="Arial" w:hAnsi="Arial"/>
          <w:b/>
          <w:bCs/>
          <w:color w:val="B8860B"/>
          <w:sz w:val="18"/>
          <w:szCs w:val="18"/>
        </w:rPr>
        <w:t xml:space="preserve">ABOUT THIS BRIEF</w:t>
      </w:r>
    </w:p>
    <w:p>
      <w:pPr>
        <w:spacing w:after="100" w:before="60"/>
      </w:pPr>
      <w:r>
        <w:rPr>
          <w:rFonts w:ascii="Arial" w:cs="Arial" w:eastAsia="Arial" w:hAnsi="Arial"/>
          <w:b w:val="false"/>
          <w:bCs w:val="false"/>
          <w:i w:val="false"/>
          <w:iCs w:val="false"/>
          <w:color w:val="555555"/>
          <w:sz w:val="22"/>
          <w:szCs w:val="22"/>
        </w:rPr>
        <w:t xml:space="preserve">Velocity tax derivation: Michael Fox, 1989; written down April 2026. Independent parallel derivation: Professor Edgar L. Feige, University of Wisconsin-Madison, 2000. Cross-model constitutional review: Kimi K2.5, GLM-5, DeepSeek-V3, GPT-4o; synthesis by DeepSeek-R1. April 5, 2026. Source logs and full methodology: github.com/Mfox-research99/federated-village.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pBdr>
    </w:pPr>
  </w:p>
  <w:p>
    <w:pPr>
      <w:spacing w:before="80"/>
      <w:jc w:val="center"/>
    </w:pPr>
    <w:r>
      <w:rPr>
        <w:rFonts w:ascii="Arial" w:cs="Arial" w:eastAsia="Arial" w:hAnsi="Arial"/>
        <w:i/>
        <w:iCs/>
        <w:color w:val="555555"/>
        <w:sz w:val="16"/>
        <w:szCs w:val="16"/>
      </w:rPr>
      <w:t xml:space="preserve">Produced by the Federated Village Project | Seventh Generation Scout | Revised following cross-model constitutional review | April 5,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color="FFFFFF" w:sz="0"/>
            <w:left w:val="none" w:color="FFFFFF" w:sz="0"/>
            <w:bottom w:val="none" w:color="FFFFFF" w:sz="0"/>
            <w:right w:val="none" w:color="FFFFFF" w:sz="0"/>
          </w:tcBorders>
        </w:tcPr>
        <w:p>
          <w:r>
            <w:rPr>
              <w:rFonts w:ascii="Arial" w:cs="Arial" w:eastAsia="Arial" w:hAnsi="Arial"/>
              <w:color w:val="1B3A5C"/>
              <w:sz w:val="16"/>
              <w:szCs w:val="16"/>
            </w:rPr>
            <w:t xml:space="preserve">FISCAL STABILITY BRIEF — REVISED  |  FEDERATED VILLAGE PROJECT  |  APRIL 5, 2026</w:t>
          </w:r>
        </w:p>
      </w:tc>
      <w:tc>
        <w:tcPr>
          <w:tcW w:type="dxa" w:w="2520"/>
          <w:tcBorders>
            <w:top w:val="none" w:color="FFFFFF" w:sz="0"/>
            <w:left w:val="none" w:color="FFFFFF" w:sz="0"/>
            <w:bottom w:val="none" w:color="FFFFFF" w:sz="0"/>
            <w:right w:val="none" w:color="FFFFFF" w:sz="0"/>
          </w:tcBorders>
        </w:tcPr>
        <w:p>
          <w:pP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tc>
    </w:tr>
  </w:tbl>
  <w:p>
    <w:pPr>
      <w:pBdr>
        <w:bottom w:val="single" w:color="B8860B" w:sz="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2026-04-05T14:35:31.190Z</dcterms:created>
  <dcterms:modified xsi:type="dcterms:W3CDTF">2026-04-05T14:35:31.190Z</dcterms:modified>
</cp:coreProperties>
</file>

<file path=docProps/custom.xml><?xml version="1.0" encoding="utf-8"?>
<Properties xmlns="http://schemas.openxmlformats.org/officeDocument/2006/custom-properties" xmlns:vt="http://schemas.openxmlformats.org/officeDocument/2006/docPropsVTypes"/>
</file>