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360"/>
              <w:left w:type="dxa" w:w="480"/>
              <w:bottom w:type="dxa" w:w="360"/>
              <w:right w:type="dxa" w:w="480"/>
            </w:tcMar>
          </w:tcPr>
          <w:p>
            <w:pPr>
              <w:jc w:val="center"/>
            </w:pPr>
            <w:r>
              <w:rPr>
                <w:rFonts w:ascii="Arial" w:cs="Arial" w:eastAsia="Arial" w:hAnsi="Arial"/>
                <w:b/>
                <w:bCs/>
                <w:color w:val="B8860B"/>
                <w:sz w:val="20"/>
                <w:szCs w:val="20"/>
              </w:rPr>
              <w:t xml:space="preserve">CONSTITUTIONAL REVIEW</w:t>
            </w:r>
          </w:p>
          <w:p>
            <w:pPr>
              <w:spacing w:before="100"/>
              <w:jc w:val="center"/>
            </w:pPr>
            <w:r>
              <w:rPr>
                <w:rFonts w:ascii="Arial" w:cs="Arial" w:eastAsia="Arial" w:hAnsi="Arial"/>
                <w:b/>
                <w:bCs/>
                <w:color w:val="FFFFFF"/>
                <w:sz w:val="34"/>
                <w:szCs w:val="34"/>
              </w:rPr>
              <w:t xml:space="preserve">Velocity Tax Legislative Plan:</w:t>
            </w:r>
          </w:p>
          <w:p>
            <w:pPr>
              <w:spacing w:after="60" w:before="60"/>
              <w:jc w:val="center"/>
            </w:pPr>
            <w:r>
              <w:rPr>
                <w:rFonts w:ascii="Arial" w:cs="Arial" w:eastAsia="Arial" w:hAnsi="Arial"/>
                <w:b/>
                <w:bCs/>
                <w:color w:val="FFFFFF"/>
                <w:sz w:val="34"/>
                <w:szCs w:val="34"/>
              </w:rPr>
              <w:t xml:space="preserve">Does the Oversight Architecture Hold?</w:t>
            </w:r>
          </w:p>
          <w:p>
            <w:pPr>
              <w:pBdr>
                <w:top w:val="single" w:color="B8860B" w:sz="4"/>
              </w:pBdr>
              <w:spacing w:before="100"/>
              <w:jc w:val="center"/>
            </w:pPr>
            <w:r>
              <w:rPr>
                <w:rFonts w:ascii="Arial" w:cs="Arial" w:eastAsia="Arial" w:hAnsi="Arial"/>
                <w:i/>
                <w:iCs/>
                <w:color w:val="B8860B"/>
                <w:sz w:val="19"/>
                <w:szCs w:val="19"/>
              </w:rPr>
              <w:t xml:space="preserve">Four AI systems reviewed the 9-action plan against the Seventh Generation constitutional framework</w:t>
            </w:r>
          </w:p>
          <w:p>
            <w:pPr>
              <w:spacing w:before="60"/>
              <w:jc w:val="center"/>
            </w:pPr>
            <w:r>
              <w:rPr>
                <w:rFonts w:ascii="Arial" w:cs="Arial" w:eastAsia="Arial" w:hAnsi="Arial"/>
                <w:color w:val="F5F0E0"/>
                <w:sz w:val="18"/>
                <w:szCs w:val="18"/>
              </w:rPr>
              <w:t xml:space="preserve">April 5, 2026  |  Federated Village Project</w:t>
            </w:r>
          </w:p>
        </w:tc>
      </w:tr>
    </w:tbl>
    <w:p>
      <w:pPr>
        <w:spacing w:after="0" w:before="2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00"/>
              <w:left w:type="dxa" w:w="240"/>
              <w:bottom w:type="dxa" w:w="100"/>
              <w:right w:type="dxa" w:w="240"/>
            </w:tcMar>
          </w:tcPr>
          <w:p>
            <w:r>
              <w:rPr>
                <w:rFonts w:ascii="Arial" w:cs="Arial" w:eastAsia="Arial" w:hAnsi="Arial"/>
                <w:b/>
                <w:bCs/>
                <w:color w:val="1B3A5C"/>
                <w:sz w:val="20"/>
                <w:szCs w:val="20"/>
              </w:rPr>
              <w:t xml:space="preserve">PURPOSE OF THIS REVIEW</w:t>
            </w:r>
          </w:p>
          <w:p>
            <w:pPr>
              <w:spacing w:before="60"/>
            </w:pPr>
            <w:r>
              <w:rPr>
                <w:rFonts w:ascii="Arial" w:cs="Arial" w:eastAsia="Arial" w:hAnsi="Arial"/>
                <w:color w:val="1A1A1A"/>
                <w:sz w:val="20"/>
                <w:szCs w:val="20"/>
              </w:rPr>
              <w:t xml:space="preserve">The prior cross-model panel identified two constitutional warnings: (1) a reflexive harm risk — that a failing velocity tax could accelerate de-dollarization — and (2) an AI governance lock-in risk — that an algorithmic rate-setting authority could become democratically uncontestable by 2166. This review asks whether the 9-action legislative plan, with its specific oversight provisions, resolves those concerns — and whether the author's thesis is correct: that lock-in is a legislative design problem, not a structural one.</w:t>
            </w:r>
          </w:p>
        </w:tc>
      </w:tr>
    </w:tbl>
    <w:p>
      <w:pPr>
        <w:spacing w:after="0" w:before="20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Panel Verdicts at a Glance</w:t>
      </w:r>
    </w:p>
    <w:p>
      <w:pPr>
        <w:spacing w:after="100" w:before="60"/>
      </w:pPr>
      <w:r>
        <w:rPr>
          <w:rFonts w:ascii="Arial" w:cs="Arial" w:eastAsia="Arial" w:hAnsi="Arial"/>
          <w:b w:val="false"/>
          <w:bCs w:val="false"/>
          <w:i w:val="false"/>
          <w:iCs w:val="false"/>
          <w:color w:val="1A1A1A"/>
          <w:sz w:val="22"/>
          <w:szCs w:val="22"/>
        </w:rPr>
        <w:t xml:space="preserve">All four models evaluated the full 9-action plan and returned constitutional verdicts. None recommended rejection. None approved as-is. All four returned REDESIGN — with specific provisions identified.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GPT-4o</w:t>
            </w:r>
          </w:p>
          <w:p>
            <w:pPr>
              <w:jc w:val="center"/>
            </w:pPr>
            <w:r>
              <w:rPr>
                <w:rFonts w:ascii="Arial" w:cs="Arial" w:eastAsia="Arial" w:hAnsi="Arial"/>
                <w:b/>
                <w:bCs/>
                <w:color w:val="FFFFFF"/>
                <w:sz w:val="24"/>
                <w:szCs w:val="24"/>
              </w:rPr>
              <w:t xml:space="preserve">REDESIGN</w:t>
            </w:r>
          </w:p>
        </w:tc>
        <w:tc>
          <w:tcPr>
            <w:tcW w:type="dxa" w:w="7720"/>
            <w:tcBorders>
              <w:top w:val="single" w:color="B85C00" w:sz="6"/>
              <w:left w:val="single" w:color="B85C00" w:sz="6"/>
              <w:bottom w:val="single" w:color="B85C00" w:sz="6"/>
              <w:right w:val="single" w:color="B85C00" w:sz="6"/>
            </w:tcBorders>
            <w:shd w:fill="E8EEF4" w:val="clear"/>
            <w:tcMar>
              <w:top w:type="dxa" w:w="100"/>
              <w:left w:type="dxa" w:w="160"/>
              <w:bottom w:type="dxa" w:w="100"/>
              <w:right w:type="dxa" w:w="160"/>
            </w:tcMar>
          </w:tcPr>
          <w:p>
            <w:r>
              <w:rPr>
                <w:rFonts w:ascii="Arial" w:cs="Arial" w:eastAsia="Arial" w:hAnsi="Arial"/>
                <w:i/>
                <w:iCs/>
                <w:color w:val="555555"/>
                <w:sz w:val="18"/>
                <w:szCs w:val="18"/>
              </w:rPr>
              <w:t xml:space="preserve">OpenAI  |  openai/gpt-4o</w:t>
            </w:r>
          </w:p>
          <w:p>
            <w:pPr>
              <w:spacing w:before="60"/>
            </w:pPr>
            <w:r>
              <w:rPr>
                <w:rFonts w:ascii="Arial" w:cs="Arial" w:eastAsia="Arial" w:hAnsi="Arial"/>
                <w:color w:val="1A1A1A"/>
                <w:sz w:val="22"/>
                <w:szCs w:val="22"/>
              </w:rPr>
              <w:t xml:space="preserve">Needs more frequent interim reviews (quarterly, not annual), enhanced technical literacy support for oversight bodies, and rapid-response mechanisms before the 24-month sunset. The intent is constitutionally sound; the execution mechanisms are too slow.</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DeepSeek-V3</w:t>
            </w:r>
          </w:p>
          <w:p>
            <w:pPr>
              <w:jc w:val="center"/>
            </w:pPr>
            <w:r>
              <w:rPr>
                <w:rFonts w:ascii="Arial" w:cs="Arial" w:eastAsia="Arial" w:hAnsi="Arial"/>
                <w:b/>
                <w:bCs/>
                <w:color w:val="FFFFFF"/>
                <w:sz w:val="24"/>
                <w:szCs w:val="24"/>
              </w:rPr>
              <w:t xml:space="preserve">REDESIGN</w:t>
            </w:r>
          </w:p>
        </w:tc>
        <w:tc>
          <w:tcPr>
            <w:tcW w:type="dxa" w:w="7720"/>
            <w:tcBorders>
              <w:top w:val="single" w:color="B85C00" w:sz="6"/>
              <w:left w:val="single" w:color="B85C00" w:sz="6"/>
              <w:bottom w:val="single" w:color="B85C00" w:sz="6"/>
              <w:right w:val="single" w:color="B85C00" w:sz="6"/>
            </w:tcBorders>
            <w:shd w:fill="E8EEF4" w:val="clear"/>
            <w:tcMar>
              <w:top w:type="dxa" w:w="100"/>
              <w:left w:type="dxa" w:w="160"/>
              <w:bottom w:type="dxa" w:w="100"/>
              <w:right w:type="dxa" w:w="160"/>
            </w:tcMar>
          </w:tcPr>
          <w:p>
            <w:r>
              <w:rPr>
                <w:rFonts w:ascii="Arial" w:cs="Arial" w:eastAsia="Arial" w:hAnsi="Arial"/>
                <w:i/>
                <w:iCs/>
                <w:color w:val="555555"/>
                <w:sz w:val="18"/>
                <w:szCs w:val="18"/>
              </w:rPr>
              <w:t xml:space="preserve">DeepSeek  |  deepseek/deepseek-chat</w:t>
            </w:r>
          </w:p>
          <w:p>
            <w:pPr>
              <w:spacing w:before="60"/>
            </w:pPr>
            <w:r>
              <w:rPr>
                <w:rFonts w:ascii="Arial" w:cs="Arial" w:eastAsia="Arial" w:hAnsi="Arial"/>
                <w:color w:val="1A1A1A"/>
                <w:sz w:val="22"/>
                <w:szCs w:val="22"/>
              </w:rPr>
              <w:t xml:space="preserve">Plan introduces significant Seventh Generation risks that must be addressed before implementation. Specifically demands: citizen assemblies for democratic deliberation beyond technical experts, lower de-dollarization tripwire (2%, not 5%), and independent technical review bodies separate from the Fed and Treasury.</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8B2500" w:sz="6"/>
              <w:left w:val="single" w:color="8B2500" w:sz="6"/>
              <w:bottom w:val="single" w:color="8B2500" w:sz="6"/>
              <w:right w:val="single" w:color="8B2500" w:sz="6"/>
            </w:tcBorders>
            <w:shd w:fill="8B25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Kimi K2.5</w:t>
            </w:r>
          </w:p>
          <w:p>
            <w:pPr>
              <w:jc w:val="center"/>
            </w:pPr>
            <w:r>
              <w:rPr>
                <w:rFonts w:ascii="Arial" w:cs="Arial" w:eastAsia="Arial" w:hAnsi="Arial"/>
                <w:b/>
                <w:bCs/>
                <w:color w:val="FFFFFF"/>
                <w:sz w:val="24"/>
                <w:szCs w:val="24"/>
              </w:rPr>
              <w:t xml:space="preserve">REDESIGN*</w:t>
            </w:r>
          </w:p>
        </w:tc>
        <w:tc>
          <w:tcPr>
            <w:tcW w:type="dxa" w:w="7720"/>
            <w:tcBorders>
              <w:top w:val="single" w:color="8B2500" w:sz="6"/>
              <w:left w:val="single" w:color="8B2500" w:sz="6"/>
              <w:bottom w:val="single" w:color="8B2500" w:sz="6"/>
              <w:right w:val="single" w:color="8B2500" w:sz="6"/>
            </w:tcBorders>
            <w:shd w:fill="E8EEF4" w:val="clear"/>
            <w:tcMar>
              <w:top w:type="dxa" w:w="100"/>
              <w:left w:type="dxa" w:w="160"/>
              <w:bottom w:type="dxa" w:w="100"/>
              <w:right w:type="dxa" w:w="160"/>
            </w:tcMar>
          </w:tcPr>
          <w:p>
            <w:r>
              <w:rPr>
                <w:rFonts w:ascii="Arial" w:cs="Arial" w:eastAsia="Arial" w:hAnsi="Arial"/>
                <w:i/>
                <w:iCs/>
                <w:color w:val="555555"/>
                <w:sz w:val="18"/>
                <w:szCs w:val="18"/>
              </w:rPr>
              <w:t xml:space="preserve">Moonshot AI  |  moonshotai/kimi-k2.5</w:t>
            </w:r>
          </w:p>
          <w:p>
            <w:pPr>
              <w:spacing w:before="60"/>
            </w:pPr>
            <w:r>
              <w:rPr>
                <w:rFonts w:ascii="Arial" w:cs="Arial" w:eastAsia="Arial" w:hAnsi="Arial"/>
                <w:color w:val="1A1A1A"/>
                <w:sz w:val="22"/>
                <w:szCs w:val="22"/>
              </w:rPr>
              <w:t xml:space="preserve">The provisions manage political risk for the enacting generation while exposing 2166 to irreversible confidence fractures. Views the 5% tripwire as a 'lagging crash detector' and the sunset clause as creating status-quo bias in reverse. Implicit rejection of the current design; requires fundamental architectural rebuild.</w:t>
            </w:r>
          </w:p>
        </w:tc>
      </w:tr>
    </w:tbl>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B85C00" w:sz="6"/>
              <w:left w:val="single" w:color="B85C00" w:sz="6"/>
              <w:bottom w:val="single" w:color="B85C00" w:sz="6"/>
              <w:right w:val="single" w:color="B85C00" w:sz="6"/>
            </w:tcBorders>
            <w:shd w:fill="B85C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GLM-5</w:t>
            </w:r>
          </w:p>
          <w:p>
            <w:pPr>
              <w:jc w:val="center"/>
            </w:pPr>
            <w:r>
              <w:rPr>
                <w:rFonts w:ascii="Arial" w:cs="Arial" w:eastAsia="Arial" w:hAnsi="Arial"/>
                <w:b/>
                <w:bCs/>
                <w:color w:val="FFFFFF"/>
                <w:sz w:val="24"/>
                <w:szCs w:val="24"/>
              </w:rPr>
              <w:t xml:space="preserve">REDESIGN</w:t>
            </w:r>
          </w:p>
        </w:tc>
        <w:tc>
          <w:tcPr>
            <w:tcW w:type="dxa" w:w="7720"/>
            <w:tcBorders>
              <w:top w:val="single" w:color="B85C00" w:sz="6"/>
              <w:left w:val="single" w:color="B85C00" w:sz="6"/>
              <w:bottom w:val="single" w:color="B85C00" w:sz="6"/>
              <w:right w:val="single" w:color="B85C00" w:sz="6"/>
            </w:tcBorders>
            <w:shd w:fill="E8EEF4" w:val="clear"/>
            <w:tcMar>
              <w:top w:type="dxa" w:w="100"/>
              <w:left w:type="dxa" w:w="160"/>
              <w:bottom w:type="dxa" w:w="100"/>
              <w:right w:type="dxa" w:w="160"/>
            </w:tcMar>
          </w:tcPr>
          <w:p>
            <w:r>
              <w:rPr>
                <w:rFonts w:ascii="Arial" w:cs="Arial" w:eastAsia="Arial" w:hAnsi="Arial"/>
                <w:i/>
                <w:iCs/>
                <w:color w:val="555555"/>
                <w:sz w:val="18"/>
                <w:szCs w:val="18"/>
              </w:rPr>
              <w:t xml:space="preserve">Zhipu AI  |  z-ai/glm-5v-turbo</w:t>
            </w:r>
          </w:p>
          <w:p>
            <w:pPr>
              <w:spacing w:before="60"/>
            </w:pPr>
            <w:r>
              <w:rPr>
                <w:rFonts w:ascii="Arial" w:cs="Arial" w:eastAsia="Arial" w:hAnsi="Arial"/>
                <w:color w:val="1A1A1A"/>
                <w:sz w:val="22"/>
                <w:szCs w:val="22"/>
              </w:rPr>
              <w:t xml:space="preserve">The oversight creates 'political risk management mislabeled as constitutional safeguarding' and a 'governance illusion' that makes lock-in worse by providing false comfort. Requires genuine democratic accountability, not transparency theater.</w:t>
            </w:r>
          </w:p>
        </w:tc>
      </w:tr>
    </w:tbl>
    <w:p>
      <w:r>
        <w:br w:type="page"/>
      </w:r>
    </w:p>
    <w:p>
      <w:pPr>
        <w:pStyle w:val="Heading1"/>
        <w:pBdr>
          <w:bottom w:val="single" w:color="B8860B" w:sz="4"/>
        </w:pBdr>
        <w:spacing w:after="100" w:before="320"/>
      </w:pPr>
      <w:r>
        <w:rPr>
          <w:rFonts w:ascii="Arial" w:cs="Arial" w:eastAsia="Arial" w:hAnsi="Arial"/>
          <w:b/>
          <w:bCs/>
          <w:color w:val="1B3A5C"/>
          <w:sz w:val="28"/>
          <w:szCs w:val="28"/>
        </w:rPr>
        <w:t xml:space="preserve">Consensus: Where All Four Models Agree</w:t>
      </w:r>
    </w:p>
    <w:p>
      <w:pPr>
        <w:spacing w:after="80" w:before="200"/>
      </w:pPr>
      <w:r>
        <w:rPr>
          <w:rFonts w:ascii="Arial" w:cs="Arial" w:eastAsia="Arial" w:hAnsi="Arial"/>
          <w:b/>
          <w:bCs/>
          <w:color w:val="2E6B2E"/>
          <w:sz w:val="24"/>
          <w:szCs w:val="24"/>
        </w:rPr>
        <w:t xml:space="preserve">What the Plan Gets Right</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Debt paydown dedication (Action 4 revenue) serves Seventh Generation interests — all models implicitly accept this as constitutionally sound.</w:t>
      </w:r>
    </w:p>
    <w:p>
      <w:pPr>
        <w:pStyle w:val="ListParagraph"/>
        <w:numPr>
          <w:ilvl w:val="0"/>
          <w:numId w:val="2"/>
        </w:numPr>
        <w:spacing w:after="40" w:before="40"/>
      </w:pPr>
      <w:r>
        <w:rPr>
          <w:rFonts w:ascii="Arial" w:cs="Arial" w:eastAsia="Arial" w:hAnsi="Arial"/>
          <w:color w:val="1A1A1A"/>
          <w:sz w:val="22"/>
          <w:szCs w:val="22"/>
        </w:rPr>
        <w:t xml:space="preserve">Non-dollar clearing protections (Action 8) prevent resource flow disruption — exempting essential goods from the tax mechanism protects future generations from scarcity-driven conflict.</w:t>
      </w:r>
    </w:p>
    <w:p>
      <w:pPr>
        <w:pStyle w:val="ListParagraph"/>
        <w:numPr>
          <w:ilvl w:val="0"/>
          <w:numId w:val="2"/>
        </w:numPr>
        <w:spacing w:after="40" w:before="40"/>
      </w:pPr>
      <w:r>
        <w:rPr>
          <w:rFonts w:ascii="Arial" w:cs="Arial" w:eastAsia="Arial" w:hAnsi="Arial"/>
          <w:color w:val="1A1A1A"/>
          <w:sz w:val="22"/>
          <w:szCs w:val="22"/>
        </w:rPr>
        <w:t xml:space="preserve">The intent of democratic oversight is genuine — congressional override authority, sunset clauses, and transparency provisions represent a real attempt to embed accountability. The intent is not in question. The execution is.</w:t>
      </w:r>
    </w:p>
    <w:p>
      <w:pPr>
        <w:spacing w:after="0" w:before="120"/>
      </w:pPr>
      <w:r>
        <w:t xml:space="preserve"/>
      </w:r>
    </w:p>
    <w:p>
      <w:pPr>
        <w:spacing w:after="80" w:before="200"/>
      </w:pPr>
      <w:r>
        <w:rPr>
          <w:rFonts w:ascii="Arial" w:cs="Arial" w:eastAsia="Arial" w:hAnsi="Arial"/>
          <w:b/>
          <w:bCs/>
          <w:color w:val="8B2500"/>
          <w:sz w:val="24"/>
          <w:szCs w:val="24"/>
        </w:rPr>
        <w:t xml:space="preserve">What the Plan Gets Wrong — Unanimous Findings</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2500" w:sz="6"/>
              <w:left w:val="single" w:color="8B2500" w:sz="6"/>
              <w:bottom w:val="single" w:color="8B2500" w:sz="6"/>
              <w:right w:val="single" w:color="8B2500" w:sz="6"/>
            </w:tcBorders>
            <w:shd w:fill="FAF0EE" w:val="clear"/>
            <w:tcMar>
              <w:top w:type="dxa" w:w="160"/>
              <w:left w:type="dxa" w:w="240"/>
              <w:bottom w:type="dxa" w:w="160"/>
              <w:right w:type="dxa" w:w="240"/>
            </w:tcMar>
          </w:tcPr>
          <w:p>
            <w:r>
              <w:rPr>
                <w:rFonts w:ascii="Arial" w:cs="Arial" w:eastAsia="Arial" w:hAnsi="Arial"/>
                <w:b/>
                <w:bCs/>
                <w:color w:val="8B2500"/>
                <w:sz w:val="22"/>
                <w:szCs w:val="22"/>
              </w:rPr>
              <w:t xml:space="preserve">UNANIMOUS: The 5% De-Dollarization Tripwire (Action 7) Is Constitutionally Inadequate</w:t>
            </w:r>
          </w:p>
          <w:p>
            <w:pPr>
              <w:spacing w:before="80"/>
            </w:pPr>
            <w:r>
              <w:rPr>
                <w:rFonts w:ascii="Arial" w:cs="Arial" w:eastAsia="Arial" w:hAnsi="Arial"/>
                <w:color w:val="1A1A1A"/>
                <w:sz w:val="22"/>
                <w:szCs w:val="22"/>
              </w:rPr>
              <w:t xml:space="preserve">All four models condemn this threshold. By the time the USD loses 5 percentage points of global reserve share, the harm is already irreversible. The tripwire is a death certificate, not an early warning. DeepSeek recommends lowering it to 2%. Kimi calls it a 'lagging crash detector.' GLM-5 identifies an additional execution gap: the dashboard updates monthly, while modern capital flight cascades in hours. The fix is structural: lower threshold + more frequent monitoring + preemptive review authority.</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8B2500" w:sz="6"/>
              <w:left w:val="single" w:color="8B2500" w:sz="6"/>
              <w:bottom w:val="single" w:color="8B2500" w:sz="6"/>
              <w:right w:val="single" w:color="8B2500" w:sz="6"/>
            </w:tcBorders>
            <w:shd w:fill="FAF0EE" w:val="clear"/>
            <w:tcMar>
              <w:top w:type="dxa" w:w="160"/>
              <w:left w:type="dxa" w:w="240"/>
              <w:bottom w:type="dxa" w:w="160"/>
              <w:right w:type="dxa" w:w="240"/>
            </w:tcMar>
          </w:tcPr>
          <w:p>
            <w:r>
              <w:rPr>
                <w:rFonts w:ascii="Arial" w:cs="Arial" w:eastAsia="Arial" w:hAnsi="Arial"/>
                <w:b/>
                <w:bCs/>
                <w:color w:val="8B2500"/>
                <w:sz w:val="22"/>
                <w:szCs w:val="22"/>
              </w:rPr>
              <w:t xml:space="preserve">UNANIMOUS: The 24-Month Sunset Clause (Action 4) Has a Fatal Design Flaw</w:t>
            </w:r>
          </w:p>
          <w:p>
            <w:pPr>
              <w:spacing w:before="80"/>
            </w:pPr>
            <w:r>
              <w:rPr>
                <w:rFonts w:ascii="Arial" w:cs="Arial" w:eastAsia="Arial" w:hAnsi="Arial"/>
                <w:color w:val="1A1A1A"/>
                <w:sz w:val="22"/>
                <w:szCs w:val="22"/>
              </w:rPr>
              <w:t xml:space="preserve">All four models identify temporal asymmetry: the sunset clause is too short to accumulate robust efficacy data (monetary confidence is a slow-variable system) but long enough to trigger irreversible capital reallocation if the pilot signals institutional desperation. The 'affirmative renewal' requirement also creates status quo bias in reverse — once Treasury builds dependency on the revenue stream for debt service, institutional momentum will drive renewal regardless of performance. Fix: lengthen the pilot to 36 months, require independent performance certification (not just congressional vote) for renewal, and include revenue escrow during performance review so there is no fiscal dependence on renewal.</w:t>
            </w:r>
          </w:p>
        </w:tc>
      </w:tr>
    </w:tbl>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5C00" w:sz="6"/>
              <w:left w:val="single" w:color="B85C00" w:sz="6"/>
              <w:bottom w:val="single" w:color="B85C00" w:sz="6"/>
              <w:right w:val="single" w:color="B85C00" w:sz="6"/>
            </w:tcBorders>
            <w:shd w:fill="FFFBE6" w:val="clear"/>
            <w:tcMar>
              <w:top w:type="dxa" w:w="160"/>
              <w:left w:type="dxa" w:w="240"/>
              <w:bottom w:type="dxa" w:w="160"/>
              <w:right w:type="dxa" w:w="240"/>
            </w:tcMar>
          </w:tcPr>
          <w:p>
            <w:r>
              <w:rPr>
                <w:rFonts w:ascii="Arial" w:cs="Arial" w:eastAsia="Arial" w:hAnsi="Arial"/>
                <w:b/>
                <w:bCs/>
                <w:color w:val="B85C00"/>
                <w:sz w:val="22"/>
                <w:szCs w:val="22"/>
              </w:rPr>
              <w:t xml:space="preserve">UNANIMOUS: AI Transparency Provisions Are ‘Theater’, Not Genuine Oversight</w:t>
            </w:r>
          </w:p>
          <w:p>
            <w:pPr>
              <w:spacing w:before="80"/>
            </w:pPr>
            <w:r>
              <w:rPr>
                <w:rFonts w:ascii="Arial" w:cs="Arial" w:eastAsia="Arial" w:hAnsi="Arial"/>
                <w:color w:val="1A1A1A"/>
                <w:sz w:val="22"/>
                <w:szCs w:val="22"/>
              </w:rPr>
              <w:t xml:space="preserve">Federal Register parameter disclosure, machine-readable rate logs, and notice-and-comment rulemaking all assume that V₀, k, and t-bound settings are comprehensible to the public and legislators overseeing them. They are not, and will become less so over time. All four models identify this as transparency theater — it legitimates algorithmic authority while providing no meaningful democratic check. The fix requires a structural solution: an independent, technically-empowered body (not Congress alone) with real interpretive authority and preemptive suspension power.</w:t>
            </w:r>
          </w:p>
        </w:tc>
      </w:tr>
    </w:tbl>
    <w:p>
      <w:r>
        <w:br w:type="page"/>
      </w:r>
    </w:p>
    <w:p>
      <w:pPr>
        <w:pStyle w:val="Heading1"/>
        <w:pBdr>
          <w:bottom w:val="single" w:color="B8860B" w:sz="4"/>
        </w:pBdr>
        <w:spacing w:after="100" w:before="320"/>
      </w:pPr>
      <w:r>
        <w:rPr>
          <w:rFonts w:ascii="Arial" w:cs="Arial" w:eastAsia="Arial" w:hAnsi="Arial"/>
          <w:b/>
          <w:bCs/>
          <w:color w:val="1B3A5C"/>
          <w:sz w:val="28"/>
          <w:szCs w:val="28"/>
        </w:rPr>
        <w:t xml:space="preserve">Ruling on the Author’s Thesis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“Lock-in is a legislative design problem, not a structural one. Proper oversight eliminates the risk rather than merely mitigating it.”</w:t>
            </w:r>
          </w:p>
        </w:tc>
      </w:tr>
    </w:tbl>
    <w:p>
      <w:pPr>
        <w:spacing w:after="0" w:before="120"/>
      </w:pPr>
      <w:r>
        <w:t xml:space="preserve"/>
      </w:r>
    </w:p>
    <w:p>
      <w:pPr>
        <w:spacing w:after="100" w:before="60"/>
      </w:pPr>
      <w:r>
        <w:rPr>
          <w:rFonts w:ascii="Arial" w:cs="Arial" w:eastAsia="Arial" w:hAnsi="Arial"/>
          <w:b/>
          <w:bCs/>
          <w:i w:val="false"/>
          <w:iCs w:val="false"/>
          <w:color w:val="1A1A1A"/>
          <w:sz w:val="22"/>
          <w:szCs w:val="22"/>
        </w:rPr>
        <w:t xml:space="preserve">Panel verdict: Partially correct — and the distinction matters for legislative design.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8B2500" w:sz="6"/>
              <w:left w:val="single" w:color="8B2500" w:sz="6"/>
              <w:bottom w:val="single" w:color="8B2500" w:sz="6"/>
              <w:right w:val="single" w:color="8B2500" w:sz="6"/>
            </w:tcBorders>
            <w:shd w:fill="8B2500" w:val="clear"/>
            <w:tcMar>
              <w:top w:type="dxa" w:w="60"/>
              <w:left w:type="dxa" w:w="120"/>
              <w:bottom w:type="dxa" w:w="60"/>
              <w:right w:type="dxa" w:w="120"/>
            </w:tcMar>
          </w:tcPr>
          <w:p>
            <w:r>
              <w:rPr>
                <w:rFonts w:ascii="Arial" w:cs="Arial" w:eastAsia="Arial" w:hAnsi="Arial"/>
                <w:b/>
                <w:bCs/>
                <w:color w:val="FFFFFF"/>
                <w:sz w:val="18"/>
                <w:szCs w:val="18"/>
              </w:rPr>
              <w:t xml:space="preserve">WHERE THE THESIS HOLDS</w:t>
            </w:r>
          </w:p>
        </w:tc>
        <w:tc>
          <w:tcPr>
            <w:tcW w:type="dxa" w:w="4860"/>
            <w:tcBorders>
              <w:top w:val="single" w:color="2E6B2E" w:sz="6"/>
              <w:left w:val="single" w:color="2E6B2E" w:sz="6"/>
              <w:bottom w:val="single" w:color="2E6B2E" w:sz="6"/>
              <w:right w:val="single" w:color="2E6B2E" w:sz="6"/>
            </w:tcBorders>
            <w:shd w:fill="2E6B2E" w:val="clear"/>
            <w:tcMar>
              <w:top w:type="dxa" w:w="60"/>
              <w:left w:type="dxa" w:w="120"/>
              <w:bottom w:type="dxa" w:w="60"/>
              <w:right w:type="dxa" w:w="120"/>
            </w:tcMar>
          </w:tcPr>
          <w:p>
            <w:r>
              <w:rPr>
                <w:rFonts w:ascii="Arial" w:cs="Arial" w:eastAsia="Arial" w:hAnsi="Arial"/>
                <w:b/>
                <w:bCs/>
                <w:color w:val="FFFFFF"/>
                <w:sz w:val="18"/>
                <w:szCs w:val="18"/>
              </w:rPr>
              <w:t xml:space="preserve">WHERE THE THESIS BREAKS</w:t>
            </w:r>
          </w:p>
        </w:tc>
      </w:tr>
      <w:tr>
        <w:tc>
          <w:tcPr>
            <w:tcW w:type="dxa" w:w="4860"/>
            <w:tcBorders>
              <w:top w:val="single" w:color="8B2500" w:sz="6"/>
              <w:left w:val="single" w:color="8B2500" w:sz="6"/>
              <w:bottom w:val="single" w:color="8B2500" w:sz="6"/>
              <w:right w:val="single" w:color="8B2500" w:sz="6"/>
            </w:tcBorders>
            <w:shd w:fill="FAF0EE" w:val="clear"/>
            <w:tcMar>
              <w:top w:type="dxa" w:w="120"/>
              <w:left w:type="dxa" w:w="160"/>
              <w:bottom w:type="dxa" w:w="120"/>
              <w:right w:type="dxa" w:w="160"/>
            </w:tcMar>
          </w:tcPr>
          <w:p>
            <w:r>
              <w:rPr>
                <w:rFonts w:ascii="Arial" w:cs="Arial" w:eastAsia="Arial" w:hAnsi="Arial"/>
                <w:color w:val="1A1A1A"/>
                <w:sz w:val="21"/>
                <w:szCs w:val="21"/>
              </w:rPr>
              <w:t xml:space="preserve">De-dollarization acceleration: with proper clearing protections (Action 8) and essential goods exemptions, this specific risk is solvable by legislative design.
Procedural off-ramps: well-designed sunset clauses, override authorities, and transparency requirements can create meaningful decision points that interrupt path dependency in the short term.</w:t>
            </w:r>
          </w:p>
        </w:tc>
        <w:tc>
          <w:tcPr>
            <w:tcW w:type="dxa" w:w="4860"/>
            <w:tcBorders>
              <w:top w:val="single" w:color="2E6B2E" w:sz="6"/>
              <w:left w:val="single" w:color="2E6B2E" w:sz="6"/>
              <w:bottom w:val="single" w:color="2E6B2E" w:sz="6"/>
              <w:right w:val="single" w:color="2E6B2E" w:sz="6"/>
            </w:tcBorders>
            <w:shd w:fill="EAF4EA" w:val="clear"/>
            <w:tcMar>
              <w:top w:type="dxa" w:w="120"/>
              <w:left w:type="dxa" w:w="160"/>
              <w:bottom w:type="dxa" w:w="120"/>
              <w:right w:type="dxa" w:w="160"/>
            </w:tcMar>
          </w:tcPr>
          <w:p>
            <w:r>
              <w:rPr>
                <w:rFonts w:ascii="Arial" w:cs="Arial" w:eastAsia="Arial" w:hAnsi="Arial"/>
                <w:color w:val="1A1A1A"/>
                <w:sz w:val="21"/>
                <w:szCs w:val="21"/>
              </w:rPr>
              <w:t xml:space="preserve">Epistemic opacity: the structural complexity of AI-managed monetary systems creates a comprehension gap that grows over generations. By 2166, the system will be a legacy artifact understood by fewer and fewer — and no legislative language can prevent this.
Democratic atrophy: the faculty for democratic monetary contestation diminishes when citizens cannot comprehend the system governing their money. This is structural, not design-dependent.
Reflexive harm irreversibility: some monetary confidence fractures, once initiated, cannot be contained by procedural tripwires — they represent irreversible state changes.</w:t>
            </w:r>
          </w:p>
        </w:tc>
      </w:tr>
    </w:tbl>
    <w:p>
      <w:pPr>
        <w:spacing w:after="0" w:before="120"/>
      </w:pPr>
      <w:r>
        <w:t xml:space="preserve"/>
      </w:r>
    </w:p>
    <w:p>
      <w:pPr>
        <w:spacing w:after="100" w:before="60"/>
      </w:pPr>
      <w:r>
        <w:rPr>
          <w:rFonts w:ascii="Arial" w:cs="Arial" w:eastAsia="Arial" w:hAnsi="Arial"/>
          <w:b/>
          <w:bCs/>
          <w:i w:val="false"/>
          <w:iCs w:val="false"/>
          <w:color w:val="1A1A1A"/>
          <w:sz w:val="22"/>
          <w:szCs w:val="22"/>
        </w:rPr>
        <w:t xml:space="preserve">Constitutional synthesis:</w:t>
      </w:r>
    </w:p>
    <w:p>
      <w:pPr>
        <w:spacing w:after="100" w:before="60"/>
      </w:pPr>
      <w:r>
        <w:rPr>
          <w:rFonts w:ascii="Arial" w:cs="Arial" w:eastAsia="Arial" w:hAnsi="Arial"/>
          <w:b w:val="false"/>
          <w:bCs w:val="false"/>
          <w:i w:val="false"/>
          <w:iCs w:val="false"/>
          <w:color w:val="1A1A1A"/>
          <w:sz w:val="22"/>
          <w:szCs w:val="22"/>
        </w:rPr>
        <w:t xml:space="preserve">Legislative design creates the initial conditions and the off-ramps. But structural factors — complexity, institutional dependence, democratic atrophy — dominate over seven generations regardless of how carefully the enabling legislation is written. Good design can delay lock-in. It cannot prevent the eventual migration of authority from democratic institutions to algorithmic systems operating beyond democratic comprehension. The thesis is correct for a 10-year horizon. It is insufficient for a 140-year horizon.</w:t>
      </w:r>
    </w:p>
    <w:p>
      <w:pPr>
        <w:spacing w:after="0" w:before="16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Key Divergences Between Models</w:t>
      </w:r>
    </w:p>
    <w:p>
      <w:pPr>
        <w:spacing w:after="80" w:before="200"/>
      </w:pPr>
      <w:r>
        <w:rPr>
          <w:rFonts w:ascii="Arial" w:cs="Arial" w:eastAsia="Arial" w:hAnsi="Arial"/>
          <w:b/>
          <w:bCs/>
          <w:color w:val="1B3A5C"/>
          <w:sz w:val="24"/>
          <w:szCs w:val="24"/>
        </w:rPr>
        <w:t xml:space="preserve">Can Legislative Design Fully Prevent Lock-In?</w:t>
      </w:r>
    </w:p>
    <w:p>
      <w:pPr>
        <w:spacing w:after="100" w:before="60"/>
      </w:pPr>
      <w:r>
        <w:rPr>
          <w:rFonts w:ascii="Arial" w:cs="Arial" w:eastAsia="Arial" w:hAnsi="Arial"/>
          <w:b w:val="false"/>
          <w:bCs w:val="false"/>
          <w:i w:val="false"/>
          <w:iCs w:val="false"/>
          <w:color w:val="1A1A1A"/>
          <w:sz w:val="22"/>
          <w:szCs w:val="22"/>
        </w:rPr>
        <w:t xml:space="preserve">GPT-4o believes proper statutory provisions can mitigate most risks. Kimi argues that lock-in is fundamentally structural — inherent complexity creates epistemic opacity that legislative language cannot overcome across seven generations. Constitutional verdict: Kimi's position better accounts for the harm pattern. Legislative design can create off-ramps, but cannot prevent the institutional dependence, complexity asymmetry, and democratic atrophy that accrue over 140 years.</w:t>
      </w:r>
    </w:p>
    <w:p>
      <w:pPr>
        <w:spacing w:after="0" w:before="80"/>
      </w:pPr>
      <w:r>
        <w:t xml:space="preserve"/>
      </w:r>
    </w:p>
    <w:p>
      <w:pPr>
        <w:spacing w:after="80" w:before="200"/>
      </w:pPr>
      <w:r>
        <w:rPr>
          <w:rFonts w:ascii="Arial" w:cs="Arial" w:eastAsia="Arial" w:hAnsi="Arial"/>
          <w:b/>
          <w:bCs/>
          <w:color w:val="1B3A5C"/>
          <w:sz w:val="24"/>
          <w:szCs w:val="24"/>
        </w:rPr>
        <w:t xml:space="preserve">Is Opacity the Problem, or Are the Mechanisms Deceptive?</w:t>
      </w:r>
    </w:p>
    <w:p>
      <w:pPr>
        <w:spacing w:after="100" w:before="60"/>
      </w:pPr>
      <w:r>
        <w:rPr>
          <w:rFonts w:ascii="Arial" w:cs="Arial" w:eastAsia="Arial" w:hAnsi="Arial"/>
          <w:b w:val="false"/>
          <w:bCs w:val="false"/>
          <w:i w:val="false"/>
          <w:iCs w:val="false"/>
          <w:color w:val="1A1A1A"/>
          <w:sz w:val="22"/>
          <w:szCs w:val="22"/>
        </w:rPr>
        <w:t xml:space="preserve">DeepSeek argues the problem is insufficient mechanisms — needs citizen assemblies and independent technical boards. GLM-5 argues the problem is deeper: the existing provisions create governance illusions that make lock-in worse by providing false comfort that 2166 will inherit as a legitimating myth. GLM-5's analysis is more constitutionally significant — oversight mechanisms that appear robust but function as ritual are more dangerous than no oversight at all, as they legitimate algorithmic authority while providing no meaningful check.</w:t>
      </w:r>
    </w:p>
    <w:p>
      <w:r>
        <w:br w:type="page"/>
      </w:r>
    </w:p>
    <w:p>
      <w:pPr>
        <w:pStyle w:val="Heading1"/>
        <w:pBdr>
          <w:bottom w:val="single" w:color="B8860B" w:sz="4"/>
        </w:pBdr>
        <w:spacing w:after="100" w:before="320"/>
      </w:pPr>
      <w:r>
        <w:rPr>
          <w:rFonts w:ascii="Arial" w:cs="Arial" w:eastAsia="Arial" w:hAnsi="Arial"/>
          <w:b/>
          <w:bCs/>
          <w:color w:val="1B3A5C"/>
          <w:sz w:val="28"/>
          <w:szCs w:val="28"/>
        </w:rPr>
        <w:t xml:space="preserve">Action 10: The Missing Constitutional Provision</w:t>
      </w:r>
    </w:p>
    <w:p>
      <w:pPr>
        <w:spacing w:after="100" w:before="60"/>
      </w:pPr>
      <w:r>
        <w:rPr>
          <w:rFonts w:ascii="Arial" w:cs="Arial" w:eastAsia="Arial" w:hAnsi="Arial"/>
          <w:b w:val="false"/>
          <w:bCs w:val="false"/>
          <w:i w:val="false"/>
          <w:iCs w:val="false"/>
          <w:color w:val="1A1A1A"/>
          <w:sz w:val="22"/>
          <w:szCs w:val="22"/>
        </w:rPr>
        <w:t xml:space="preserve">All four models identified something absent from the 9-action plan. When their suggestions are placed in friction, a single constitutional provision emerges that none of them stated alone — and that addresses the deepest structural flaw the panel identified.</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ACTION 10 (SYNTHESIZED FROM PANEL) — THE SEVENTH GENERATION MONETARY OVERSIGHT COMMISSION</w:t>
            </w:r>
          </w:p>
        </w:tc>
      </w:tr>
    </w:tbl>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E8EEF4" w:val="clear"/>
            <w:tcMar>
              <w:top w:type="dxa" w:w="160"/>
              <w:left w:type="dxa" w:w="240"/>
              <w:bottom w:type="dxa" w:w="160"/>
              <w:right w:type="dxa" w:w="240"/>
            </w:tcMar>
          </w:tcPr>
          <w:p>
            <w:r>
              <w:rPr>
                <w:rFonts w:ascii="Arial" w:cs="Arial" w:eastAsia="Arial" w:hAnsi="Arial"/>
                <w:color w:val="1A1A1A"/>
                <w:sz w:val="22"/>
                <w:szCs w:val="22"/>
              </w:rPr>
              <w:t xml:space="preserve">Establish an independent commission with real authority (not advisory capacity) over the AI monetary management system:</w:t>
            </w:r>
          </w:p>
          <w:p>
            <w:pPr>
              <w:spacing w:after="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14-YEAR STAGGERED COMMISSIONER TERMS (one term per generation): Commissioners serve long enough to develop genuine systemic expertise and to bear responsibility across multiple economic cycles. No single political administration controls appointments.</w:t>
            </w:r>
          </w:p>
          <w:p>
            <w:pPr>
              <w:pStyle w:val="ListParagraph"/>
              <w:numPr>
                <w:ilvl w:val="0"/>
                <w:numId w:val="3"/>
              </w:numPr>
              <w:spacing w:after="40" w:before="40"/>
            </w:pPr>
            <w:r>
              <w:rPr>
                <w:rFonts w:ascii="Arial" w:cs="Arial" w:eastAsia="Arial" w:hAnsi="Arial"/>
                <w:color w:val="1A1A1A"/>
                <w:sz w:val="22"/>
                <w:szCs w:val="22"/>
              </w:rPr>
              <w:t xml:space="preserve">PREEMPTIVE SUSPENSION AUTHORITY: Power to suspend AI rate adjustment based on forward-looking risk indicators — not the 5% lagging metric — with real-time monitoring capability operating between monthly dashboard updates.</w:t>
            </w:r>
          </w:p>
          <w:p>
            <w:pPr>
              <w:pStyle w:val="ListParagraph"/>
              <w:numPr>
                <w:ilvl w:val="0"/>
                <w:numId w:val="3"/>
              </w:numPr>
              <w:spacing w:after="40" w:before="40"/>
            </w:pPr>
            <w:r>
              <w:rPr>
                <w:rFonts w:ascii="Arial" w:cs="Arial" w:eastAsia="Arial" w:hAnsi="Arial"/>
                <w:color w:val="1A1A1A"/>
                <w:sz w:val="22"/>
                <w:szCs w:val="22"/>
              </w:rPr>
              <w:t xml:space="preserve">INTERPRETIVE SOVEREIGNTY: Mandate and authority to translate technical system operations into accessible public narratives. Power to require system modifications when democratic comprehension falls below threshold levels. This is the structural response to transparency theater — it creates a body whose job is to make the system legible, not merely to publish its parameters.</w:t>
            </w:r>
          </w:p>
          <w:p>
            <w:pPr>
              <w:pStyle w:val="ListParagraph"/>
              <w:numPr>
                <w:ilvl w:val="0"/>
                <w:numId w:val="3"/>
              </w:numPr>
              <w:spacing w:after="40" w:before="40"/>
            </w:pPr>
            <w:r>
              <w:rPr>
                <w:rFonts w:ascii="Arial" w:cs="Arial" w:eastAsia="Arial" w:hAnsi="Arial"/>
                <w:color w:val="1A1A1A"/>
                <w:sz w:val="22"/>
                <w:szCs w:val="22"/>
              </w:rPr>
              <w:t xml:space="preserve">SUNSET ENFORCEMENT POWER: Authority to block renewal of the system unless genuine democratic deliberation has occurred — with power to initiate wind-down procedures if the Commission determines the system is serving its own continuity rather than democratic sovereignty.</w:t>
            </w:r>
          </w:p>
          <w:p>
            <w:pPr>
              <w:pStyle w:val="ListParagraph"/>
              <w:numPr>
                <w:ilvl w:val="0"/>
                <w:numId w:val="3"/>
              </w:numPr>
              <w:spacing w:after="40" w:before="40"/>
            </w:pPr>
            <w:r>
              <w:rPr>
                <w:rFonts w:ascii="Arial" w:cs="Arial" w:eastAsia="Arial" w:hAnsi="Arial"/>
                <w:color w:val="1A1A1A"/>
                <w:sz w:val="22"/>
                <w:szCs w:val="22"/>
              </w:rPr>
              <w:t xml:space="preserve">LOWER TRIPWIRE: Commission holds authority to set and adjust the de-dollarization suspension threshold — starting at 2% (not 5%), reviewable quarterly, with explicit constitutional mandate to err on the side of earlier intervention.</w:t>
            </w:r>
          </w:p>
          <w:p>
            <w:pPr>
              <w:spacing w:after="0" w:before="60"/>
            </w:pPr>
            <w:r>
              <w:t xml:space="preserve"/>
            </w:r>
          </w:p>
          <w:p>
            <w:r>
              <w:rPr>
                <w:rFonts w:ascii="Arial" w:cs="Arial" w:eastAsia="Arial" w:hAnsi="Arial"/>
                <w:i/>
                <w:iCs/>
                <w:color w:val="1B3A5C"/>
                <w:sz w:val="21"/>
                <w:szCs w:val="21"/>
              </w:rPr>
              <w:t xml:space="preserve">Why this emerges from cross-model friction: GPT-4o suggested independent oversight; DeepSeek added citizen deliberation; Kimi's temporal asymmetry critique required future representation embedded in governance structure; GLM-5's governance illusion warning required real authority, not advisory capacity. No single model proposed this combination — it only appears when all four are read together.</w:t>
            </w:r>
          </w:p>
        </w:tc>
      </w:tr>
    </w:tbl>
    <w:p>
      <w:pPr>
        <w:spacing w:after="0" w:before="16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The Revised Design: What Changes</w:t>
      </w:r>
    </w:p>
    <w:p>
      <w:pPr>
        <w:spacing w:after="100" w:before="60"/>
      </w:pPr>
      <w:r>
        <w:rPr>
          <w:rFonts w:ascii="Arial" w:cs="Arial" w:eastAsia="Arial" w:hAnsi="Arial"/>
          <w:b w:val="false"/>
          <w:bCs w:val="false"/>
          <w:i w:val="false"/>
          <w:iCs w:val="false"/>
          <w:color w:val="1A1A1A"/>
          <w:sz w:val="22"/>
          <w:szCs w:val="22"/>
        </w:rPr>
        <w:t xml:space="preserve">Taking the panel's unanimous findings and Action 10 together, the constitutional redesign involves four specific changes to the existing plan plus one addition:</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1B3A5C" w:sz="6"/>
              <w:left w:val="single" w:color="1B3A5C" w:sz="6"/>
              <w:bottom w:val="single" w:color="1B3A5C" w:sz="6"/>
              <w:right w:val="single" w:color="1B3A5C" w:sz="6"/>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Change</w:t>
            </w:r>
          </w:p>
        </w:tc>
        <w:tc>
          <w:tcPr>
            <w:tcW w:type="dxa" w:w="6720"/>
            <w:tcBorders>
              <w:top w:val="single" w:color="1B3A5C" w:sz="6"/>
              <w:left w:val="single" w:color="1B3A5C" w:sz="6"/>
              <w:bottom w:val="single" w:color="1B3A5C" w:sz="6"/>
              <w:right w:val="single" w:color="1B3A5C" w:sz="6"/>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What and Why</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Action 4 — Pilot period</w:t>
            </w:r>
          </w:p>
        </w:tc>
        <w:tc>
          <w:tcPr>
            <w:tcW w:type="dxa" w:w="67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Extend from 24 to 36 months. Require independent performance certification (not just congressional vote) for renewal. Revenue escrow during review period removes fiscal dependence on renewal outcome.</w:t>
            </w:r>
          </w:p>
        </w:tc>
      </w:tr>
      <w:tr>
        <w:tc>
          <w:tcPr>
            <w:tcW w:type="dxa" w:w="30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Action 7 — Tripwire</w:t>
            </w:r>
          </w:p>
        </w:tc>
        <w:tc>
          <w:tcPr>
            <w:tcW w:type="dxa" w:w="67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color w:val="1A1A1A"/>
                <w:sz w:val="21"/>
                <w:szCs w:val="21"/>
              </w:rPr>
              <w:t xml:space="preserve">Lower de-dollarization threshold from 5% to 2%. Add real-time monitoring (not just monthly dashboard) through the Commission. Add graduated response (preemptive review, rate freeze, suspension) rather than binary on/off.</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Action 7 — AI transparency</w:t>
            </w:r>
          </w:p>
        </w:tc>
        <w:tc>
          <w:tcPr>
            <w:tcW w:type="dxa" w:w="67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Federal Register disclosure stays but is supplemented by Commission interpretive reports: plain-language quarterly summaries of what the AI system did and why, approved by commissioners with 14-year accountability horizon.</w:t>
            </w:r>
          </w:p>
        </w:tc>
      </w:tr>
      <w:tr>
        <w:tc>
          <w:tcPr>
            <w:tcW w:type="dxa" w:w="30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Action 9 — Intergenerational Review</w:t>
            </w:r>
          </w:p>
        </w:tc>
        <w:tc>
          <w:tcPr>
            <w:tcW w:type="dxa" w:w="67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color w:val="1A1A1A"/>
                <w:sz w:val="21"/>
                <w:szCs w:val="21"/>
              </w:rPr>
              <w:t xml:space="preserve">Strengthen private right of action: allow the Seventh Generation Monetary Oversight Commission to act as trustee for unborn heirs, with standing to challenge AI parameter settings in federal court.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ACTION 10 — NEW</w:t>
            </w:r>
          </w:p>
        </w:tc>
        <w:tc>
          <w:tcPr>
            <w:tcW w:type="dxa" w:w="67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1A1A1A"/>
                <w:sz w:val="21"/>
                <w:szCs w:val="21"/>
              </w:rPr>
              <w:t xml:space="preserve">Establish the Seventh Generation Monetary Oversight Commission with 14-year terms, preemptive suspension authority, interpretive sovereignty, sunset enforcement power, and 2% tripwire authority.</w:t>
            </w:r>
          </w:p>
        </w:tc>
      </w:tr>
    </w:tbl>
    <w:p>
      <w:pPr>
        <w:spacing w:after="0" w:before="160"/>
      </w:pPr>
      <w:r>
        <w:t xml:space="preserve"/>
      </w:r>
    </w:p>
    <w:p>
      <w:pPr>
        <w:pStyle w:val="Heading1"/>
        <w:pBdr>
          <w:bottom w:val="single" w:color="B8860B" w:sz="4"/>
        </w:pBdr>
        <w:spacing w:after="100" w:before="320"/>
      </w:pPr>
      <w:r>
        <w:rPr>
          <w:rFonts w:ascii="Arial" w:cs="Arial" w:eastAsia="Arial" w:hAnsi="Arial"/>
          <w:b/>
          <w:bCs/>
          <w:color w:val="1B3A5C"/>
          <w:sz w:val="28"/>
          <w:szCs w:val="28"/>
        </w:rPr>
        <w:t xml:space="preserve">The Constitutional Bottom 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860B" w:sz="6"/>
              <w:left w:val="single" w:color="B8860B" w:sz="6"/>
              <w:bottom w:val="single" w:color="B8860B" w:sz="6"/>
              <w:right w:val="single" w:color="B8860B" w:sz="6"/>
            </w:tcBorders>
            <w:shd w:fill="F5F0E0" w:val="clear"/>
            <w:tcMar>
              <w:top w:type="dxa" w:w="200"/>
              <w:left w:type="dxa" w:w="360"/>
              <w:bottom w:type="dxa" w:w="200"/>
              <w:right w:type="dxa" w:w="360"/>
            </w:tcMar>
          </w:tcPr>
          <w:p>
            <w:r>
              <w:rPr>
                <w:rFonts w:ascii="Arial" w:cs="Arial" w:eastAsia="Arial" w:hAnsi="Arial"/>
                <w:b/>
                <w:bCs/>
                <w:color w:val="1B3A5C"/>
                <w:sz w:val="20"/>
                <w:szCs w:val="20"/>
              </w:rPr>
              <w:t xml:space="preserve">SYNTHESIS VERDICT  (DeepSeek-R1)</w:t>
            </w:r>
          </w:p>
          <w:p>
            <w:pPr>
              <w:spacing w:after="0" w:before="80"/>
            </w:pPr>
            <w:r>
              <w:t xml:space="preserve"/>
            </w:r>
          </w:p>
          <w:p>
            <w:r>
              <w:rPr>
                <w:rFonts w:ascii="Arial" w:cs="Arial" w:eastAsia="Arial" w:hAnsi="Arial"/>
                <w:color w:val="1A1A1A"/>
                <w:sz w:val="23"/>
                <w:szCs w:val="23"/>
              </w:rPr>
              <w:t xml:space="preserve">The 9-action plan is constitutionally sound in intent and constitutionally incomplete in execution. Its three critical gaps — the lagging 5% tripwire, the temporally asymmetric sunset clause, and the transparency theater provisions — are all fixable through the specific redesigns above. The author is correct that lock-in is a legislative design problem for a 10-year horizon. For a 140-year horizon, it requires an institution whose very structure embodies intergenerational responsibility: the Seventh Generation Monetary Oversight Commission. This is not a new constraint on the plan. It is the mechanism that makes the plan's democratic accountability provisions real rather than ritual.</w:t>
            </w:r>
          </w:p>
          <w:p>
            <w:pPr>
              <w:spacing w:after="0" w:before="80"/>
            </w:pPr>
            <w:r>
              <w:t xml:space="preserve"/>
            </w:r>
          </w:p>
          <w:p>
            <w:r>
              <w:rPr>
                <w:rFonts w:ascii="Arial" w:cs="Arial" w:eastAsia="Arial" w:hAnsi="Arial"/>
                <w:b/>
                <w:bCs/>
                <w:i/>
                <w:iCs/>
                <w:color w:val="1B3A5C"/>
                <w:sz w:val="22"/>
                <w:szCs w:val="22"/>
              </w:rPr>
              <w:t xml:space="preserve">The most constitutionally significant finding that only emerges from the full panel: GLM-5 and Kimi together establish that the deepest danger is not that the AI system fails and crashes the dollar — it is that the AI system succeeds and becomes unquestionable. Success is how lock-in happens. The Commission is the constitutional response to success, not to failure.</w:t>
            </w:r>
          </w:p>
        </w:tc>
      </w:tr>
    </w:tbl>
    <w:p>
      <w:pPr>
        <w:spacing w:after="0" w:before="160"/>
      </w:pPr>
      <w:r>
        <w:t xml:space="preserve"/>
      </w:r>
    </w:p>
    <w:p>
      <w:pPr>
        <w:spacing w:after="60" w:before="280"/>
      </w:pPr>
      <w:r>
        <w:rPr>
          <w:rFonts w:ascii="Arial" w:cs="Arial" w:eastAsia="Arial" w:hAnsi="Arial"/>
          <w:b/>
          <w:bCs/>
          <w:color w:val="B8860B"/>
          <w:sz w:val="18"/>
          <w:szCs w:val="18"/>
        </w:rPr>
        <w:t xml:space="preserve">ABOUT THIS REVIEW</w:t>
      </w:r>
    </w:p>
    <w:p>
      <w:pPr>
        <w:spacing w:after="100" w:before="60"/>
      </w:pPr>
      <w:r>
        <w:rPr>
          <w:rFonts w:ascii="Arial" w:cs="Arial" w:eastAsia="Arial" w:hAnsi="Arial"/>
          <w:b w:val="false"/>
          <w:bCs w:val="false"/>
          <w:i w:val="false"/>
          <w:iCs w:val="false"/>
          <w:color w:val="555555"/>
          <w:sz w:val="22"/>
          <w:szCs w:val="22"/>
        </w:rPr>
        <w:t xml:space="preserve">Produced by the Federated Village Project. Panel: Kimi K2.5 (Moonshot AI), GLM-5 (Zhipu AI), DeepSeek-V3 (DeepSeek), GPT-4o (OpenAI). Synthesis: DeepSeek-R1. Each panel member evaluated the same brief independently. Source log: logs/crosscheck_legrev_20260405_074649.json. Full legislative plan: briefs/legislative_plan_review.txt. Methodology: github.com/Mfox-research99/federated-village.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pPr>
  </w:p>
  <w:p>
    <w:pPr>
      <w:spacing w:before="80"/>
      <w:jc w:val="center"/>
    </w:pPr>
    <w:r>
      <w:rPr>
        <w:rFonts w:ascii="Arial" w:cs="Arial" w:eastAsia="Arial" w:hAnsi="Arial"/>
        <w:i/>
        <w:iCs/>
        <w:color w:val="555555"/>
        <w:sz w:val="16"/>
        <w:szCs w:val="16"/>
      </w:rPr>
      <w:t xml:space="preserve">Federated Village Project  |  Panel: Kimi K2.5, GLM-5, DeepSeek-V3, GPT-4o  |  Synthesis: DeepSeek-R1  |  April 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tcPr>
        <w:p>
          <w:r>
            <w:rPr>
              <w:rFonts w:ascii="Arial" w:cs="Arial" w:eastAsia="Arial" w:hAnsi="Arial"/>
              <w:color w:val="1B3A5C"/>
              <w:sz w:val="16"/>
              <w:szCs w:val="16"/>
            </w:rPr>
            <w:t xml:space="preserve">LEGISLATIVE REVIEW  |  VELOCITY TAX OVERSIGHT ARCHITECTURE  |  APRIL 5, 2026</w:t>
          </w:r>
        </w:p>
      </w:tc>
      <w:tc>
        <w:tcPr>
          <w:tcW w:type="dxa" w:w="252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p>
    <w:pPr>
      <w:pBdr>
        <w:bottom w:val="single" w:color="B8860B"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2026-04-05T13:52:56.321Z</dcterms:created>
  <dcterms:modified xsi:type="dcterms:W3CDTF">2026-04-05T13:52:56.322Z</dcterms:modified>
</cp:coreProperties>
</file>

<file path=docProps/custom.xml><?xml version="1.0" encoding="utf-8"?>
<Properties xmlns="http://schemas.openxmlformats.org/officeDocument/2006/custom-properties" xmlns:vt="http://schemas.openxmlformats.org/officeDocument/2006/docPropsVTypes"/>
</file>