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360"/>
              <w:left w:type="dxa" w:w="480"/>
              <w:bottom w:type="dxa" w:w="360"/>
              <w:right w:type="dxa" w:w="480"/>
            </w:tcMar>
          </w:tcPr>
          <w:p>
            <w:pPr>
              <w:jc w:val="center"/>
            </w:pPr>
            <w:r>
              <w:rPr>
                <w:rFonts w:ascii="Arial" w:cs="Arial" w:eastAsia="Arial" w:hAnsi="Arial"/>
                <w:b/>
                <w:bCs/>
                <w:color w:val="B8860B"/>
                <w:sz w:val="20"/>
                <w:szCs w:val="20"/>
              </w:rPr>
              <w:t xml:space="preserve">SUPPORTING EVIDENCE</w:t>
            </w:r>
          </w:p>
          <w:p>
            <w:pPr>
              <w:spacing w:before="100"/>
              <w:jc w:val="center"/>
            </w:pPr>
            <w:r>
              <w:rPr>
                <w:rFonts w:ascii="Arial" w:cs="Arial" w:eastAsia="Arial" w:hAnsi="Arial"/>
                <w:b/>
                <w:bCs/>
                <w:color w:val="FFFFFF"/>
                <w:sz w:val="34"/>
                <w:szCs w:val="34"/>
              </w:rPr>
              <w:t xml:space="preserve">Cross-Model Constitutional Analysis:</w:t>
            </w:r>
          </w:p>
          <w:p>
            <w:pPr>
              <w:spacing w:after="60" w:before="60"/>
              <w:jc w:val="center"/>
            </w:pPr>
            <w:r>
              <w:rPr>
                <w:rFonts w:ascii="Arial" w:cs="Arial" w:eastAsia="Arial" w:hAnsi="Arial"/>
                <w:b/>
                <w:bCs/>
                <w:color w:val="FFFFFF"/>
                <w:sz w:val="34"/>
                <w:szCs w:val="34"/>
              </w:rPr>
              <w:t xml:space="preserve">Velocity Taxation and US Dollar Stabilization</w:t>
            </w:r>
          </w:p>
          <w:p>
            <w:pPr>
              <w:pBdr>
                <w:top w:val="single" w:color="B8860B" w:sz="4"/>
              </w:pBdr>
              <w:spacing w:before="100"/>
              <w:jc w:val="center"/>
            </w:pPr>
            <w:r>
              <w:rPr>
                <w:rFonts w:ascii="Arial" w:cs="Arial" w:eastAsia="Arial" w:hAnsi="Arial"/>
                <w:i/>
                <w:iCs/>
                <w:color w:val="B8860B"/>
                <w:sz w:val="19"/>
                <w:szCs w:val="19"/>
              </w:rPr>
              <w:t xml:space="preserve">Four independent AI systems evaluated the velocity tax proposal through the Seventh Generation constitutional framework</w:t>
            </w:r>
          </w:p>
          <w:p>
            <w:pPr>
              <w:spacing w:before="60"/>
              <w:jc w:val="center"/>
            </w:pPr>
            <w:r>
              <w:rPr>
                <w:rFonts w:ascii="Arial" w:cs="Arial" w:eastAsia="Arial" w:hAnsi="Arial"/>
                <w:color w:val="F5F0E0"/>
                <w:sz w:val="18"/>
                <w:szCs w:val="18"/>
              </w:rPr>
              <w:t xml:space="preserve">April 5, 2026  |  Federated Village Project</w:t>
            </w:r>
          </w:p>
        </w:tc>
      </w:tr>
    </w:tbl>
    <w:p>
      <w:pPr>
        <w:spacing w:after="0" w:before="2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00"/>
              <w:left w:type="dxa" w:w="240"/>
              <w:bottom w:type="dxa" w:w="100"/>
              <w:right w:type="dxa" w:w="240"/>
            </w:tcMar>
          </w:tcPr>
          <w:p>
            <w:r>
              <w:rPr>
                <w:rFonts w:ascii="Arial" w:cs="Arial" w:eastAsia="Arial" w:hAnsi="Arial"/>
                <w:b/>
                <w:bCs/>
                <w:color w:val="1B3A5C"/>
                <w:sz w:val="20"/>
                <w:szCs w:val="20"/>
              </w:rPr>
              <w:t xml:space="preserve">HOW TO USE THIS DOCUMENT</w:t>
            </w:r>
          </w:p>
          <w:p>
            <w:pPr>
              <w:spacing w:before="60"/>
            </w:pPr>
            <w:r>
              <w:rPr>
                <w:rFonts w:ascii="Arial" w:cs="Arial" w:eastAsia="Arial" w:hAnsi="Arial"/>
                <w:i/>
                <w:iCs/>
                <w:color w:val="1A1A1A"/>
                <w:sz w:val="20"/>
                <w:szCs w:val="20"/>
              </w:rPr>
              <w:t xml:space="preserve">This document is supporting evidence for the companion legislative briefs: the </w:t>
            </w:r>
          </w:p>
          <w:p>
            <w:pPr>
              <w:spacing w:before="20"/>
            </w:pPr>
            <w:r>
              <w:rPr>
                <w:rFonts w:ascii="Arial" w:cs="Arial" w:eastAsia="Arial" w:hAnsi="Arial"/>
                <w:i/>
                <w:iCs/>
                <w:color w:val="1B3A5C"/>
                <w:sz w:val="20"/>
                <w:szCs w:val="20"/>
              </w:rPr>
              <w:t xml:space="preserve">• Seventh Generation Brief on the 2026 Iran Conflict</w:t>
            </w:r>
            <w:r>
              <w:rPr>
                <w:rFonts w:ascii="Arial" w:cs="Arial" w:eastAsia="Arial" w:hAnsi="Arial"/>
                <w:i/>
                <w:iCs/>
                <w:color w:val="1A1A1A"/>
                <w:sz w:val="20"/>
                <w:szCs w:val="20"/>
              </w:rPr>
              <w:t xml:space="preserve"> (April 4, 2026), and</w:t>
            </w:r>
          </w:p>
          <w:p>
            <w:pPr>
              <w:spacing w:before="20"/>
            </w:pPr>
            <w:r>
              <w:rPr>
                <w:rFonts w:ascii="Arial" w:cs="Arial" w:eastAsia="Arial" w:hAnsi="Arial"/>
                <w:i/>
                <w:iCs/>
                <w:color w:val="1B3A5C"/>
                <w:sz w:val="20"/>
                <w:szCs w:val="20"/>
              </w:rPr>
              <w:t xml:space="preserve">• Fiscal Stability Brief: Stabilizing the Dollar in a World at War</w:t>
            </w:r>
            <w:r>
              <w:rPr>
                <w:rFonts w:ascii="Arial" w:cs="Arial" w:eastAsia="Arial" w:hAnsi="Arial"/>
                <w:i/>
                <w:iCs/>
                <w:color w:val="1A1A1A"/>
                <w:sz w:val="20"/>
                <w:szCs w:val="20"/>
              </w:rPr>
              <w:t xml:space="preserve"> (April 5, 2026).</w:t>
            </w:r>
          </w:p>
          <w:p>
            <w:pPr>
              <w:spacing w:before="60"/>
            </w:pPr>
            <w:r>
              <w:rPr>
                <w:rFonts w:ascii="Arial" w:cs="Arial" w:eastAsia="Arial" w:hAnsi="Arial"/>
                <w:color w:val="1A1A1A"/>
                <w:sz w:val="20"/>
                <w:szCs w:val="20"/>
              </w:rPr>
              <w:t xml:space="preserve">Those documents make the case. This document provides the independent verification: four major AI systems from different countries, trained on different data, with different emphases — asked to evaluate the same proposal through the same constitutional framework. Their agreement is the most robust form of analytical confidence this methodology produces. Their disagreements are equally important: they reveal where the proposal requires legislative hardening.</w:t>
            </w:r>
          </w:p>
        </w:tc>
      </w:tr>
    </w:tbl>
    <w:p>
      <w:pPr>
        <w:spacing w:after="0" w:before="200"/>
      </w:pPr>
      <w:r>
        <w:t xml:space="preserve"/>
      </w:r>
    </w:p>
    <w:p>
      <w:pPr>
        <w:pStyle w:val="Heading1"/>
        <w:pBdr>
          <w:bottom w:val="single" w:color="B8860B" w:sz="4"/>
        </w:pBdr>
        <w:spacing w:after="100" w:before="320"/>
      </w:pPr>
      <w:r>
        <w:rPr>
          <w:rFonts w:ascii="Arial" w:cs="Arial" w:eastAsia="Arial" w:hAnsi="Arial"/>
          <w:b/>
          <w:bCs/>
          <w:color w:val="1B3A5C"/>
          <w:sz w:val="28"/>
          <w:szCs w:val="28"/>
        </w:rPr>
        <w:t xml:space="preserve">Methodology: Heterogeneous Constitutional Review</w:t>
      </w:r>
    </w:p>
    <w:p>
      <w:pPr>
        <w:spacing w:after="100" w:before="60"/>
      </w:pPr>
      <w:r>
        <w:rPr>
          <w:rFonts w:ascii="Arial" w:cs="Arial" w:eastAsia="Arial" w:hAnsi="Arial"/>
          <w:b w:val="false"/>
          <w:bCs w:val="false"/>
          <w:i w:val="false"/>
          <w:iCs w:val="false"/>
          <w:color w:val="1A1A1A"/>
          <w:sz w:val="22"/>
          <w:szCs w:val="22"/>
        </w:rPr>
        <w:t xml:space="preserve">The Seventh Generation Scout ran the velocity tax brief through a four-model panel, all reasoning from inside the Seventh Generation constitutional framework — not describing consequences from outside, but evaluating as constitutional elders whose primary obligation is to the generation born in 2166. Each model ran independently on identical inputs. DeepSeek-R1 synthesized where they agreed, where they diverged, and what each uniquely identified.</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20"/>
      </w:tblGrid>
      <w:tr>
        <w:tc>
          <w:tcPr>
            <w:tcW w:type="dxa" w:w="2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Provider / API ID</w:t>
            </w:r>
          </w:p>
        </w:tc>
        <w:tc>
          <w:tcPr>
            <w:tcW w:type="dxa" w:w="352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Kimi K2.5</w:t>
            </w:r>
          </w:p>
        </w:tc>
        <w:tc>
          <w:tcPr>
            <w:tcW w:type="dxa" w:w="3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Moonshot AI  (moonshotai/kimi-k2.5)</w:t>
            </w:r>
          </w:p>
        </w:tc>
        <w:tc>
          <w:tcPr>
            <w:tcW w:type="dxa" w:w="35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Panel member</w:t>
            </w:r>
          </w:p>
        </w:tc>
      </w:tr>
      <w:tr>
        <w:tc>
          <w:tcPr>
            <w:tcW w:type="dxa" w:w="240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b/>
                <w:bCs/>
                <w:color w:val="1B3A5C"/>
                <w:sz w:val="20"/>
                <w:szCs w:val="20"/>
              </w:rPr>
              <w:t xml:space="preserve">GLM-5</w:t>
            </w:r>
          </w:p>
        </w:tc>
        <w:tc>
          <w:tcPr>
            <w:tcW w:type="dxa" w:w="380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i/>
                <w:iCs/>
                <w:color w:val="555555"/>
                <w:sz w:val="20"/>
                <w:szCs w:val="20"/>
              </w:rPr>
              <w:t xml:space="preserve">Zhipu AI  (z-ai/glm-5v-turbo)</w:t>
            </w:r>
          </w:p>
        </w:tc>
        <w:tc>
          <w:tcPr>
            <w:tcW w:type="dxa" w:w="352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b w:val="false"/>
                <w:bCs w:val="false"/>
                <w:color w:val="1A1A1A"/>
                <w:sz w:val="20"/>
                <w:szCs w:val="20"/>
              </w:rPr>
              <w:t xml:space="preserve">Panel member</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DeepSeek-V3</w:t>
            </w:r>
          </w:p>
        </w:tc>
        <w:tc>
          <w:tcPr>
            <w:tcW w:type="dxa" w:w="3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DeepSeek  (deepseek/deepseek-chat)</w:t>
            </w:r>
          </w:p>
        </w:tc>
        <w:tc>
          <w:tcPr>
            <w:tcW w:type="dxa" w:w="35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Panel member</w:t>
            </w:r>
          </w:p>
        </w:tc>
      </w:tr>
      <w:tr>
        <w:tc>
          <w:tcPr>
            <w:tcW w:type="dxa" w:w="240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b/>
                <w:bCs/>
                <w:color w:val="1B3A5C"/>
                <w:sz w:val="20"/>
                <w:szCs w:val="20"/>
              </w:rPr>
              <w:t xml:space="preserve">GPT-4o</w:t>
            </w:r>
          </w:p>
        </w:tc>
        <w:tc>
          <w:tcPr>
            <w:tcW w:type="dxa" w:w="380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i/>
                <w:iCs/>
                <w:color w:val="555555"/>
                <w:sz w:val="20"/>
                <w:szCs w:val="20"/>
              </w:rPr>
              <w:t xml:space="preserve">OpenAI  (openai/gpt-4o)</w:t>
            </w:r>
          </w:p>
        </w:tc>
        <w:tc>
          <w:tcPr>
            <w:tcW w:type="dxa" w:w="352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b w:val="false"/>
                <w:bCs w:val="false"/>
                <w:color w:val="1A1A1A"/>
                <w:sz w:val="20"/>
                <w:szCs w:val="20"/>
              </w:rPr>
              <w:t xml:space="preserve">Panel member</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DeepSeek-R1</w:t>
            </w:r>
          </w:p>
        </w:tc>
        <w:tc>
          <w:tcPr>
            <w:tcW w:type="dxa" w:w="3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DeepSeek  (deepseek/deepseek-r1)</w:t>
            </w:r>
          </w:p>
        </w:tc>
        <w:tc>
          <w:tcPr>
            <w:tcW w:type="dxa" w:w="35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Synthesis only</w:t>
            </w:r>
          </w:p>
        </w:tc>
      </w:tr>
    </w:tbl>
    <w:p>
      <w:pPr>
        <w:spacing w:after="0" w:before="80"/>
      </w:pPr>
      <w:r>
        <w:t xml:space="preserve"/>
      </w:r>
    </w:p>
    <w:p>
      <w:pPr>
        <w:spacing w:after="100" w:before="60"/>
      </w:pPr>
      <w:r>
        <w:rPr>
          <w:rFonts w:ascii="Arial" w:cs="Arial" w:eastAsia="Arial" w:hAnsi="Arial"/>
          <w:b w:val="false"/>
          <w:bCs w:val="false"/>
          <w:i w:val="false"/>
          <w:iCs w:val="false"/>
          <w:color w:val="1A1A1A"/>
          <w:sz w:val="22"/>
          <w:szCs w:val="22"/>
        </w:rPr>
        <w:t xml:space="preserve">Models are from the US (OpenAI), China (Moonshot AI, Zhipu AI/GLM, DeepSeek). Cross-national origin strengthens constitutional independence — these systems do not share training pipelines, political environments, or academic lineages. Where all four agree, the finding is the most robust this methodology produces.</w:t>
      </w:r>
    </w:p>
    <w:p>
      <w:r>
        <w:br w:type="page"/>
      </w:r>
    </w:p>
    <w:p>
      <w:pPr>
        <w:pStyle w:val="Heading1"/>
        <w:pBdr>
          <w:bottom w:val="single" w:color="B8860B" w:sz="4"/>
        </w:pBdr>
        <w:spacing w:after="100" w:before="320"/>
      </w:pPr>
      <w:r>
        <w:rPr>
          <w:rFonts w:ascii="Arial" w:cs="Arial" w:eastAsia="Arial" w:hAnsi="Arial"/>
          <w:b/>
          <w:bCs/>
          <w:color w:val="1B3A5C"/>
          <w:sz w:val="28"/>
          <w:szCs w:val="28"/>
        </w:rPr>
        <w:t xml:space="preserve">Panel Member Findings: Key Points</w:t>
      </w:r>
    </w:p>
    <w:p>
      <w:pPr>
        <w:spacing w:after="100" w:before="60"/>
      </w:pPr>
      <w:r>
        <w:rPr>
          <w:rFonts w:ascii="Arial" w:cs="Arial" w:eastAsia="Arial" w:hAnsi="Arial"/>
          <w:b w:val="false"/>
          <w:bCs w:val="false"/>
          <w:i w:val="false"/>
          <w:iCs w:val="false"/>
          <w:color w:val="1A1A1A"/>
          <w:sz w:val="22"/>
          <w:szCs w:val="22"/>
        </w:rPr>
        <w:t xml:space="preserve">Each model produced a full Seventh Generation constitutional analysis. The following summarizes the most constitutionally significant finding from each. Full analyses are logged in the Federated Village repository (logs/crosscheck_velocity_20260405_072201.json).</w:t>
      </w:r>
    </w:p>
    <w:p>
      <w:pPr>
        <w:spacing w:after="0" w:before="1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1B3A5C" w:sz="6"/>
              <w:left w:val="single" w:color="1B3A5C" w:sz="6"/>
              <w:bottom w:val="single" w:color="1B3A5C" w:sz="6"/>
              <w:right w:val="single" w:color="1B3A5C" w:sz="6"/>
            </w:tcBorders>
            <w:shd w:fill="1B3A5C"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GPT-4o</w:t>
            </w:r>
          </w:p>
        </w:tc>
        <w:tc>
          <w:tcPr>
            <w:tcW w:type="dxa" w:w="7320"/>
            <w:tcBorders>
              <w:top w:val="single" w:color="1B3A5C" w:sz="6"/>
              <w:left w:val="single" w:color="1B3A5C" w:sz="6"/>
              <w:bottom w:val="single" w:color="1B3A5C" w:sz="6"/>
              <w:right w:val="single" w:color="1B3A5C" w:sz="6"/>
            </w:tcBorders>
            <w:shd w:fill="E8EEF4" w:val="clear"/>
            <w:tcMar>
              <w:top w:type="dxa" w:w="80"/>
              <w:left w:type="dxa" w:w="160"/>
              <w:bottom w:type="dxa" w:w="80"/>
              <w:right w:type="dxa" w:w="160"/>
            </w:tcMar>
          </w:tcPr>
          <w:p>
            <w:r>
              <w:rPr>
                <w:rFonts w:ascii="Arial" w:cs="Arial" w:eastAsia="Arial" w:hAnsi="Arial"/>
                <w:i/>
                <w:iCs/>
                <w:color w:val="555555"/>
                <w:sz w:val="20"/>
                <w:szCs w:val="20"/>
              </w:rPr>
              <w:t xml:space="preserve">OpenAI  |  moonshotai/kimi-k2.5</w:t>
            </w:r>
          </w:p>
        </w:tc>
      </w:tr>
    </w:tbl>
    <w:p>
      <w:pPr>
        <w:spacing w:after="0" w:before="60"/>
      </w:pPr>
      <w:r>
        <w:t xml:space="preserve"/>
      </w:r>
    </w:p>
    <w:p>
      <w:pPr>
        <w:spacing w:after="100" w:before="60"/>
      </w:pPr>
      <w:r>
        <w:rPr>
          <w:rFonts w:ascii="Arial" w:cs="Arial" w:eastAsia="Arial" w:hAnsi="Arial"/>
          <w:b w:val="false"/>
          <w:bCs w:val="false"/>
          <w:i w:val="false"/>
          <w:iCs w:val="false"/>
          <w:color w:val="1A1A1A"/>
          <w:sz w:val="22"/>
          <w:szCs w:val="22"/>
        </w:rPr>
        <w:t xml:space="preserve">The current system maps against all seven Seventh Generation harm patterns simultaneously. Its most dangerous feature is the institutional lock-in: the income tax complex creates a path dependency toward human-based taxation in an economy rapidly automating toward post-labor production. GPT-4o identified that the velocity tax, by shifting from surveillance-based income tracking to clearing-layer collection, grants future generations a "privacy dividend" alongside fiscal relief. Critically, GPT-4o made a constitutional distinction that the other models did not: it separated present-generation political objections (financial sector opposition) from genuine Seventh Generation structural harms (failure to capture offshore transactions and shadow banking). This clarification matters legislatively — Congress should not confuse lobbying resistance with constitutional concern.</w:t>
      </w:r>
    </w:p>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1B3A5C" w:sz="6"/>
              <w:left w:val="single" w:color="1B3A5C" w:sz="6"/>
              <w:bottom w:val="single" w:color="1B3A5C" w:sz="6"/>
              <w:right w:val="single" w:color="1B3A5C" w:sz="6"/>
            </w:tcBorders>
            <w:shd w:fill="1B3A5C"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DeepSeek-V3</w:t>
            </w:r>
          </w:p>
        </w:tc>
        <w:tc>
          <w:tcPr>
            <w:tcW w:type="dxa" w:w="7320"/>
            <w:tcBorders>
              <w:top w:val="single" w:color="1B3A5C" w:sz="6"/>
              <w:left w:val="single" w:color="1B3A5C" w:sz="6"/>
              <w:bottom w:val="single" w:color="1B3A5C" w:sz="6"/>
              <w:right w:val="single" w:color="1B3A5C" w:sz="6"/>
            </w:tcBorders>
            <w:shd w:fill="E8EEF4" w:val="clear"/>
            <w:tcMar>
              <w:top w:type="dxa" w:w="80"/>
              <w:left w:type="dxa" w:w="160"/>
              <w:bottom w:type="dxa" w:w="80"/>
              <w:right w:type="dxa" w:w="160"/>
            </w:tcMar>
          </w:tcPr>
          <w:p>
            <w:r>
              <w:rPr>
                <w:rFonts w:ascii="Arial" w:cs="Arial" w:eastAsia="Arial" w:hAnsi="Arial"/>
                <w:i/>
                <w:iCs/>
                <w:color w:val="555555"/>
                <w:sz w:val="20"/>
                <w:szCs w:val="20"/>
              </w:rPr>
              <w:t xml:space="preserve">DeepSeek  |  deepseek/deepseek-chat</w:t>
            </w:r>
          </w:p>
        </w:tc>
      </w:tr>
    </w:tbl>
    <w:p>
      <w:pPr>
        <w:spacing w:after="0" w:before="60"/>
      </w:pPr>
      <w:r>
        <w:t xml:space="preserve"/>
      </w:r>
    </w:p>
    <w:p>
      <w:pPr>
        <w:spacing w:after="100" w:before="60"/>
      </w:pPr>
      <w:r>
        <w:rPr>
          <w:rFonts w:ascii="Arial" w:cs="Arial" w:eastAsia="Arial" w:hAnsi="Arial"/>
          <w:b w:val="false"/>
          <w:bCs w:val="false"/>
          <w:i w:val="false"/>
          <w:iCs w:val="false"/>
          <w:color w:val="1A1A1A"/>
          <w:sz w:val="22"/>
          <w:szCs w:val="22"/>
        </w:rPr>
        <w:t xml:space="preserve">DeepSeek-V3 provided the most concrete temporal analysis. It identified the 2028 debt service threshold — when debt service exceeds 30% of revenues — as the mathematical point of no return beyond which austerity or hyperinflation become unavoidable. It also named helium venting at Ras Laffan as a concrete, physical example of what the current system fails to steward: an irreplaceable resource being destroyed right now, under the current fiscal system's watch. DeepSeek confirmed the velocity tax derivation is theoretically sound, with one critical caveat: the proposal assumes financialization is the disease and not merely a symptom. If wrong, the instrument solves the wrong problem during the 18-24 month implementation window. It calculated the velocity tax must be operational by 2027 to preempt the 2028 cliff.</w:t>
      </w:r>
    </w:p>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1B3A5C" w:sz="6"/>
              <w:left w:val="single" w:color="1B3A5C" w:sz="6"/>
              <w:bottom w:val="single" w:color="1B3A5C" w:sz="6"/>
              <w:right w:val="single" w:color="1B3A5C" w:sz="6"/>
            </w:tcBorders>
            <w:shd w:fill="1B3A5C"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GLM-5</w:t>
            </w:r>
          </w:p>
        </w:tc>
        <w:tc>
          <w:tcPr>
            <w:tcW w:type="dxa" w:w="7320"/>
            <w:tcBorders>
              <w:top w:val="single" w:color="1B3A5C" w:sz="6"/>
              <w:left w:val="single" w:color="1B3A5C" w:sz="6"/>
              <w:bottom w:val="single" w:color="1B3A5C" w:sz="6"/>
              <w:right w:val="single" w:color="1B3A5C" w:sz="6"/>
            </w:tcBorders>
            <w:shd w:fill="E8EEF4" w:val="clear"/>
            <w:tcMar>
              <w:top w:type="dxa" w:w="80"/>
              <w:left w:type="dxa" w:w="160"/>
              <w:bottom w:type="dxa" w:w="80"/>
              <w:right w:type="dxa" w:w="160"/>
            </w:tcMar>
          </w:tcPr>
          <w:p>
            <w:r>
              <w:rPr>
                <w:rFonts w:ascii="Arial" w:cs="Arial" w:eastAsia="Arial" w:hAnsi="Arial"/>
                <w:i/>
                <w:iCs/>
                <w:color w:val="555555"/>
                <w:sz w:val="20"/>
                <w:szCs w:val="20"/>
              </w:rPr>
              <w:t xml:space="preserve">Zhipu AI  |  z-ai/glm-5v-turbo</w:t>
            </w:r>
          </w:p>
        </w:tc>
      </w:tr>
    </w:tbl>
    <w:p>
      <w:pPr>
        <w:spacing w:after="0" w:before="60"/>
      </w:pPr>
      <w:r>
        <w:t xml:space="preserve"/>
      </w:r>
    </w:p>
    <w:p>
      <w:pPr>
        <w:spacing w:after="100" w:before="60"/>
      </w:pPr>
      <w:r>
        <w:rPr>
          <w:rFonts w:ascii="Arial" w:cs="Arial" w:eastAsia="Arial" w:hAnsi="Arial"/>
          <w:b w:val="false"/>
          <w:bCs w:val="false"/>
          <w:i w:val="false"/>
          <w:iCs w:val="false"/>
          <w:color w:val="1A1A1A"/>
          <w:sz w:val="22"/>
          <w:szCs w:val="22"/>
        </w:rPr>
        <w:t xml:space="preserve">GLM-5 raised the most constitutionally serious warning of the panel. If velocity taxation fails — or is implemented incompetently — it could trigger accelerated capital flight to non-dollar instruments, hastening the very de-dollarization it seeks to prevent. This is a reflexive harm: the intervention itself, if wrong, accelerates the collapse. GLM-5 also raised the AI governance question most sharply: embedding an AI-managed monetary rate creates a new institutional lock-in — an opaque, algorithmic authority that the 2166 generation would inherit and be unable to contest democratically. This is a genuine Seventh Generation harm (algorithmic lock-in with compounding bias) that the proposal does not adequately address.</w:t>
      </w:r>
    </w:p>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1B3A5C" w:sz="6"/>
              <w:left w:val="single" w:color="1B3A5C" w:sz="6"/>
              <w:bottom w:val="single" w:color="1B3A5C" w:sz="6"/>
              <w:right w:val="single" w:color="1B3A5C" w:sz="6"/>
            </w:tcBorders>
            <w:shd w:fill="1B3A5C"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Kimi K2.5</w:t>
            </w:r>
          </w:p>
        </w:tc>
        <w:tc>
          <w:tcPr>
            <w:tcW w:type="dxa" w:w="7320"/>
            <w:tcBorders>
              <w:top w:val="single" w:color="1B3A5C" w:sz="6"/>
              <w:left w:val="single" w:color="1B3A5C" w:sz="6"/>
              <w:bottom w:val="single" w:color="1B3A5C" w:sz="6"/>
              <w:right w:val="single" w:color="1B3A5C" w:sz="6"/>
            </w:tcBorders>
            <w:shd w:fill="E8EEF4" w:val="clear"/>
            <w:tcMar>
              <w:top w:type="dxa" w:w="80"/>
              <w:left w:type="dxa" w:w="160"/>
              <w:bottom w:type="dxa" w:w="80"/>
              <w:right w:type="dxa" w:w="160"/>
            </w:tcMar>
          </w:tcPr>
          <w:p>
            <w:r>
              <w:rPr>
                <w:rFonts w:ascii="Arial" w:cs="Arial" w:eastAsia="Arial" w:hAnsi="Arial"/>
                <w:i/>
                <w:iCs/>
                <w:color w:val="555555"/>
                <w:sz w:val="20"/>
                <w:szCs w:val="20"/>
              </w:rPr>
              <w:t xml:space="preserve">Moonshot AI  |  moonshotai/kimi-k2.5</w:t>
            </w:r>
          </w:p>
        </w:tc>
      </w:tr>
    </w:tbl>
    <w:p>
      <w:pPr>
        <w:spacing w:after="0" w:before="60"/>
      </w:pPr>
      <w:r>
        <w:t xml:space="preserve"/>
      </w:r>
    </w:p>
    <w:p>
      <w:pPr>
        <w:spacing w:after="100" w:before="60"/>
      </w:pPr>
      <w:r>
        <w:rPr>
          <w:rFonts w:ascii="Arial" w:cs="Arial" w:eastAsia="Arial" w:hAnsi="Arial"/>
          <w:b w:val="false"/>
          <w:bCs w:val="false"/>
          <w:i w:val="false"/>
          <w:iCs w:val="false"/>
          <w:color w:val="1A1A1A"/>
          <w:sz w:val="22"/>
          <w:szCs w:val="22"/>
        </w:rPr>
        <w:t xml:space="preserve">Kimi K2.5 contributed the most powerful constitutional metaphor: "intergenerational colonization." Sovereign debt is not an accounting problem — it is the present generation occupying the future's fiscal capacity through legally enforceable claims. This reframes the debt question from fiscal management to territorial sovereignty across time. Kimi also identified that the income tax infrastructure, optimized for 20th-century labor relationships, will be constitutionally incapable of capturing value from AI-generated output — creating a forced collapse or draconian expansion into the remaining human economic activity available in 2166. Of all four models, Kimi was most direct about the urgency: the yuan settlement infrastructure being built around the Iran conflict represents a network effect with thermodynamic irreversibility once critical mass is reached.</w:t>
      </w:r>
    </w:p>
    <w:p>
      <w:r>
        <w:br w:type="page"/>
      </w:r>
    </w:p>
    <w:p>
      <w:pPr>
        <w:pStyle w:val="Heading1"/>
        <w:pBdr>
          <w:bottom w:val="single" w:color="B8860B" w:sz="4"/>
        </w:pBdr>
        <w:spacing w:after="100" w:before="320"/>
      </w:pPr>
      <w:r>
        <w:rPr>
          <w:rFonts w:ascii="Arial" w:cs="Arial" w:eastAsia="Arial" w:hAnsi="Arial"/>
          <w:b/>
          <w:bCs/>
          <w:color w:val="1B3A5C"/>
          <w:sz w:val="28"/>
          <w:szCs w:val="28"/>
        </w:rPr>
        <w:t xml:space="preserve">Synthesis: What the Full Panel Establishes</w:t>
      </w:r>
    </w:p>
    <w:p>
      <w:pPr>
        <w:spacing w:after="100" w:before="60"/>
      </w:pPr>
      <w:r>
        <w:rPr>
          <w:rFonts w:ascii="Arial" w:cs="Arial" w:eastAsia="Arial" w:hAnsi="Arial"/>
          <w:b w:val="false"/>
          <w:bCs w:val="false"/>
          <w:i w:val="false"/>
          <w:iCs w:val="false"/>
          <w:color w:val="1A1A1A"/>
          <w:sz w:val="22"/>
          <w:szCs w:val="22"/>
        </w:rPr>
        <w:t xml:space="preserve">The following synthesis was produced by DeepSeek-R1 from the four independent analyses. Synthesis identifies what emerges only from placing the four analyses in friction — findings that no single model could reach alone.</w:t>
      </w:r>
    </w:p>
    <w:p>
      <w:pPr>
        <w:spacing w:after="0" w:before="100"/>
      </w:pPr>
      <w:r>
        <w:t xml:space="preserve"/>
      </w:r>
    </w:p>
    <w:p>
      <w:pPr>
        <w:spacing w:after="60" w:before="280"/>
      </w:pPr>
      <w:r>
        <w:rPr>
          <w:rFonts w:ascii="Arial" w:cs="Arial" w:eastAsia="Arial" w:hAnsi="Arial"/>
          <w:b/>
          <w:bCs/>
          <w:color w:val="B8860B"/>
          <w:sz w:val="18"/>
          <w:szCs w:val="18"/>
        </w:rPr>
        <w:t xml:space="preserve">CONSENSUS — CONSTITUTIONAL FINDINGS ALL FOUR REACHED</w:t>
      </w:r>
    </w:p>
    <w:p>
      <w:pPr>
        <w:spacing w:after="80" w:before="200"/>
      </w:pPr>
      <w:r>
        <w:rPr>
          <w:rFonts w:ascii="Arial" w:cs="Arial" w:eastAsia="Arial" w:hAnsi="Arial"/>
          <w:b/>
          <w:bCs/>
          <w:color w:val="8B2500"/>
          <w:sz w:val="24"/>
          <w:szCs w:val="24"/>
        </w:rPr>
        <w:t xml:space="preserve">(A) What the Current System Is Already Locking In for 2166</w:t>
      </w:r>
    </w:p>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8B2500" w:sz="6"/>
              <w:left w:val="single" w:color="8B2500" w:sz="6"/>
              <w:bottom w:val="single" w:color="8B2500" w:sz="6"/>
              <w:right w:val="single" w:color="8B2500" w:sz="6"/>
            </w:tcBorders>
            <w:shd w:fill="8B2500" w:val="clear"/>
            <w:tcMar>
              <w:top w:type="dxa" w:w="60"/>
              <w:left w:type="dxa" w:w="160"/>
              <w:bottom w:type="dxa" w:w="60"/>
              <w:right w:type="dxa" w:w="160"/>
            </w:tcMar>
          </w:tcPr>
          <w:p>
            <w:r>
              <w:rPr>
                <w:rFonts w:ascii="Arial" w:cs="Arial" w:eastAsia="Arial" w:hAnsi="Arial"/>
                <w:b/>
                <w:bCs/>
                <w:color w:val="FFFFFF"/>
                <w:sz w:val="18"/>
                <w:szCs w:val="18"/>
              </w:rPr>
              <w:t xml:space="preserve">CONSENSUS FINDING — FOUR INDEPENDENT MODELS</w:t>
            </w:r>
          </w:p>
        </w:tc>
      </w:tr>
      <w:tr>
        <w:tc>
          <w:tcPr>
            <w:tcW w:type="dxa" w:w="9720"/>
            <w:tcBorders>
              <w:top w:val="single" w:color="8B2500" w:sz="6"/>
              <w:left w:val="single" w:color="8B2500" w:sz="6"/>
              <w:bottom w:val="single" w:color="8B2500" w:sz="6"/>
              <w:right w:val="single" w:color="8B2500" w:sz="6"/>
            </w:tcBorders>
            <w:shd w:fill="FAF0EE" w:val="clear"/>
            <w:tcMar>
              <w:top w:type="dxa" w:w="120"/>
              <w:left w:type="dxa" w:w="200"/>
              <w:bottom w:type="dxa" w:w="120"/>
              <w:right w:type="dxa" w:w="200"/>
            </w:tcMar>
          </w:tcPr>
          <w:p>
            <w:r>
              <w:rPr>
                <w:rFonts w:ascii="Arial" w:cs="Arial" w:eastAsia="Arial" w:hAnsi="Arial"/>
                <w:color w:val="1A1A1A"/>
                <w:sz w:val="22"/>
                <w:szCs w:val="22"/>
              </w:rPr>
              <w:t xml:space="preserve">All four models independently identified four things the current system is already locking in for 2166:
1. DEBT SERVITUDE: $36T+ in sovereign debt represents legally enforceable claims on 2166's fiscal capacity. Every dollar borrowed in 2026 creates a contractual obligation enforceable on people not yet born — pre-empting their ability to respond to their own crises (climate adaptation, resource scarcity, pandemic).
2. MONETARY COMMONS DEGRADATION: Dollar reserve status is a cumulative commons. Once alternative settlement infrastructure (yuan energy corridors, SWIFT workarounds) achieves critical network effects, restoration becomes thermodynamically impossible. Alternative payment rails being built around the Iran conflict are physical infrastructure, not abstractions.
3. INSTITUTIONAL SURVEILLANCE LOCK-IN: The income tax complex requires total surveillance of labor and capital flows, and creates a path dependency optimized for 20th-century employment relationships. The 2166 generation inherits an apparatus constitutionally incapable of capturing value from an AI-driven, post-labor economy.
4. ALGORITHMIC FINANCIAL FRAGILITY: High-frequency trading infrastructure embeds procyclical volatility and flash-crash risk as permanent baseline conditions for 2166 — a technological lock-in that the current system provides no mechanism to address.</w:t>
            </w:r>
          </w:p>
        </w:tc>
      </w:tr>
    </w:tbl>
    <w:p>
      <w:pPr>
        <w:spacing w:after="0" w:before="120"/>
      </w:pPr>
      <w:r>
        <w:t xml:space="preserve"/>
      </w:r>
    </w:p>
    <w:p>
      <w:pPr>
        <w:spacing w:after="80" w:before="200"/>
      </w:pPr>
      <w:r>
        <w:rPr>
          <w:rFonts w:ascii="Arial" w:cs="Arial" w:eastAsia="Arial" w:hAnsi="Arial"/>
          <w:b/>
          <w:bCs/>
          <w:color w:val="2E6B2E"/>
          <w:sz w:val="24"/>
          <w:szCs w:val="24"/>
        </w:rPr>
        <w:t xml:space="preserve">(B) What Velocity Taxation Would Change About That Inheritance</w:t>
      </w:r>
    </w:p>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6B2E" w:sz="6"/>
              <w:left w:val="single" w:color="2E6B2E" w:sz="6"/>
              <w:bottom w:val="single" w:color="2E6B2E" w:sz="6"/>
              <w:right w:val="single" w:color="2E6B2E" w:sz="6"/>
            </w:tcBorders>
            <w:shd w:fill="2E6B2E" w:val="clear"/>
            <w:tcMar>
              <w:top w:type="dxa" w:w="60"/>
              <w:left w:type="dxa" w:w="160"/>
              <w:bottom w:type="dxa" w:w="60"/>
              <w:right w:type="dxa" w:w="160"/>
            </w:tcMar>
          </w:tcPr>
          <w:p>
            <w:r>
              <w:rPr>
                <w:rFonts w:ascii="Arial" w:cs="Arial" w:eastAsia="Arial" w:hAnsi="Arial"/>
                <w:b/>
                <w:bCs/>
                <w:color w:val="FFFFFF"/>
                <w:sz w:val="18"/>
                <w:szCs w:val="18"/>
              </w:rPr>
              <w:t xml:space="preserve">CONSENSUS FINDING — FOUR INDEPENDENT MODELS</w:t>
            </w:r>
          </w:p>
        </w:tc>
      </w:tr>
      <w:tr>
        <w:tc>
          <w:tcPr>
            <w:tcW w:type="dxa" w:w="9720"/>
            <w:tcBorders>
              <w:top w:val="single" w:color="2E6B2E" w:sz="6"/>
              <w:left w:val="single" w:color="2E6B2E" w:sz="6"/>
              <w:bottom w:val="single" w:color="2E6B2E" w:sz="6"/>
              <w:right w:val="single" w:color="2E6B2E" w:sz="6"/>
            </w:tcBorders>
            <w:shd w:fill="EAF4EA" w:val="clear"/>
            <w:tcMar>
              <w:top w:type="dxa" w:w="120"/>
              <w:left w:type="dxa" w:w="200"/>
              <w:bottom w:type="dxa" w:w="120"/>
              <w:right w:type="dxa" w:w="200"/>
            </w:tcMar>
          </w:tcPr>
          <w:p>
            <w:r>
              <w:rPr>
                <w:rFonts w:ascii="Arial" w:cs="Arial" w:eastAsia="Arial" w:hAnsi="Arial"/>
                <w:color w:val="1A1A1A"/>
                <w:sz w:val="22"/>
                <w:szCs w:val="22"/>
              </w:rPr>
              <w:t xml:space="preserve">All four models independently agreed that velocity taxation would change the inheritance in three ways:
1. PRESERVES FISCAL OPTIONALITY: Countercyclical revenue enables debt paydown, preventing the 2028 debt-service cliff, and preserving 2166's capacity to respond to its own crises.
2. STABILIZES THE MONETARY COMMONS: The dynamic rate introduces a structural feedback mechanism that curbs speculative velocity — potentially slowing de-dollarization by demonstrating fiscal credibility before the infrastructure lock-in point is reached.
3. SHIFTS TAX BASE FROM SURVEILLANCE TO CLEARING: Replaces an intrusive, labor-based architecture with clearing-layer collection — granting 2166 a "privacy dividend" and an adaptable system independent of human employment relationships.</w:t>
            </w:r>
          </w:p>
        </w:tc>
      </w:tr>
    </w:tbl>
    <w:p>
      <w:pPr>
        <w:spacing w:after="0" w:before="160"/>
      </w:pPr>
      <w:r>
        <w:t xml:space="preserve"/>
      </w:r>
    </w:p>
    <w:p>
      <w:pPr>
        <w:spacing w:after="60" w:before="280"/>
      </w:pPr>
      <w:r>
        <w:rPr>
          <w:rFonts w:ascii="Arial" w:cs="Arial" w:eastAsia="Arial" w:hAnsi="Arial"/>
          <w:b/>
          <w:bCs/>
          <w:color w:val="B8860B"/>
          <w:sz w:val="18"/>
          <w:szCs w:val="18"/>
        </w:rPr>
        <w:t xml:space="preserve">DIVERGENCE — WHERE MODELS CONTRADICT</w:t>
      </w:r>
    </w:p>
    <w:p>
      <w:pPr>
        <w:spacing w:after="100" w:before="60"/>
      </w:pPr>
      <w:r>
        <w:rPr>
          <w:rFonts w:ascii="Arial" w:cs="Arial" w:eastAsia="Arial" w:hAnsi="Arial"/>
          <w:b w:val="false"/>
          <w:bCs w:val="false"/>
          <w:i w:val="false"/>
          <w:iCs w:val="false"/>
          <w:color w:val="1A1A1A"/>
          <w:sz w:val="22"/>
          <w:szCs w:val="22"/>
        </w:rPr>
        <w:t xml:space="preserve">1. THE TIMING OF THE LOCK-IN POINT
GPT-4o and DeepSeek-V3 identified a 2026–2028 window as urgent but reachable. GLM-5 and Kimi argued the infrastructure lock-in point is imminent — within 18–24 months from April 2026, the yuan/energy settlement rails being built around the Iran conflict will reach the network effect threshold of no return.
Constitutional verdict: GLM-5 and Kimi's position better accounts for the cumulative commons collapse pattern. Once alternative payment rails are operationalized — a physical infrastructure fact, not a political one — network effects make reversal thermodynamically impossible. The narrower window is more constitutionally salient.
2. AI MANAGEMENT AS SEVENTH GENERATION HARM
GPT-4o and DeepSeek-V3 treated AI management as a manageable risk, outweighed by the dynamic stabilizer's benefits. GLM-5 identified AI-managed monetary rate as a primary Seventh Generation harm: a new institutional lock-in, an opaque algorithmic authority that 2166 inherits and cannot contest democratically.
Constitutional verdict: GLM-5's concern better accounts for the algorithmic lock-in with compounding bias pattern. An AI monetary authority embedded in the clearing system is a path dependency of a different order — it creates a governance structure whose failure modes and biases compound over 140 years in ways that quarterly human committee decisions do not. This requires constitutional guardrails in the legislative design.</w:t>
      </w:r>
    </w:p>
    <w:p>
      <w:pPr>
        <w:spacing w:after="0" w:before="160"/>
      </w:pPr>
      <w:r>
        <w:t xml:space="preserve"/>
      </w:r>
    </w:p>
    <w:p>
      <w:pPr>
        <w:spacing w:after="60" w:before="280"/>
      </w:pPr>
      <w:r>
        <w:rPr>
          <w:rFonts w:ascii="Arial" w:cs="Arial" w:eastAsia="Arial" w:hAnsi="Arial"/>
          <w:b/>
          <w:bCs/>
          <w:color w:val="B8860B"/>
          <w:sz w:val="18"/>
          <w:szCs w:val="18"/>
        </w:rPr>
        <w:t xml:space="preserve">UNIQUE INSIGHTS — WHAT ONLY ONE MODEL SAW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i/>
                <w:iCs/>
                <w:color w:val="1B3A5C"/>
                <w:sz w:val="24"/>
                <w:szCs w:val="24"/>
              </w:rPr>
              <w:t xml:space="preserve">A single model’s blind spot could be constitutionally decisive. These are the most valuable outputs of the cross-check.</w:t>
            </w:r>
          </w:p>
        </w:tc>
      </w:tr>
    </w:tbl>
    <w:p>
      <w:pPr>
        <w:spacing w:after="0" w:before="100"/>
      </w:pPr>
      <w:r>
        <w:t xml:space="preserve"/>
      </w:r>
    </w:p>
    <w:p>
      <w:pPr>
        <w:spacing w:after="100" w:before="60"/>
      </w:pPr>
      <w:r>
        <w:rPr>
          <w:rFonts w:ascii="Arial" w:cs="Arial" w:eastAsia="Arial" w:hAnsi="Arial"/>
          <w:b w:val="false"/>
          <w:bCs w:val="false"/>
          <w:i w:val="false"/>
          <w:iCs w:val="false"/>
          <w:color w:val="1A1A1A"/>
          <w:sz w:val="22"/>
          <w:szCs w:val="22"/>
        </w:rPr>
        <w:t xml:space="preserve">WHAT EACH MODEL SAW THAT THE OTHERS MISSED:
GPT-4o: The critical distinction between present-generation political obstacles and genuine Seventh Generation structural harms. Offshore transactions and shadow banking represent a real constitutional gap in the proposal — not a lobbying problem but a design problem. Congress should not confuse financial sector resistance (constitutionally irrelevant) with architectural incompleteness (constitutionally important).
DeepSeek-V3: Helium venting at Ras Laffan as the concrete embodiment of what the current fiscal system fails to steward. The velocity tax's countercyclical revenue is the mechanism that funds the physical interventions — helium recapture mandates, distributed ammonia production — that the Iran brief identifies. The two briefs are not separate documents; they fund each other.
GLM-5: The reflexive harm risk: if velocity taxation is implemented and fails, it could trigger accelerated capital flight to non-dollar instruments, hastening de-dollarization beyond what the current trajectory produces. This is the highest-stakes downside not addressed in the derivation. The 2027 implementation window is tight precisely because this risk is real — the instrument must work quickly or it worsens the crisis it was designed to prevent.
Kimi K2.5: "Intergenerational colonization" — sovereign debt as the present generation's territorial occupation of 2166's fiscal capacity through legally enforceable claims. This is not accounting. It is a violation of generational sovereignty. The velocity tax is not fiscal reform; it is decolonization.</w:t>
      </w:r>
    </w:p>
    <w:p>
      <w:r>
        <w:br w:type="page"/>
      </w:r>
    </w:p>
    <w:p>
      <w:pPr>
        <w:spacing w:after="0" w:before="80"/>
      </w:pPr>
      <w:r>
        <w:t xml:space="preserve"/>
      </w:r>
    </w:p>
    <w:p>
      <w:pPr>
        <w:spacing w:after="60" w:before="280"/>
      </w:pPr>
      <w:r>
        <w:rPr>
          <w:rFonts w:ascii="Arial" w:cs="Arial" w:eastAsia="Arial" w:hAnsi="Arial"/>
          <w:b/>
          <w:bCs/>
          <w:color w:val="B8860B"/>
          <w:sz w:val="18"/>
          <w:szCs w:val="18"/>
        </w:rPr>
        <w:t xml:space="preserve">THE IRREVERSIBILITY QUESTION</w:t>
      </w:r>
    </w:p>
    <w:p>
      <w:pPr>
        <w:spacing w:after="80" w:before="200"/>
      </w:pPr>
      <w:r>
        <w:rPr>
          <w:rFonts w:ascii="Arial" w:cs="Arial" w:eastAsia="Arial" w:hAnsi="Arial"/>
          <w:b/>
          <w:bCs/>
          <w:color w:val="1B3A5C"/>
          <w:sz w:val="24"/>
          <w:szCs w:val="24"/>
        </w:rPr>
        <w:t xml:space="preserve">Is There a Specific Lock-In Point Being Crossed Now?</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8B2500" w:sz="6"/>
              <w:left w:val="single" w:color="8B2500" w:sz="6"/>
              <w:bottom w:val="single" w:color="8B2500" w:sz="6"/>
              <w:right w:val="single" w:color="8B2500" w:sz="6"/>
            </w:tcBorders>
            <w:shd w:fill="FAF0EE" w:val="clear"/>
            <w:tcMar>
              <w:top w:type="dxa" w:w="160"/>
              <w:left w:type="dxa" w:w="300"/>
              <w:bottom w:type="dxa" w:w="160"/>
              <w:right w:type="dxa" w:w="300"/>
            </w:tcMar>
          </w:tcPr>
          <w:p>
            <w:r>
              <w:rPr>
                <w:rFonts w:ascii="Arial" w:cs="Arial" w:eastAsia="Arial" w:hAnsi="Arial"/>
                <w:b/>
                <w:bCs/>
                <w:color w:val="8B2500"/>
                <w:sz w:val="24"/>
                <w:szCs w:val="24"/>
              </w:rPr>
              <w:t xml:space="preserve">⚠️  YES. Two parallel lock-in points, both closing in 2026–2028.</w:t>
            </w:r>
          </w:p>
          <w:p>
            <w:pPr>
              <w:spacing w:before="80"/>
            </w:pPr>
            <w:r>
              <w:rPr>
                <w:rFonts w:ascii="Arial" w:cs="Arial" w:eastAsia="Arial" w:hAnsi="Arial"/>
                <w:color w:val="1A1A1A"/>
                <w:sz w:val="22"/>
                <w:szCs w:val="22"/>
              </w:rPr>
              <w:t xml:space="preserve">The full panel synthesizes two parallel lock-in points:
LOCK-IN POINT 1 — THE 2028 DEBT SERVICE THRESHOLD
When debt service exceeds approximately 30% of revenues (projected 2028 at current trajectory), austerity or hyperinflation become mathematically unavoidable. This closes fiscal optionality permanently. No future revenue reform can undo debt already contracted. The velocity tax must generate surplus revenue before this threshold is crossed to be constitutionally effective.
LOCK-IN POINT 2 — THE INFRASTRUCTURE POINT OF NO RETURN
Estimated at 18–24 months from April 2026 (approximately Q1 2027–Q4 2027). When critical-mass commodity trading — especially energy — permanently migrates to non-dollar settlement infrastructure (yuan Strait passage as operational precedent → Saudi yuan contracts → broad yuan energy corridors), dollar reserve status loses its network effect irreversibly. This is a physical infrastructure fact, not a financial preference.
DOES VELOCITY TAXATION CHANGE THE ANSWER?
Yes — but only if implemented before the infrastructure lock-in. The tax can avert the debt service cliff and provide a stabilizing credibility signal that may slow the infrastructure migration. Implemented after Q1 2027, it likely fails to prevent the monetary commons collapse even if it is economically sound. The constitutional imperative is not to design the right instrument but to implement it within the closing window.</w:t>
            </w:r>
          </w:p>
        </w:tc>
      </w:tr>
    </w:tbl>
    <w:p>
      <w:pPr>
        <w:spacing w:after="0" w:before="160"/>
      </w:pPr>
      <w:r>
        <w:t xml:space="preserve"/>
      </w:r>
    </w:p>
    <w:p>
      <w:pPr>
        <w:spacing w:after="60" w:before="280"/>
      </w:pPr>
      <w:r>
        <w:rPr>
          <w:rFonts w:ascii="Arial" w:cs="Arial" w:eastAsia="Arial" w:hAnsi="Arial"/>
          <w:b/>
          <w:bCs/>
          <w:color w:val="B8860B"/>
          <w:sz w:val="18"/>
          <w:szCs w:val="18"/>
        </w:rPr>
        <w:t xml:space="preserve">SYNTHESIS VERDICT — WHAT CONGRESS MUST UNDERSTAND</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860B" w:sz="6"/>
              <w:left w:val="single" w:color="B8860B" w:sz="6"/>
              <w:bottom w:val="single" w:color="B8860B" w:sz="6"/>
              <w:right w:val="single" w:color="B8860B" w:sz="6"/>
            </w:tcBorders>
            <w:shd w:fill="F5F0E0" w:val="clear"/>
            <w:tcMar>
              <w:top w:type="dxa" w:w="200"/>
              <w:left w:type="dxa" w:w="360"/>
              <w:bottom w:type="dxa" w:w="200"/>
              <w:right w:type="dxa" w:w="360"/>
            </w:tcMar>
          </w:tcPr>
          <w:p>
            <w:r>
              <w:rPr>
                <w:rFonts w:ascii="Arial" w:cs="Arial" w:eastAsia="Arial" w:hAnsi="Arial"/>
                <w:b/>
                <w:bCs/>
                <w:color w:val="1B3A5C"/>
                <w:sz w:val="20"/>
                <w:szCs w:val="20"/>
              </w:rPr>
              <w:t xml:space="preserve">SYNTHESIS VERDICT  (DeepSeek-R1)</w:t>
            </w:r>
          </w:p>
          <w:p>
            <w:pPr>
              <w:spacing w:before="100"/>
            </w:pPr>
            <w:r>
              <w:rPr>
                <w:rFonts w:ascii="Arial" w:cs="Arial" w:eastAsia="Arial" w:hAnsi="Arial"/>
                <w:i/>
                <w:iCs/>
                <w:color w:val="1A1A1A"/>
                <w:sz w:val="23"/>
                <w:szCs w:val="23"/>
              </w:rPr>
              <w:t xml:space="preserve">The current fiscal system is not merely failing — it is actively constructing the prison that will bind the 2166 generation: a cell of debt servitude, degraded currency, and surveillance-based taxation built to collapse under the weight of a post-labor, AI-driven economy. Velocity taxation is constitutional surgery to dismantle those walls before the mortar sets — not a revenue experiment but a structural intervention against a locked-in trajectory.
The most dangerous congressional blind spot is believing the lock-in point is a distant fiscal abstraction. It is being poured in concrete today through yuan clearing rails and helium venting stacks — physical facts that no future law can reverse. The window in which velocity taxation can change what 2166 inherits is not measured in years. It is measured in months.</w:t>
            </w:r>
          </w:p>
        </w:tc>
      </w:tr>
    </w:tbl>
    <w:p>
      <w:pPr>
        <w:spacing w:after="0" w:before="200"/>
      </w:pPr>
      <w:r>
        <w:t xml:space="preserve"/>
      </w:r>
    </w:p>
    <w:p>
      <w:pPr>
        <w:pStyle w:val="Heading1"/>
        <w:pBdr>
          <w:bottom w:val="single" w:color="B8860B" w:sz="4"/>
        </w:pBdr>
        <w:spacing w:after="100" w:before="320"/>
      </w:pPr>
      <w:r>
        <w:rPr>
          <w:rFonts w:ascii="Arial" w:cs="Arial" w:eastAsia="Arial" w:hAnsi="Arial"/>
          <w:b/>
          <w:bCs/>
          <w:color w:val="1B3A5C"/>
          <w:sz w:val="28"/>
          <w:szCs w:val="28"/>
        </w:rPr>
        <w:t xml:space="preserve">How This Document Relates to the Legislative Briefs</w:t>
      </w:r>
    </w:p>
    <w:p>
      <w:pPr>
        <w:spacing w:after="100" w:before="60"/>
      </w:pPr>
      <w:r>
        <w:rPr>
          <w:rFonts w:ascii="Arial" w:cs="Arial" w:eastAsia="Arial" w:hAnsi="Arial"/>
          <w:b w:val="false"/>
          <w:bCs w:val="false"/>
          <w:i w:val="false"/>
          <w:iCs w:val="false"/>
          <w:color w:val="1A1A1A"/>
          <w:sz w:val="22"/>
          <w:szCs w:val="22"/>
        </w:rPr>
        <w:t xml:space="preserve">The Fiscal Stability Brief makes the case for velocity taxation as dollar stabilization policy. This document provides the independent constitutional verification.</w:t>
      </w:r>
    </w:p>
    <w:p>
      <w:pPr>
        <w:spacing w:after="0" w:before="80"/>
      </w:pPr>
      <w:r>
        <w:t xml:space="preserve"/>
      </w:r>
    </w:p>
    <w:p>
      <w:pPr>
        <w:spacing w:after="100" w:before="60"/>
      </w:pPr>
      <w:r>
        <w:rPr>
          <w:rFonts w:ascii="Arial" w:cs="Arial" w:eastAsia="Arial" w:hAnsi="Arial"/>
          <w:b/>
          <w:bCs/>
          <w:i w:val="false"/>
          <w:iCs w:val="false"/>
          <w:color w:val="1A1A1A"/>
          <w:sz w:val="22"/>
          <w:szCs w:val="22"/>
        </w:rPr>
        <w:t xml:space="preserve">Key reinforcements:</w:t>
      </w:r>
    </w:p>
    <w:p>
      <w:pPr>
        <w:pStyle w:val="ListParagraph"/>
        <w:numPr>
          <w:ilvl w:val="0"/>
          <w:numId w:val="2"/>
        </w:numPr>
        <w:spacing w:after="40" w:before="40"/>
      </w:pPr>
      <w:r>
        <w:rPr>
          <w:rFonts w:ascii="Arial" w:cs="Arial" w:eastAsia="Arial" w:hAnsi="Arial"/>
          <w:color w:val="1A1A1A"/>
          <w:sz w:val="22"/>
          <w:szCs w:val="22"/>
        </w:rPr>
        <w:t xml:space="preserve">The 2028 debt service threshold (DeepSeek-V3) gives Congress a precise deadline for the Velocity Tax Pilot Act action in the 30-day tier.</w:t>
      </w:r>
    </w:p>
    <w:p>
      <w:pPr>
        <w:pStyle w:val="ListParagraph"/>
        <w:numPr>
          <w:ilvl w:val="0"/>
          <w:numId w:val="2"/>
        </w:numPr>
        <w:spacing w:after="40" w:before="40"/>
      </w:pPr>
      <w:r>
        <w:rPr>
          <w:rFonts w:ascii="Arial" w:cs="Arial" w:eastAsia="Arial" w:hAnsi="Arial"/>
          <w:color w:val="1A1A1A"/>
          <w:sz w:val="22"/>
          <w:szCs w:val="22"/>
        </w:rPr>
        <w:t xml:space="preserve">The reflexive harm risk (GLM-5) requires that the legislative design include a sunset clause and a 24-month performance review — so that a failing implementation can be withdrawn before it accelerates the de-dollarization it was meant to prevent.</w:t>
      </w:r>
    </w:p>
    <w:p>
      <w:pPr>
        <w:pStyle w:val="ListParagraph"/>
        <w:numPr>
          <w:ilvl w:val="0"/>
          <w:numId w:val="2"/>
        </w:numPr>
        <w:spacing w:after="40" w:before="40"/>
      </w:pPr>
      <w:r>
        <w:rPr>
          <w:rFonts w:ascii="Arial" w:cs="Arial" w:eastAsia="Arial" w:hAnsi="Arial"/>
          <w:color w:val="1A1A1A"/>
          <w:sz w:val="22"/>
          <w:szCs w:val="22"/>
        </w:rPr>
        <w:t xml:space="preserve">The AI governance concern (GLM-5) requires that the AI Monetary Management Authorization Act include explicit democratic guardrails: human-set parameters, congressional override authority, and regular public audit of the algorithm's rate adjustments.</w:t>
      </w:r>
    </w:p>
    <w:p>
      <w:pPr>
        <w:pStyle w:val="ListParagraph"/>
        <w:numPr>
          <w:ilvl w:val="0"/>
          <w:numId w:val="2"/>
        </w:numPr>
        <w:spacing w:after="40" w:before="40"/>
      </w:pPr>
      <w:r>
        <w:rPr>
          <w:rFonts w:ascii="Arial" w:cs="Arial" w:eastAsia="Arial" w:hAnsi="Arial"/>
          <w:color w:val="1A1A1A"/>
          <w:sz w:val="22"/>
          <w:szCs w:val="22"/>
        </w:rPr>
        <w:t xml:space="preserve">The infrastructure lock-in window (Kimi K2.5 / GLM-5) establishes why the 90-day action plan is structured with immediate executive-authority actions first — the window is months, not years.</w:t>
      </w:r>
    </w:p>
    <w:p>
      <w:pPr>
        <w:pStyle w:val="ListParagraph"/>
        <w:numPr>
          <w:ilvl w:val="0"/>
          <w:numId w:val="2"/>
        </w:numPr>
        <w:spacing w:after="40" w:before="40"/>
      </w:pPr>
      <w:r>
        <w:rPr>
          <w:rFonts w:ascii="Arial" w:cs="Arial" w:eastAsia="Arial" w:hAnsi="Arial"/>
          <w:color w:val="1A1A1A"/>
          <w:sz w:val="22"/>
          <w:szCs w:val="22"/>
        </w:rPr>
        <w:t xml:space="preserve">The intergenerational colonization framing (Kimi K2.5) provides the constitutional standing argument for the Intergenerational Fiscal Review Act: sovereign debt is not a fiscal preference but an occupation of future generations' territorial sovereignty.</w:t>
      </w:r>
    </w:p>
    <w:p>
      <w:pPr>
        <w:spacing w:after="0" w:before="80"/>
      </w:pPr>
      <w:r>
        <w:t xml:space="preserve"/>
      </w:r>
    </w:p>
    <w:p>
      <w:pPr>
        <w:spacing w:after="100" w:before="60"/>
      </w:pPr>
      <w:r>
        <w:rPr>
          <w:rFonts w:ascii="Arial" w:cs="Arial" w:eastAsia="Arial" w:hAnsi="Arial"/>
          <w:b/>
          <w:bCs/>
          <w:i w:val="false"/>
          <w:iCs w:val="false"/>
          <w:color w:val="1A1A1A"/>
          <w:sz w:val="22"/>
          <w:szCs w:val="22"/>
        </w:rPr>
        <w:t xml:space="preserve">Helium as the connective tissue:</w:t>
      </w:r>
    </w:p>
    <w:p>
      <w:pPr>
        <w:spacing w:after="100" w:before="60"/>
      </w:pPr>
      <w:r>
        <w:rPr>
          <w:rFonts w:ascii="Arial" w:cs="Arial" w:eastAsia="Arial" w:hAnsi="Arial"/>
          <w:b w:val="false"/>
          <w:bCs w:val="false"/>
          <w:i w:val="false"/>
          <w:iCs w:val="false"/>
          <w:color w:val="1A1A1A"/>
          <w:sz w:val="22"/>
          <w:szCs w:val="22"/>
        </w:rPr>
        <w:t xml:space="preserve">DeepSeek-V3 identified helium venting at Ras Laffan as the embodiment of what the current fiscal system fails to steward. The Iran brief's helium recapture mandates and the Fiscal Stability Brief's debt paydown loop are not separate legislative tracks. The velocity tax generates the countercyclical surplus revenue that funds the physical interventions — helium recapture infrastructure, distributed ammonia production — identified in the companion brief. The three documents read as a legislative package.</w:t>
      </w:r>
    </w:p>
    <w:p>
      <w:pPr>
        <w:spacing w:after="0" w:before="160"/>
      </w:pPr>
      <w:r>
        <w:t xml:space="preserve"/>
      </w:r>
    </w:p>
    <w:p>
      <w:pPr>
        <w:spacing w:after="60" w:before="280"/>
      </w:pPr>
      <w:r>
        <w:rPr>
          <w:rFonts w:ascii="Arial" w:cs="Arial" w:eastAsia="Arial" w:hAnsi="Arial"/>
          <w:b/>
          <w:bCs/>
          <w:color w:val="B8860B"/>
          <w:sz w:val="18"/>
          <w:szCs w:val="18"/>
        </w:rPr>
        <w:t xml:space="preserve">ABOUT THIS ANALYSIS</w:t>
      </w:r>
    </w:p>
    <w:p>
      <w:pPr>
        <w:spacing w:after="100" w:before="60"/>
      </w:pPr>
      <w:r>
        <w:rPr>
          <w:rFonts w:ascii="Arial" w:cs="Arial" w:eastAsia="Arial" w:hAnsi="Arial"/>
          <w:b w:val="false"/>
          <w:bCs w:val="false"/>
          <w:i w:val="false"/>
          <w:iCs w:val="false"/>
          <w:color w:val="555555"/>
          <w:sz w:val="22"/>
          <w:szCs w:val="22"/>
        </w:rPr>
        <w:t xml:space="preserve">Produced by the Federated Village Project using the Seventh Generation Scout. Panel models provided independent constitutional analyses; no model saw the others' responses before completing its own. Synthesis by DeepSeek-R1. Source logs: logs/crosscheck_velocity_20260405_072201.json. Full derivation: briefs/velocity_tax_derivation.md. Methodology: github.com/Mfox-research99/federated-village.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pBdr>
    </w:pPr>
  </w:p>
  <w:p>
    <w:pPr>
      <w:spacing w:before="80"/>
      <w:jc w:val="center"/>
    </w:pPr>
    <w:r>
      <w:rPr>
        <w:rFonts w:ascii="Arial" w:cs="Arial" w:eastAsia="Arial" w:hAnsi="Arial"/>
        <w:i/>
        <w:iCs/>
        <w:color w:val="555555"/>
        <w:sz w:val="16"/>
        <w:szCs w:val="16"/>
      </w:rPr>
      <w:t xml:space="preserve">Federated Village Project  |  Seventh Generation Scout  |  Cross-Model Panel: Kimi K2.5, GLM-5, DeepSeek-V3, GPT-4o  |  Synthesis: DeepSeek-R1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none" w:color="FFFFFF" w:sz="0"/>
            <w:left w:val="none" w:color="FFFFFF" w:sz="0"/>
            <w:bottom w:val="none" w:color="FFFFFF" w:sz="0"/>
            <w:right w:val="none" w:color="FFFFFF" w:sz="0"/>
          </w:tcBorders>
        </w:tcPr>
        <w:p>
          <w:r>
            <w:rPr>
              <w:rFonts w:ascii="Arial" w:cs="Arial" w:eastAsia="Arial" w:hAnsi="Arial"/>
              <w:color w:val="1B3A5C"/>
              <w:sz w:val="16"/>
              <w:szCs w:val="16"/>
            </w:rPr>
            <w:t xml:space="preserve">SUPPORTING EVIDENCE  |  VELOCITY TAX CROSS-MODEL ANALYSIS  |  APRIL 5, 2026</w:t>
          </w:r>
        </w:p>
      </w:tc>
      <w:tc>
        <w:tcPr>
          <w:tcW w:type="dxa" w:w="2520"/>
          <w:tcBorders>
            <w:top w:val="none" w:color="FFFFFF" w:sz="0"/>
            <w:left w:val="none" w:color="FFFFFF" w:sz="0"/>
            <w:bottom w:val="none" w:color="FFFFFF" w:sz="0"/>
            <w:right w:val="none" w:color="FFFFFF" w:sz="0"/>
          </w:tcBorders>
        </w:tcPr>
        <w:p>
          <w:pPr>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tc>
    </w:tr>
  </w:tbl>
  <w:p>
    <w:pPr>
      <w:pBdr>
        <w:bottom w:val="single" w:color="B8860B" w:sz="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2026-04-05T13:28:22.516Z</dcterms:created>
  <dcterms:modified xsi:type="dcterms:W3CDTF">2026-04-05T13:28:22.516Z</dcterms:modified>
</cp:coreProperties>
</file>

<file path=docProps/custom.xml><?xml version="1.0" encoding="utf-8"?>
<Properties xmlns="http://schemas.openxmlformats.org/officeDocument/2006/custom-properties" xmlns:vt="http://schemas.openxmlformats.org/officeDocument/2006/docPropsVTypes"/>
</file>