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GATELEDGER</w:t>
      </w:r>
    </w:p>
    <w:p>
      <w:pPr>
        <w:spacing w:after="40" w:before="0" w:line="232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4A6785"/>
          <w:sz w:val="19"/>
          <w:szCs w:val="19"/>
        </w:rPr>
        <w:t xml:space="preserve">The historical record of which days each US container terminal’s gate was actually open — the number every demurrage invoice legally depends on, and that terminals delete within a week.</w:t>
      </w:r>
    </w:p>
    <w:p>
      <w:pPr>
        <w:spacing w:after="90" w:before="0" w:line="232" w:lineRule="auto"/>
      </w:pPr>
      <w:r>
        <w:rPr>
          <w:rFonts w:ascii="Calibri" w:cs="Calibri" w:eastAsia="Calibri" w:hAnsi="Calibri"/>
          <w:i/>
          <w:iCs/>
          <w:color w:val="666666"/>
          <w:sz w:val="16"/>
          <w:szCs w:val="16"/>
        </w:rPr>
        <w:t xml:space="preserve">A business for Sol · prepared 20 August 2026 · the survivor of 90+ candidates and ~40 derived laws · recording already underway since 19 August</w:t>
      </w:r>
    </w:p>
    <w:p>
      <w:pPr>
        <w:pBdr>
          <w:bottom w:val="single" w:color="C9D4E0" w:sz="5" w:space="2"/>
        </w:pBdr>
        <w:spacing w:after="50" w:before="11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THE PROBLEM — AND THE LAW THAT MAKES IT MONEY</w:t>
      </w:r>
    </w:p>
    <w:p>
      <w:pPr>
        <w:spacing w:after="70" w:before="0" w:line="232" w:lineRule="auto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When an import container overstays its free time at a US port, the ocean carrier bills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US$210–395 per container per day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(dry; reefer $490–640 — Maersk’s own published 2026 tariffs). Free time is counted in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working days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and Maersk’s tariff defines a working day as “any day a gate is open for container pickup.” Federal rule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46 CFR 541.6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makes the free-time start and end dates mandatory contents of every invoice —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541.5 voids the obligation to pay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when required fields are missing.</w:t>
      </w:r>
    </w:p>
    <w:p>
      <w:pPr>
        <w:spacing w:after="70" w:before="0" w:line="232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So which calendar days the gate was open is the denominator of every US demurrage invoice.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Terminals publish that state and overwrite it within 1–6 days; Maersk’s own daily empty-return file 404s in ~24 hours (measured: exactly one file live at any moment).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Nobody keeps the series. GateLedger does — and once a day is missed, nobody can ever buy it back.</w:t>
      </w:r>
    </w:p>
    <w:p>
      <w:pPr>
        <w:pBdr>
          <w:bottom w:val="single" w:color="C9D4E0" w:sz="5" w:space="2"/>
        </w:pBdr>
        <w:spacing w:after="50" w:before="11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THE PRODUCT</w:t>
      </w:r>
    </w:p>
    <w:p>
      <w:pPr>
        <w:spacing w:after="70" w:before="0" w:line="232" w:lineRule="auto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 robot captures every terminal’s gate schedule, empty-return acceptance and (if its gate-test passes) chassis acceptance, twice daily, in the exact hours carriers’ dispute policies specify. Each day’s bundle is hashed and countersigned by four independent certificate authorities (DigiCert, Sectigo, Izenpe, FreeTSA — tested, free, seconds). Sol never opines: the record states what the screen showed, when, with what hash.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The customer does the subtraction.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C9D4E0" w:sz="4"/>
          <w:insideV w:val="none"/>
        </w:tblBorders>
      </w:tblPr>
      <w:tblGrid>
        <w:gridCol w:w="2050"/>
        <w:gridCol w:w="1300"/>
        <w:gridCol w:w="7450"/>
      </w:tblGrid>
      <w:tr>
        <w:tc>
          <w:tcPr>
            <w:tcW w:type="dxa" w:w="2050"/>
            <w:shd w:fill="EEF2F7" w:val="clear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Tier</w:t>
            </w:r>
          </w:p>
        </w:tc>
        <w:tc>
          <w:tcPr>
            <w:tcW w:type="dxa" w:w="1300"/>
            <w:shd w:fill="EEF2F7" w:val="clear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Price</w:t>
            </w:r>
          </w:p>
        </w:tc>
        <w:tc>
          <w:tcPr>
            <w:tcW w:type="dxa" w:w="7450"/>
            <w:shd w:fill="EEF2F7" w:val="clear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205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Free — last 7 days</w:t>
            </w:r>
          </w:p>
        </w:tc>
        <w:tc>
          <w:tcPr>
            <w:tcW w:type="dxa" w:w="130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$0</w:t>
            </w:r>
          </w:p>
        </w:tc>
        <w:tc>
          <w:tcPr>
            <w:tcW w:type="dxa" w:w="745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One public page per terminal per day (~22.000 pages/yr). The dataset is its own marketing: the page a dispatcher’s “was Pier A closed Aug 22” query lands on.</w:t>
            </w:r>
          </w:p>
        </w:tc>
      </w:tr>
      <w:tr>
        <w:tc>
          <w:tcPr>
            <w:tcW w:type="dxa" w:w="205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Ledger</w:t>
            </w:r>
          </w:p>
        </w:tc>
        <w:tc>
          <w:tcPr>
            <w:tcW w:type="dxa" w:w="130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$249/mo</w:t>
            </w:r>
          </w:p>
        </w:tc>
        <w:tc>
          <w:tcPr>
            <w:tcW w:type="dxa" w:w="745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Full history, all terminals, CSV export, closure alerts.</w:t>
            </w:r>
          </w:p>
        </w:tc>
      </w:tr>
      <w:tr>
        <w:tc>
          <w:tcPr>
            <w:tcW w:type="dxa" w:w="205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Dispute Desk</w:t>
            </w:r>
          </w:p>
        </w:tc>
        <w:tc>
          <w:tcPr>
            <w:tcW w:type="dxa" w:w="130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$649/mo</w:t>
            </w:r>
          </w:p>
        </w:tc>
        <w:tc>
          <w:tcPr>
            <w:tcW w:type="dxa" w:w="745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Adds certified extracts, API feed, and 10 evidence packs a month.</w:t>
            </w:r>
          </w:p>
        </w:tc>
      </w:tr>
      <w:tr>
        <w:tc>
          <w:tcPr>
            <w:tcW w:type="dxa" w:w="205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Evidence pack</w:t>
            </w:r>
          </w:p>
        </w:tc>
        <w:tc>
          <w:tcPr>
            <w:tcW w:type="dxa" w:w="130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$95 one-off</w:t>
            </w:r>
          </w:p>
        </w:tc>
        <w:tc>
          <w:tcPr>
            <w:tcW w:type="dxa" w:w="745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Terminal + date range: raw captures, hash chain, all four RFC 3161 tokens, custodian certificate (FRE 902(13)/(14)) — self-authenticating, no expert needed.</w:t>
            </w:r>
          </w:p>
        </w:tc>
      </w:tr>
      <w:tr>
        <w:tc>
          <w:tcPr>
            <w:tcW w:type="dxa" w:w="205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White-label</w:t>
            </w:r>
          </w:p>
        </w:tc>
        <w:tc>
          <w:tcPr>
            <w:tcW w:type="dxa" w:w="130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~$1.500/mo</w:t>
            </w:r>
          </w:p>
        </w:tc>
        <w:tc>
          <w:tcPr>
            <w:tcW w:type="dxa" w:w="745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A recovery firm resells under its own brand. One security review, ever.</w:t>
            </w:r>
          </w:p>
        </w:tc>
      </w:tr>
    </w:tbl>
    <w:p>
      <w:pPr>
        <w:spacing w:after="30" w:before="0" w:line="232" w:lineRule="auto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/>
      </w:r>
    </w:p>
    <w:p>
      <w:pPr>
        <w:pBdr>
          <w:bottom w:val="single" w:color="C9D4E0" w:sz="5" w:space="2"/>
        </w:pBdr>
        <w:spacing w:after="50" w:before="11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THE MONEY</w:t>
      </w:r>
    </w:p>
    <w:p>
      <w:pPr>
        <w:spacing w:after="70" w:before="0" w:line="232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Target: US$11.100/month gross ≈ US$10.000 net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(Brazil taxes an exported service at 8,1%; invoiced via Wise at ~0,5%).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Path: 2 white-label ($3.000) + 8 Dispute Desk ($5.192) + 6 Ledger ($1.494) + 15 packs ($1.425) = $11.111/mo.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One wrongly-counted gate day repays a month’s subscription 3–6 times over. Running cost: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under $20/month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(Cloudflare; five years of history ≈ $0,45/mo of storage). Zero marginal hours per subscriber; total capital under $1.000 against a $2.500 ceiling.</w:t>
      </w:r>
    </w:p>
    <w:p>
      <w:pPr>
        <w:spacing w:after="0" w:before="0" w:line="232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4A6785"/>
          <w:sz w:val="19"/>
          <w:szCs w:val="19"/>
        </w:rPr>
        <w:t xml:space="preserve">Honest sensitivity: </w:t>
      </w:r>
      <w:r>
        <w:rPr>
          <w:rFonts w:ascii="Calibri" w:cs="Calibri" w:eastAsia="Calibri" w:hAnsi="Calibri"/>
          <w:i w:val="false"/>
          <w:iCs w:val="false"/>
          <w:color w:val="4A6785"/>
          <w:sz w:val="19"/>
          <w:szCs w:val="19"/>
        </w:rPr>
        <w:t xml:space="preserve">the defensible corridor for a pure data feed is $150–350/mo + $49–99 per extract. The white-label anchor is load-bearing — if it fails to land, the target slides toward 24 months or requires the motor-carrier tier to convert.</w:t>
      </w:r>
    </w:p>
    <w:p>
      <w:r>
        <w:br w:type="page"/>
      </w:r>
    </w:p>
    <w:p>
      <w:pPr>
        <w:pBdr>
          <w:bottom w:val="single" w:color="C9D4E0" w:sz="5" w:space="2"/>
        </w:pBdr>
        <w:spacing w:after="50" w:before="11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WHY THIS, WHY HER, WHY NOW</w:t>
      </w:r>
    </w:p>
    <w:p>
      <w:pPr>
        <w:pStyle w:val="ListParagraph"/>
        <w:numPr>
          <w:ilvl w:val="0"/>
          <w:numId w:val="2"/>
        </w:numPr>
        <w:spacing w:after="46" w:line="230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Every constraint fits by construction. 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No calls in operations (cold email → invoice → automated delivery); customers send nothing and grant nothing; she is never believed — the mathematics is.</w:t>
      </w:r>
    </w:p>
    <w:p>
      <w:pPr>
        <w:pStyle w:val="ListParagraph"/>
        <w:numPr>
          <w:ilvl w:val="0"/>
          <w:numId w:val="2"/>
        </w:numPr>
        <w:spacing w:after="46" w:line="230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Uniqueness is measured, not asserted. 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 census of 24 contingency-fee recovery industries found exactly one needing an input that is a transient third-party public fact nobody archives — this one. The structure: refund-side buyers + a schedule posted by one company (the terminal) feeding another company’s invoice (the carrier) + a ~17-page/day capture universe.</w:t>
      </w:r>
    </w:p>
    <w:p>
      <w:pPr>
        <w:pStyle w:val="ListParagraph"/>
        <w:numPr>
          <w:ilvl w:val="0"/>
          <w:numId w:val="2"/>
        </w:numPr>
        <w:spacing w:after="46" w:line="230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The “who are you” wall is solved structurally. 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Carriers accept third-party evidence only from sources “widely recognized as reliable” — fatal to any anonymous newcomer. A CA-countersigned hash chain replaces recognition with arithmetic anyone verifies offline.</w:t>
      </w:r>
    </w:p>
    <w:p>
      <w:pPr>
        <w:pStyle w:val="ListParagraph"/>
        <w:numPr>
          <w:ilvl w:val="0"/>
          <w:numId w:val="2"/>
        </w:numPr>
        <w:spacing w:after="46" w:line="230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The asset already exists. 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Day 0 captured 19 Aug 2026 (SHA-256 a0da4396…, four timestamp tokens), day 1 on 20 Aug. Every day it runs is a day no competitor — funded or not — can ever back-fill.</w:t>
      </w:r>
    </w:p>
    <w:p>
      <w:pPr>
        <w:pBdr>
          <w:bottom w:val="single" w:color="C9D4E0" w:sz="5" w:space="2"/>
        </w:pBdr>
        <w:spacing w:after="50" w:before="11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GO-TO-MARKET — WRITTEN-ONLY</w:t>
      </w:r>
    </w:p>
    <w:p>
      <w:pPr>
        <w:spacing w:after="70" w:before="0" w:line="232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Buyers: 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D&amp;D recovery firms on 25–35% success fees — they hold the customer’s conduct evidence and cannot buy back the past; she holds the past and can never hold conduct evidence: each side is barred from the other’s half · motor carriers in UIIA arbitration (75,2% publish email — measured) · FMC charge-complaint filers (the FMC’s own guidance names “screen captures of … gate closures”) · drayage TMS vendors, as feed licensees.</w:t>
      </w:r>
    </w:p>
    <w:p>
      <w:pPr>
        <w:spacing w:after="70" w:before="0" w:line="232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The free prospect list: 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IANA’s published arbitration decisions — every case that turned on a missing terminal state names a motor carrier that lost real money for want of exactly this record.</w:t>
      </w:r>
    </w:p>
    <w:p>
      <w:pPr>
        <w:spacing w:after="70" w:before="0" w:line="232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The 6–20 setup calls, ranked: 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(1) ONE white-label anchor with a recovery firm — a single conversation that converts the small-pool weakness into ~27% of target; (2) ONE TMS data-feed deal; hold the rest in reserve for buyer procurement reviews.</w:t>
      </w:r>
    </w:p>
    <w:p>
      <w:pPr>
        <w:pBdr>
          <w:bottom w:val="single" w:color="C9D4E0" w:sz="5" w:space="2"/>
        </w:pBdr>
        <w:spacing w:after="50" w:before="11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WHAT MUST BE TRUE — FIVE BARS, COMMITTED BEFORE BUILDING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C9D4E0" w:sz="4"/>
          <w:insideV w:val="none"/>
        </w:tblBorders>
      </w:tblPr>
      <w:tblGrid>
        <w:gridCol w:w="3560"/>
        <w:gridCol w:w="4360"/>
        <w:gridCol w:w="2880"/>
      </w:tblGrid>
      <w:tr>
        <w:tc>
          <w:tcPr>
            <w:tcW w:type="dxa" w:w="3560"/>
            <w:shd w:fill="EEF2F7" w:val="clear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Risk</w:t>
            </w:r>
          </w:p>
        </w:tc>
        <w:tc>
          <w:tcPr>
            <w:tcW w:type="dxa" w:w="4360"/>
            <w:shd w:fill="EEF2F7" w:val="clear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Test</w:t>
            </w:r>
          </w:p>
        </w:tc>
        <w:tc>
          <w:tcPr>
            <w:tcW w:type="dxa" w:w="2880"/>
            <w:shd w:fill="EEF2F7" w:val="clear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Pre-committed bar</w:t>
            </w:r>
          </w:p>
        </w:tc>
      </w:tr>
      <w:tr>
        <w:tc>
          <w:tcPr>
            <w:tcW w:type="dxa" w:w="356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Demand</w:t>
            </w: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 — never measured; the binding constraint in every prior hunt</w:t>
            </w:r>
          </w:p>
        </w:tc>
        <w:tc>
          <w:tcPr>
            <w:tcW w:type="dxa" w:w="436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30 emails: “where do you get the terminal’s state for a date three months ago, and what did that record cost you?”</w:t>
            </w:r>
          </w:p>
        </w:tc>
        <w:tc>
          <w:tcPr>
            <w:tcW w:type="dxa" w:w="288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KILL &lt;4/30 reply, or ≥⅓ name a source they already hold</w:t>
            </w:r>
          </w:p>
        </w:tc>
      </w:tr>
      <w:tr>
        <w:tc>
          <w:tcPr>
            <w:tcW w:type="dxa" w:w="356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BlueCargo</w:t>
            </w: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 already holds it (free tier lists “terminal &amp; gate schedules”)</w:t>
            </w:r>
          </w:p>
        </w:tc>
        <w:tc>
          <w:tcPr>
            <w:tcW w:type="dxa" w:w="436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Free-tier signup; try to pull gate state &gt;30 days past</w:t>
            </w:r>
          </w:p>
        </w:tc>
        <w:tc>
          <w:tcPr>
            <w:tcW w:type="dxa" w:w="288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KILL if any past-date calendar serves</w:t>
            </w:r>
          </w:p>
        </w:tc>
      </w:tr>
      <w:tr>
        <w:tc>
          <w:tcPr>
            <w:tcW w:type="dxa" w:w="356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Disputes</w:t>
            </w: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 turn on un-screenshotted days</w:t>
            </w:r>
          </w:p>
        </w:tc>
        <w:tc>
          <w:tcPr>
            <w:tcW w:type="dxa" w:w="436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Read 20 published IANA arbitration decisions</w:t>
            </w:r>
          </w:p>
        </w:tc>
        <w:tc>
          <w:tcPr>
            <w:tcW w:type="dxa" w:w="288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KILL &lt;5/20 on world-state evidence</w:t>
            </w:r>
          </w:p>
        </w:tc>
      </w:tr>
      <w:tr>
        <w:tc>
          <w:tcPr>
            <w:tcW w:type="dxa" w:w="356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Access</w:t>
            </w: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 — 8 of 20 terminals verified so far</w:t>
            </w:r>
          </w:p>
        </w:tc>
        <w:tc>
          <w:tcPr>
            <w:tcW w:type="dxa" w:w="436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Ten-day, 20-terminal, twice-daily capture from a real browser</w:t>
            </w:r>
          </w:p>
        </w:tc>
        <w:tc>
          <w:tcPr>
            <w:tcW w:type="dxa" w:w="288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KILL &lt;12/20 parseable on ≥18/20 runs</w:t>
            </w:r>
          </w:p>
        </w:tc>
      </w:tr>
      <w:tr>
        <w:tc>
          <w:tcPr>
            <w:tcW w:type="dxa" w:w="356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5. Price corridor</w:t>
            </w:r>
          </w:p>
        </w:tc>
        <w:tc>
          <w:tcPr>
            <w:tcW w:type="dxa" w:w="436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From probe replies against $150–350/mo + $49–99/extract</w:t>
            </w:r>
          </w:p>
        </w:tc>
        <w:tc>
          <w:tcPr>
            <w:tcW w:type="dxa" w:w="2880"/>
            <w:tcMar>
              <w:top w:type="dxa" w:w="26"/>
              <w:left w:type="dxa" w:w="60"/>
              <w:bottom w:type="dxa" w:w="26"/>
              <w:right w:type="dxa" w:w="60"/>
            </w:tcMar>
          </w:tcPr>
          <w:p>
            <w:pPr>
              <w:spacing w:after="0" w:line="216" w:lineRule="auto"/>
            </w:pPr>
            <w:r>
              <w:rPr>
                <w:rFonts w:ascii="Calibri" w:cs="Calibri" w:eastAsia="Calibri" w:hAnsi="Calibri"/>
                <w:i w:val="false"/>
                <w:iCs w:val="false"/>
                <w:color w:val="1A1A1A"/>
                <w:sz w:val="19"/>
                <w:szCs w:val="19"/>
              </w:rPr>
              <w:t xml:space="preserve">Corridor confirmed by ≥3 numeric replies</w:t>
            </w:r>
          </w:p>
        </w:tc>
      </w:tr>
    </w:tbl>
    <w:p>
      <w:pPr>
        <w:spacing w:after="60" w:before="0" w:line="232" w:lineRule="auto"/>
      </w:pPr>
      <w:r>
        <w:rPr>
          <w:rFonts w:ascii="Calibri" w:cs="Calibri" w:eastAsia="Calibri" w:hAnsi="Calibri"/>
          <w:i/>
          <w:iCs/>
          <w:color w:val="666666"/>
          <w:sz w:val="17"/>
          <w:szCs w:val="17"/>
        </w:rPr>
        <w:t xml:space="preserve">Computed and already cleared: the free 7-day window cannibalizes nothing — invoices land 10–70 days after the dates in dispute, so ≥95% of dispute-relevant dates sit in the paid tier.</w:t>
      </w:r>
    </w:p>
    <w:p>
      <w:pPr>
        <w:pBdr>
          <w:bottom w:val="single" w:color="C9D4E0" w:sz="5" w:space="2"/>
        </w:pBdr>
        <w:spacing w:after="50" w:before="11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FIRST 90 DAYS — TOTAL CASH UNDER $100</w:t>
      </w:r>
    </w:p>
    <w:p>
      <w:pPr>
        <w:spacing w:after="70" w:before="0" w:line="232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Wk 1–2: 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the 20-terminal capture — the test IS the build; its ten days are the first ten days of the asset. Parser v1.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Wk 2–3: 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the 30-email probe, the 20-decision read, the BlueCargo check.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Wk 4–6: 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free layer live (indexation is free, fast, written-only); evidence-pack generator automated.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Wk 6–8: 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first paid packs to IANA-listed carriers and FMC filers.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Wk 8–12: 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setup call #1 — the white-label anchor.</w:t>
      </w:r>
    </w:p>
    <w:p>
      <w:pPr>
        <w:pBdr>
          <w:bottom w:val="single" w:color="C9D4E0" w:sz="5" w:space="2"/>
        </w:pBdr>
        <w:spacing w:after="50" w:before="11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THE VERDICT</w:t>
      </w:r>
    </w:p>
    <w:p>
      <w:pPr>
        <w:spacing w:after="20" w:before="0" w:line="232" w:lineRule="auto"/>
      </w:pPr>
      <w:r>
        <w:rPr>
          <w:rFonts w:ascii="Calibri" w:cs="Calibri" w:eastAsia="Calibri" w:hAnsi="Calibri"/>
          <w:i/>
          <w:iCs/>
          <w:color w:val="1A1A1A"/>
          <w:sz w:val="19"/>
          <w:szCs w:val="19"/>
        </w:rPr>
        <w:t xml:space="preserve">“Every structural test this idea can pass, it has passed; the two it cannot pass on paper — that anyone will pay, and that BlueCargo hasn’t already built it — cost $20 and 30 emails to run, and nothing should be built until both return numbers.”</w:t>
      </w:r>
    </w:p>
    <w:p>
      <w:pPr>
        <w:spacing w:after="0" w:before="0" w:line="232" w:lineRule="auto"/>
      </w:pPr>
      <w:r>
        <w:rPr>
          <w:rFonts w:ascii="Calibri" w:cs="Calibri" w:eastAsia="Calibri" w:hAnsi="Calibri"/>
          <w:i w:val="false"/>
          <w:iCs w:val="false"/>
          <w:color w:val="666666"/>
          <w:sz w:val="16"/>
          <w:szCs w:val="16"/>
        </w:rPr>
        <w:t xml:space="preserve">— the adversarial counsel’s closing line, adopted unedited.</w:t>
      </w:r>
    </w:p>
    <w:sectPr>
      <w:pgSz w:w="12240" w:h="15840" w:orient="portrait"/>
      <w:pgMar w:top="600" w:right="680" w:bottom="56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216" w:hanging="14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2026-08-20T21:18:36.028Z</dcterms:created>
  <dcterms:modified xsi:type="dcterms:W3CDTF">2026-08-20T21:18:36.043Z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