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B4A36"/>
          <w:sz w:val="150"/>
          <w:szCs w:val="150"/>
        </w:rPr>
        <w:t xml:space="preserve">VOLTA</w:t>
      </w:r>
    </w:p>
    <w:p>
      <w:pPr>
        <w:spacing w:after="260" w:before="40"/>
      </w:pPr>
      <w:r>
        <w:rPr>
          <w:b/>
          <w:bCs/>
          <w:color w:val="141414"/>
          <w:sz w:val="40"/>
          <w:szCs w:val="40"/>
        </w:rPr>
        <w:t xml:space="preserve">Business Plan  &amp;  Technology Overview</w:t>
      </w:r>
    </w:p>
    <w:p>
      <w:pPr>
        <w:spacing w:after="120"/>
      </w:pPr>
      <w:r>
        <w:rPr>
          <w:color w:val="5B6B66"/>
          <w:sz w:val="28"/>
          <w:szCs w:val="28"/>
        </w:rPr>
        <w:t xml:space="preserve">Managed financial recovery for professional Mercado Livre </w:t>
      </w:r>
      <w:r>
        <w:rPr>
          <w:b/>
          <w:bCs/>
          <w:color w:val="5B6B66"/>
          <w:sz w:val="28"/>
          <w:szCs w:val="28"/>
        </w:rPr>
        <w:t xml:space="preserve">Full</w:t>
      </w:r>
      <w:r>
        <w:rPr>
          <w:color w:val="5B6B66"/>
          <w:sz w:val="28"/>
          <w:szCs w:val="28"/>
        </w:rPr>
        <w:t xml:space="preserve"> sellers in Brazil.</w:t>
      </w:r>
    </w:p>
    <w:p>
      <w:pPr>
        <w:pBdr>
          <w:top w:val="single" w:color="C9D6D0" w:sz="8" w:space="6"/>
          <w:bottom w:val="single" w:color="C9D6D0" w:sz="8" w:space="6"/>
        </w:pBdr>
        <w:spacing w:after="40"/>
      </w:pPr>
      <w:r>
        <w:rPr>
          <w:i/>
          <w:iCs/>
          <w:color w:val="0A6E4C"/>
          <w:sz w:val="26"/>
          <w:szCs w:val="26"/>
        </w:rPr>
        <w:t xml:space="preserve">“Encontramos valores elegíveis que não voltaram para a sua operação, montamos a prova e acompanhamos o caso até o crédito. Você só paga sobre o que efetivamente receber.”</w:t>
      </w:r>
    </w:p>
    <w:p>
      <w:pPr>
        <w:spacing w:after="500"/>
      </w:pPr>
      <w:r>
        <w:t xml:space="preserve"/>
      </w:r>
    </w:p>
    <w:p>
      <w:pPr>
        <w:spacing w:after="300" w:line="360"/>
      </w:pPr>
      <w:r>
        <w:rPr>
          <w:b/>
          <w:bCs/>
          <w:color w:val="141414"/>
          <w:sz w:val="26"/>
          <w:szCs w:val="26"/>
        </w:rPr>
        <w:t xml:space="preserve">The one-line thesis.  </w:t>
      </w:r>
      <w:r>
        <w:rPr>
          <w:color w:val="141414"/>
          <w:sz w:val="26"/>
          <w:szCs w:val="26"/>
        </w:rPr>
        <w:t xml:space="preserve">Build the workbench, not the chatbot: a deterministic engine that computes every recoverable centavo in code, an evidence ledger that can prove any figure, and a human who approves every action. The seller pays only on money that actually lands.</w:t>
      </w:r>
    </w:p>
    <w:p>
      <w:pPr>
        <w:spacing w:after="600"/>
      </w:pPr>
      <w:r>
        <w:t xml:space="preserve"/>
      </w:r>
    </w:p>
    <w:p>
      <w:r>
        <w:rPr>
          <w:b/>
          <w:bCs/>
          <w:color w:val="5B6B66"/>
          <w:sz w:val="24"/>
          <w:szCs w:val="24"/>
        </w:rPr>
        <w:t xml:space="preserve">Prepared: </w:t>
      </w:r>
      <w:r>
        <w:rPr>
          <w:color w:val="5B6B66"/>
          <w:sz w:val="24"/>
          <w:szCs w:val="24"/>
        </w:rPr>
        <w:t xml:space="preserve">22 July 2026</w:t>
      </w:r>
    </w:p>
    <w:p>
      <w:r>
        <w:rPr>
          <w:b/>
          <w:bCs/>
          <w:color w:val="5B6B66"/>
          <w:sz w:val="24"/>
          <w:szCs w:val="24"/>
        </w:rPr>
        <w:t xml:space="preserve">Status: </w:t>
      </w:r>
      <w:r>
        <w:rPr>
          <w:color w:val="5B6B66"/>
          <w:sz w:val="24"/>
          <w:szCs w:val="24"/>
        </w:rPr>
        <w:t xml:space="preserve">Confidential working draft for the founder.</w:t>
      </w:r>
    </w:p>
    <w:p>
      <w:pPr>
        <w:spacing w:line="340"/>
      </w:pPr>
      <w:r>
        <w:rPr>
          <w:b/>
          <w:bCs/>
          <w:color w:val="5B6B66"/>
          <w:sz w:val="24"/>
          <w:szCs w:val="24"/>
        </w:rPr>
        <w:t xml:space="preserve">How to read this: </w:t>
      </w:r>
      <w:r>
        <w:rPr>
          <w:color w:val="5B6B66"/>
          <w:sz w:val="24"/>
          <w:szCs w:val="24"/>
        </w:rPr>
        <w:t xml:space="preserve">Part I is the business case. Part II is how it is built. Part III is the recommendation and reference material. Every known objection is confronted in Section 12 and again in Section 23 — nothing important is hidden.</w:t>
      </w:r>
    </w:p>
    <w:p>
      <w:r>
        <w:br w:type="page"/>
      </w:r>
    </w:p>
    <w:p>
      <w:pPr>
        <w:spacing w:after="160"/>
      </w:pPr>
      <w:r>
        <w:rPr>
          <w:b/>
          <w:bCs/>
          <w:color w:val="0B4A36"/>
          <w:sz w:val="40"/>
          <w:szCs w:val="4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pacing w:after="40" w:before="200"/>
      </w:pPr>
      <w:r>
        <w:rPr>
          <w:b/>
          <w:bCs/>
          <w:caps/>
          <w:color w:val="0A6E4C"/>
          <w:sz w:val="22"/>
          <w:szCs w:val="22"/>
        </w:rPr>
        <w:t xml:space="preserve">Part I</w:t>
      </w:r>
    </w:p>
    <w:p>
      <w:pPr>
        <w:pBdr>
          <w:bottom w:val="single" w:color="0B4A36" w:sz="18" w:space="4"/>
        </w:pBdr>
        <w:spacing w:after="60"/>
      </w:pPr>
      <w:r>
        <w:rPr>
          <w:b/>
          <w:bCs/>
          <w:color w:val="0B4A36"/>
          <w:sz w:val="46"/>
          <w:szCs w:val="46"/>
        </w:rPr>
        <w:t xml:space="preserve">The Business</w:t>
      </w:r>
    </w:p>
    <w:p>
      <w:pPr>
        <w:spacing w:after="120"/>
      </w:pPr>
      <w:r>
        <w:t xml:space="preserve"/>
      </w:r>
    </w:p>
    <w:p>
      <w:pPr>
        <w:pStyle w:val="Heading1"/>
      </w:pPr>
      <w:r>
        <w:t xml:space="preserve">1.  Executive Summary</w:t>
      </w:r>
    </w:p>
    <w:p>
      <w:r>
        <w:t xml:space="preserve">VOLTA is a managed marketplace-recovery service. It connects, read-only, to a professional seller’s Mercado Livre and Mercado Pago accounts, reconciles what happened operationally (Full inventory movements, inbound receiving, orders, returns, claims) against what happened financially (Mercado Pago releases, credits, fees), and surfaces the money the seller is owed but never received. VOLTA then assembles the evidence, pursues the case through the platform’s permitted channels, and reconciles the credit when it lands. The seller pays a success fee — only when a VOLTA-managed case produces a confirmed credit in their own financial records.</w:t>
      </w:r>
    </w:p>
    <w:p>
      <w:r>
        <w:t xml:space="preserve">This is not a new idea in need of proof that it can work as a category. It is the Amazon FBA reimbursement-recovery playbook — a mature, hundreds-of-millions-of-dollars US industry with proven economics — brought to Mercado Livre, plus a second recoverable pool (Mercado Pago payments) that the Amazon tools do not have. What is unproven is not the model; it is whether the recoverable value is large, recurring, and causally attributable on Mercado Livre specifically. That single question is what the 45-day pilot exists to answer, and this plan is built around answering it cheaply before any platform is built.</w:t>
      </w:r>
    </w:p>
    <w:tbl>
      <w:tblPr>
        <w:tblW w:type="dxa" w:w="9360"/>
        <w:tblBorders>
          <w:top w:val="single" w:color="BcD8CC" w:sz="6"/>
          <w:left w:val="single" w:color="0A6E4C" w:sz="24"/>
          <w:bottom w:val="single" w:color="BCD8CC" w:sz="6"/>
          <w:right w:val="single" w:color="BCD8CC" w:sz="6"/>
          <w:insideH w:val="none"/>
          <w:insideV w:val="none"/>
        </w:tblBorders>
      </w:tblPr>
      <w:tblGrid>
        <w:gridCol w:w="9360"/>
      </w:tblGrid>
      <w:tr>
        <w:tc>
          <w:tcPr>
            <w:tcW w:type="dxa" w:w="9360"/>
            <w:shd w:fill="E9F2ED" w:color="auto" w:val="clear"/>
            <w:tcMar>
              <w:top w:type="dxa" w:w="130"/>
              <w:left w:type="dxa" w:w="180"/>
              <w:bottom w:type="dxa" w:w="130"/>
              <w:right w:type="dxa" w:w="180"/>
            </w:tcMar>
          </w:tcPr>
          <w:p>
            <w:r>
              <w:rPr>
                <w:b/>
                <w:bCs/>
                <w:color w:val="0B4A36"/>
              </w:rPr>
              <w:t xml:space="preserve">The decision this document supports.  </w:t>
            </w:r>
            <w:r>
              <w:t xml:space="preserve">Do not build the platform first. Prove the money exists with a 45-day pilot run on scripts and spreadsheets, using one decisive controlled test (Section 11). Build the software only after that test passes — and when you build, build the workbench, because the workbench is the only thing that makes recovered value grow faster than the human hours to produce it.</w:t>
            </w:r>
          </w:p>
        </w:tc>
      </w:tr>
    </w:tbl>
    <w:p>
      <w:pPr>
        <w:spacing w:after="60"/>
      </w:pPr>
      <w:r>
        <w:t xml:space="preserve"/>
      </w:r>
    </w:p>
    <w:p>
      <w:pPr>
        <w:pStyle w:val="Heading3"/>
      </w:pPr>
      <w:r>
        <w:t xml:space="preserve">Snapshot</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400"/>
        <w:gridCol w:w="6960"/>
      </w:tblGrid>
      <w:tr>
        <w:trPr>
          <w:tblHeader/>
        </w:trPr>
        <w:tc>
          <w:tcPr>
            <w:tcW w:type="dxa" w:w="2400"/>
            <w:shd w:fill="0B4A36" w:color="auto" w:val="clear"/>
            <w:tcMar>
              <w:top w:type="dxa" w:w="80"/>
              <w:left w:type="dxa" w:w="120"/>
              <w:bottom w:type="dxa" w:w="80"/>
              <w:right w:type="dxa" w:w="120"/>
            </w:tcMar>
          </w:tcPr>
          <w:p>
            <w:pPr>
              <w:spacing w:after="0" w:line="260"/>
            </w:pPr>
            <w:r>
              <w:rPr>
                <w:b/>
                <w:bCs/>
                <w:color w:val="FFFFFF"/>
                <w:sz w:val="22"/>
                <w:szCs w:val="22"/>
              </w:rPr>
              <w:t xml:space="preserve">Dimension</w:t>
            </w:r>
          </w:p>
        </w:tc>
        <w:tc>
          <w:tcPr>
            <w:tcW w:type="dxa" w:w="6960"/>
            <w:shd w:fill="0B4A36" w:color="auto" w:val="clear"/>
            <w:tcMar>
              <w:top w:type="dxa" w:w="80"/>
              <w:left w:type="dxa" w:w="120"/>
              <w:bottom w:type="dxa" w:w="80"/>
              <w:right w:type="dxa" w:w="120"/>
            </w:tcMar>
          </w:tcPr>
          <w:p>
            <w:pPr>
              <w:spacing w:after="0" w:line="260"/>
            </w:pPr>
            <w:r>
              <w:rPr>
                <w:b/>
                <w:bCs/>
                <w:color w:val="FFFFFF"/>
                <w:sz w:val="22"/>
                <w:szCs w:val="22"/>
              </w:rPr>
              <w:t xml:space="preserve">Position</w:t>
            </w:r>
          </w:p>
        </w:tc>
      </w:tr>
      <w:tr>
        <w:tc>
          <w:tcPr>
            <w:tcW w:type="dxa" w:w="2400"/>
            <w:tcMar>
              <w:top w:type="dxa" w:w="80"/>
              <w:left w:type="dxa" w:w="120"/>
              <w:bottom w:type="dxa" w:w="80"/>
              <w:right w:type="dxa" w:w="120"/>
            </w:tcMar>
          </w:tcPr>
          <w:p>
            <w:pPr>
              <w:spacing w:after="0" w:line="264"/>
            </w:pPr>
            <w:r>
              <w:rPr>
                <w:color w:val="141414"/>
                <w:sz w:val="22"/>
                <w:szCs w:val="22"/>
              </w:rPr>
              <w:t xml:space="preserve">What it is</w:t>
            </w:r>
          </w:p>
        </w:tc>
        <w:tc>
          <w:tcPr>
            <w:tcW w:type="dxa" w:w="6960"/>
            <w:tcMar>
              <w:top w:type="dxa" w:w="80"/>
              <w:left w:type="dxa" w:w="120"/>
              <w:bottom w:type="dxa" w:w="80"/>
              <w:right w:type="dxa" w:w="120"/>
            </w:tcMar>
          </w:tcPr>
          <w:p>
            <w:pPr>
              <w:spacing w:after="0" w:line="264"/>
            </w:pPr>
            <w:r>
              <w:rPr>
                <w:color w:val="141414"/>
                <w:sz w:val="22"/>
                <w:szCs w:val="22"/>
              </w:rPr>
              <w:t xml:space="preserve">Managed, success-fee recovery of money Mercado Livre / Mercado Pago owe a Full seller.</w:t>
            </w:r>
          </w:p>
        </w:tc>
      </w:tr>
      <w:tr>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Target customer</w:t>
            </w:r>
          </w:p>
        </w:tc>
        <w:tc>
          <w:tcPr>
            <w:tcW w:type="dxa" w:w="6960"/>
            <w:shd w:fill="F2F6F4" w:color="auto" w:val="clear"/>
            <w:tcMar>
              <w:top w:type="dxa" w:w="80"/>
              <w:left w:type="dxa" w:w="120"/>
              <w:bottom w:type="dxa" w:w="80"/>
              <w:right w:type="dxa" w:w="120"/>
            </w:tcMar>
          </w:tcPr>
          <w:p>
            <w:pPr>
              <w:spacing w:after="0" w:line="264"/>
            </w:pPr>
            <w:r>
              <w:rPr>
                <w:color w:val="141414"/>
                <w:sz w:val="22"/>
                <w:szCs w:val="22"/>
              </w:rPr>
            </w:r>
          </w:p>
        </w:tc>
      </w:tr>
      <w:tr>
        <w:tc>
          <w:tcPr>
            <w:tcW w:type="dxa" w:w="2400"/>
            <w:tcMar>
              <w:top w:type="dxa" w:w="80"/>
              <w:left w:type="dxa" w:w="120"/>
              <w:bottom w:type="dxa" w:w="80"/>
              <w:right w:type="dxa" w:w="120"/>
            </w:tcMar>
          </w:tcPr>
          <w:p>
            <w:pPr>
              <w:spacing w:after="0" w:line="264"/>
            </w:pPr>
            <w:r>
              <w:rPr>
                <w:color w:val="141414"/>
                <w:sz w:val="22"/>
                <w:szCs w:val="22"/>
              </w:rPr>
              <w:t xml:space="preserve">Pricing</w:t>
            </w:r>
          </w:p>
        </w:tc>
        <w:tc>
          <w:tcPr>
            <w:tcW w:type="dxa" w:w="6960"/>
            <w:tcMar>
              <w:top w:type="dxa" w:w="80"/>
              <w:left w:type="dxa" w:w="120"/>
              <w:bottom w:type="dxa" w:w="80"/>
              <w:right w:type="dxa" w:w="120"/>
            </w:tcMar>
          </w:tcPr>
          <w:p>
            <w:pPr>
              <w:spacing w:after="0" w:line="264"/>
            </w:pPr>
            <w:r>
              <w:rPr>
                <w:color w:val="141414"/>
                <w:sz w:val="22"/>
                <w:szCs w:val="22"/>
              </w:rPr>
              <w:t xml:space="preserve">Founding: 25% of confirmed credits, success-only. No setup fee, no fee for value merely identified.</w:t>
            </w:r>
          </w:p>
        </w:tc>
      </w:tr>
      <w:tr>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Unit economics</w:t>
            </w:r>
          </w:p>
        </w:tc>
        <w:tc>
          <w:tcPr>
            <w:tcW w:type="dxa" w:w="6960"/>
            <w:shd w:fill="F2F6F4" w:color="auto" w:val="clear"/>
            <w:tcMar>
              <w:top w:type="dxa" w:w="80"/>
              <w:left w:type="dxa" w:w="120"/>
              <w:bottom w:type="dxa" w:w="80"/>
              <w:right w:type="dxa" w:w="120"/>
            </w:tcMar>
          </w:tcPr>
          <w:p>
            <w:pPr>
              <w:spacing w:after="0" w:line="264"/>
            </w:pPr>
            <w:r>
              <w:rPr>
                <w:color w:val="141414"/>
                <w:sz w:val="22"/>
                <w:szCs w:val="22"/>
              </w:rPr>
              <w:t xml:space="preserve">R$1.9k–2.7k/mo per continuous seller; gross margin 70–85%+ as human-minutes-per-case falls below 20, then 5.</w:t>
            </w:r>
          </w:p>
        </w:tc>
      </w:tr>
      <w:tr>
        <w:tc>
          <w:tcPr>
            <w:tcW w:type="dxa" w:w="2400"/>
            <w:tcMar>
              <w:top w:type="dxa" w:w="80"/>
              <w:left w:type="dxa" w:w="120"/>
              <w:bottom w:type="dxa" w:w="80"/>
              <w:right w:type="dxa" w:w="120"/>
            </w:tcMar>
          </w:tcPr>
          <w:p>
            <w:pPr>
              <w:spacing w:after="0" w:line="264"/>
            </w:pPr>
            <w:r>
              <w:rPr>
                <w:color w:val="141414"/>
                <w:sz w:val="22"/>
                <w:szCs w:val="22"/>
              </w:rPr>
              <w:t xml:space="preserve">North-star metric</w:t>
            </w:r>
          </w:p>
        </w:tc>
        <w:tc>
          <w:tcPr>
            <w:tcW w:type="dxa" w:w="6960"/>
            <w:tcMar>
              <w:top w:type="dxa" w:w="80"/>
              <w:left w:type="dxa" w:w="120"/>
              <w:bottom w:type="dxa" w:w="80"/>
              <w:right w:type="dxa" w:w="120"/>
            </w:tcMar>
          </w:tcPr>
          <w:p>
            <w:pPr>
              <w:spacing w:after="0" w:line="264"/>
            </w:pPr>
            <w:r>
              <w:rPr>
                <w:color w:val="141414"/>
                <w:sz w:val="22"/>
                <w:szCs w:val="22"/>
              </w:rPr>
            </w:r>
          </w:p>
        </w:tc>
      </w:tr>
      <w:tr>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Scale prize</w:t>
            </w:r>
          </w:p>
        </w:tc>
        <w:tc>
          <w:tcPr>
            <w:tcW w:type="dxa" w:w="6960"/>
            <w:shd w:fill="F2F6F4" w:color="auto" w:val="clear"/>
            <w:tcMar>
              <w:top w:type="dxa" w:w="80"/>
              <w:left w:type="dxa" w:w="120"/>
              <w:bottom w:type="dxa" w:w="80"/>
              <w:right w:type="dxa" w:w="120"/>
            </w:tcMar>
          </w:tcPr>
          <w:p>
            <w:pPr>
              <w:spacing w:after="0" w:line="264"/>
            </w:pPr>
            <w:r>
              <w:rPr>
                <w:color w:val="141414"/>
                <w:sz w:val="22"/>
                <w:szCs w:val="22"/>
              </w:rPr>
              <w:t xml:space="preserve">A few hundred well-served sellers clears ~R$1M/mo; the same engine expands to Mercado Pago, other Mercado Livre countries (Mexico), and a white-label rail (§8).</w:t>
            </w:r>
          </w:p>
        </w:tc>
      </w:tr>
      <w:tr>
        <w:tc>
          <w:tcPr>
            <w:tcW w:type="dxa" w:w="2400"/>
            <w:tcMar>
              <w:top w:type="dxa" w:w="80"/>
              <w:left w:type="dxa" w:w="120"/>
              <w:bottom w:type="dxa" w:w="80"/>
              <w:right w:type="dxa" w:w="120"/>
            </w:tcMar>
          </w:tcPr>
          <w:p>
            <w:pPr>
              <w:spacing w:after="0" w:line="264"/>
            </w:pPr>
            <w:r>
              <w:rPr>
                <w:color w:val="141414"/>
                <w:sz w:val="22"/>
                <w:szCs w:val="22"/>
              </w:rPr>
              <w:t xml:space="preserve">Biggest risk</w:t>
            </w:r>
          </w:p>
        </w:tc>
        <w:tc>
          <w:tcPr>
            <w:tcW w:type="dxa" w:w="6960"/>
            <w:tcMar>
              <w:top w:type="dxa" w:w="80"/>
              <w:left w:type="dxa" w:w="120"/>
              <w:bottom w:type="dxa" w:w="80"/>
              <w:right w:type="dxa" w:w="120"/>
            </w:tcMar>
          </w:tcPr>
          <w:p>
            <w:pPr>
              <w:spacing w:after="0" w:line="264"/>
            </w:pPr>
            <w:r>
              <w:rPr>
                <w:color w:val="141414"/>
                <w:sz w:val="22"/>
                <w:szCs w:val="22"/>
              </w:rPr>
              <w:t xml:space="preserve">The highest-value filings are dashboard-only, not API — so human effort may not fall with scale. Confronted in §12, §23.</w:t>
            </w:r>
          </w:p>
        </w:tc>
      </w:tr>
      <w:tr>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The go / no-go</w:t>
            </w:r>
          </w:p>
        </w:tc>
        <w:tc>
          <w:tcPr>
            <w:tcW w:type="dxa" w:w="6960"/>
            <w:shd w:fill="F2F6F4" w:color="auto" w:val="clear"/>
            <w:tcMar>
              <w:top w:type="dxa" w:w="80"/>
              <w:left w:type="dxa" w:w="120"/>
              <w:bottom w:type="dxa" w:w="80"/>
              <w:right w:type="dxa" w:w="120"/>
            </w:tcMar>
          </w:tcPr>
          <w:p>
            <w:pPr>
              <w:spacing w:after="0" w:line="264"/>
            </w:pPr>
            <w:r>
              <w:rPr>
                <w:color w:val="141414"/>
                <w:sz w:val="22"/>
                <w:szCs w:val="22"/>
              </w:rPr>
              <w:t xml:space="preserve">A controlled submit-vs-hold A/B across 5 pilot sellers. If held cases pay out on their own at similar rates, there is no business.</w:t>
            </w:r>
          </w:p>
        </w:tc>
      </w:tr>
    </w:tbl>
    <w:p>
      <w:pPr>
        <w:pStyle w:val="Heading1"/>
      </w:pPr>
      <w:r>
        <w:t xml:space="preserve">2.  The Problem VOLTA Solves</w:t>
      </w:r>
    </w:p>
    <w:p>
      <w:r>
        <w:t xml:space="preserve">A large Full seller generates thousands of operational and financial events every month across inventory, shipments, returns, claims, deductions, and credits. Each event is visible somewhere on the platform, but determining whether the seller received the correct financial treatment requires reconciling several data sources that the platform never joins for them.</w:t>
      </w:r>
    </w:p>
    <w:p>
      <w:r>
        <w:t xml:space="preserve">In practice the seller’s team cannot answer questions like these at scale:</w:t>
      </w:r>
    </w:p>
    <w:p>
      <w:pPr>
        <w:pStyle w:val="ListParagraph"/>
        <w:numPr>
          <w:ilvl w:val="0"/>
          <w:numId w:val="1"/>
        </w:numPr>
        <w:spacing w:after="90" w:line="340"/>
      </w:pPr>
      <w:r>
        <w:t xml:space="preserve">Was damaged Full inventory actually credited — and at the right value, or at a low reference value?</w:t>
      </w:r>
    </w:p>
    <w:p>
      <w:pPr>
        <w:pStyle w:val="ListParagraph"/>
        <w:numPr>
          <w:ilvl w:val="0"/>
          <w:numId w:val="1"/>
        </w:numPr>
        <w:spacing w:after="90" w:line="340"/>
      </w:pPr>
      <w:r>
        <w:t xml:space="preserve">Did a negative stock adjustment (perda / extravio) ever receive its reimbursement?</w:t>
      </w:r>
    </w:p>
    <w:p>
      <w:pPr>
        <w:pStyle w:val="ListParagraph"/>
        <w:numPr>
          <w:ilvl w:val="0"/>
          <w:numId w:val="1"/>
        </w:numPr>
        <w:spacing w:after="90" w:line="340"/>
      </w:pPr>
      <w:r>
        <w:t xml:space="preserve">Was the amount approved in a claim actually deposited — in full?</w:t>
      </w:r>
    </w:p>
    <w:p>
      <w:pPr>
        <w:pStyle w:val="ListParagraph"/>
        <w:numPr>
          <w:ilvl w:val="0"/>
          <w:numId w:val="1"/>
        </w:numPr>
        <w:spacing w:after="90" w:line="340"/>
      </w:pPr>
      <w:r>
        <w:t xml:space="preserve">Was a returned item received in the condition claimed, or refunded without a usable unit coming back?</w:t>
      </w:r>
    </w:p>
    <w:p>
      <w:pPr>
        <w:pStyle w:val="ListParagraph"/>
        <w:numPr>
          <w:ilvl w:val="0"/>
          <w:numId w:val="1"/>
        </w:numPr>
        <w:spacing w:after="90" w:line="340"/>
      </w:pPr>
      <w:r>
        <w:t xml:space="preserve">Is there still an available seller action before a deadline silently closes the claim in the platform’s favour?</w:t>
      </w:r>
    </w:p>
    <w:p>
      <w:pPr>
        <w:pStyle w:val="ListParagraph"/>
        <w:numPr>
          <w:ilvl w:val="0"/>
          <w:numId w:val="1"/>
        </w:numPr>
        <w:spacing w:after="90" w:line="340"/>
      </w:pPr>
      <w:r>
        <w:t xml:space="preserve">Does a Mercado Pago credit actually match the inventory or claim event that was supposed to generate it?</w:t>
      </w:r>
    </w:p>
    <w:p>
      <w:r>
        <w:t xml:space="preserve">The losses are individually small, constant, and easy to ignore — which is exactly why they accumulate. No busy operations team reconciles them by hand, so the money quietly stays with the platform. VOLTA converts these disconnected records into one controlled recovery workflow and gives the seller their money back.</w:t>
      </w:r>
    </w:p>
    <w:p>
      <w:pPr>
        <w:pStyle w:val="Heading1"/>
      </w:pPr>
      <w:r>
        <w:t xml:space="preserve">3.  The Customer &amp; Market</w:t>
      </w:r>
    </w:p>
    <w:p>
      <w:pPr>
        <w:pStyle w:val="Heading3"/>
      </w:pPr>
      <w:r>
        <w:t xml:space="preserve">Who VOLTA is for</w:t>
      </w:r>
    </w:p>
    <w:p>
      <w:r>
        <w:t xml:space="preserve">The initial customer is an established Brazilian seller that generates substantial monthly sales through Mercado Livre, stores meaningful inventory in Mercado Envios Full, processes hundreds-to-thousands of orders per month, keeps supplier invoices (NF-e), experiences regular returns and claims, and has no dedicated internal recovery function. A practical opening qualification is at least R$300,000/month in Mercado Livre GMV, or at least R$250,000 of inventory moving through Full. These are commercial filters to be refined with pilot data, not hard rules.</w:t>
      </w:r>
    </w:p>
    <w:p>
      <w:pPr>
        <w:pStyle w:val="Heading3"/>
      </w:pPr>
      <w:r>
        <w:t xml:space="preserve">Market context and an honest caveat</w:t>
      </w:r>
    </w:p>
    <w:p>
      <w:r>
        <w:t xml:space="preserve">Mercado Livre is the dominant marketplace in Brazil, with a large population of professional sellers at this scale, so raw demand is not the binding constraint. However, the serviceable market is narrower than the headline: it excludes sellers who do not keep NF-e XML (no documentary evidence), sellers below the value threshold (recoveries too small to matter), and — critically — Model-6 sellers, who receive HTTP 403 on the claims and returns API endpoints VOLTA depends on. Sizing the true serviceable market after these filters, before spending on acquisition, is one of the hardest pre-build questions (Section 12).</w:t>
      </w:r>
    </w:p>
    <w:p>
      <w:pPr>
        <w:pStyle w:val="Heading1"/>
      </w:pPr>
      <w:r>
        <w:t xml:space="preserve">4.  Why Now — A Proven Analog and Good Timing</w:t>
      </w:r>
    </w:p>
    <w:p>
      <w:r>
        <w:t xml:space="preserve">Marketplace reimbursement-recovery is a mature US industry. The “we only get paid when you get paid” structure is why it converts so well and why it exists at all.</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500"/>
        <w:gridCol w:w="2900"/>
        <w:gridCol w:w="1760"/>
        <w:gridCol w:w="2200"/>
      </w:tblGrid>
      <w:tr>
        <w:trPr>
          <w:tblHeader/>
        </w:trPr>
        <w:tc>
          <w:tcPr>
            <w:tcW w:type="dxa" w:w="2500"/>
            <w:shd w:fill="0B4A36" w:color="auto" w:val="clear"/>
            <w:tcMar>
              <w:top w:type="dxa" w:w="80"/>
              <w:left w:type="dxa" w:w="120"/>
              <w:bottom w:type="dxa" w:w="80"/>
              <w:right w:type="dxa" w:w="120"/>
            </w:tcMar>
          </w:tcPr>
          <w:p>
            <w:pPr>
              <w:spacing w:after="0" w:line="260"/>
            </w:pPr>
            <w:r>
              <w:rPr>
                <w:b/>
                <w:bCs/>
                <w:color w:val="FFFFFF"/>
                <w:sz w:val="22"/>
                <w:szCs w:val="22"/>
              </w:rPr>
              <w:t xml:space="preserve">Player (US / Amazon FBA)</w:t>
            </w:r>
          </w:p>
        </w:tc>
        <w:tc>
          <w:tcPr>
            <w:tcW w:type="dxa" w:w="2900"/>
            <w:shd w:fill="0B4A36" w:color="auto" w:val="clear"/>
            <w:tcMar>
              <w:top w:type="dxa" w:w="80"/>
              <w:left w:type="dxa" w:w="120"/>
              <w:bottom w:type="dxa" w:w="80"/>
              <w:right w:type="dxa" w:w="120"/>
            </w:tcMar>
          </w:tcPr>
          <w:p>
            <w:pPr>
              <w:spacing w:after="0" w:line="260"/>
            </w:pPr>
            <w:r>
              <w:rPr>
                <w:b/>
                <w:bCs/>
                <w:color w:val="FFFFFF"/>
                <w:sz w:val="22"/>
                <w:szCs w:val="22"/>
              </w:rPr>
              <w:t xml:space="preserve">Model</w:t>
            </w:r>
          </w:p>
        </w:tc>
        <w:tc>
          <w:tcPr>
            <w:tcW w:type="dxa" w:w="1760"/>
            <w:shd w:fill="0B4A36" w:color="auto" w:val="clear"/>
            <w:tcMar>
              <w:top w:type="dxa" w:w="80"/>
              <w:left w:type="dxa" w:w="120"/>
              <w:bottom w:type="dxa" w:w="80"/>
              <w:right w:type="dxa" w:w="120"/>
            </w:tcMar>
          </w:tcPr>
          <w:p>
            <w:pPr>
              <w:spacing w:after="0" w:line="260"/>
            </w:pPr>
            <w:r>
              <w:rPr>
                <w:b/>
                <w:bCs/>
                <w:color w:val="FFFFFF"/>
                <w:sz w:val="22"/>
                <w:szCs w:val="22"/>
              </w:rPr>
              <w:t xml:space="preserve">Fee</w:t>
            </w:r>
          </w:p>
        </w:tc>
        <w:tc>
          <w:tcPr>
            <w:tcW w:type="dxa" w:w="2200"/>
            <w:shd w:fill="0B4A36" w:color="auto" w:val="clear"/>
            <w:tcMar>
              <w:top w:type="dxa" w:w="80"/>
              <w:left w:type="dxa" w:w="120"/>
              <w:bottom w:type="dxa" w:w="80"/>
              <w:right w:type="dxa" w:w="120"/>
            </w:tcMar>
          </w:tcPr>
          <w:p>
            <w:pPr>
              <w:spacing w:after="0" w:line="260"/>
            </w:pPr>
            <w:r>
              <w:rPr>
                <w:b/>
                <w:bCs/>
                <w:color w:val="FFFFFF"/>
                <w:sz w:val="22"/>
                <w:szCs w:val="22"/>
              </w:rPr>
              <w:t xml:space="preserve">Proof point</w:t>
            </w:r>
          </w:p>
        </w:tc>
      </w:tr>
      <w:tr>
        <w:tc>
          <w:tcPr>
            <w:tcW w:type="dxa" w:w="2500"/>
            <w:tcMar>
              <w:top w:type="dxa" w:w="80"/>
              <w:left w:type="dxa" w:w="120"/>
              <w:bottom w:type="dxa" w:w="80"/>
              <w:right w:type="dxa" w:w="120"/>
            </w:tcMar>
          </w:tcPr>
          <w:p>
            <w:pPr>
              <w:spacing w:after="0" w:line="264"/>
            </w:pPr>
            <w:r>
              <w:rPr>
                <w:b w:val="false"/>
                <w:bCs w:val="false"/>
                <w:i w:val="false"/>
                <w:iCs w:val="false"/>
                <w:color w:val="141414"/>
                <w:sz w:val="22"/>
                <w:szCs w:val="22"/>
              </w:rPr>
              <w:t xml:space="preserve">GETIDA (category leader)</w:t>
            </w:r>
          </w:p>
        </w:tc>
        <w:tc>
          <w:tcPr>
            <w:tcW w:type="dxa" w:w="2900"/>
            <w:tcMar>
              <w:top w:type="dxa" w:w="80"/>
              <w:left w:type="dxa" w:w="120"/>
              <w:bottom w:type="dxa" w:w="80"/>
              <w:right w:type="dxa" w:w="120"/>
            </w:tcMar>
          </w:tcPr>
          <w:p>
            <w:pPr>
              <w:spacing w:after="0" w:line="264"/>
            </w:pPr>
            <w:r>
              <w:rPr>
                <w:color w:val="141414"/>
                <w:sz w:val="22"/>
                <w:szCs w:val="22"/>
              </w:rPr>
              <w:t xml:space="preserve">Automated audit + human case managers; SP-API OAuth</w:t>
            </w:r>
          </w:p>
        </w:tc>
        <w:tc>
          <w:tcPr>
            <w:tcW w:type="dxa" w:w="1760"/>
            <w:tcMar>
              <w:top w:type="dxa" w:w="80"/>
              <w:left w:type="dxa" w:w="120"/>
              <w:bottom w:type="dxa" w:w="80"/>
              <w:right w:type="dxa" w:w="120"/>
            </w:tcMar>
          </w:tcPr>
          <w:p>
            <w:pPr>
              <w:spacing w:after="0" w:line="264"/>
            </w:pPr>
            <w:r>
              <w:rPr>
                <w:color w:val="141414"/>
                <w:sz w:val="22"/>
                <w:szCs w:val="22"/>
              </w:rPr>
              <w:t xml:space="preserve">25%; first $400 free</w:t>
            </w:r>
          </w:p>
        </w:tc>
        <w:tc>
          <w:tcPr>
            <w:tcW w:type="dxa" w:w="2200"/>
            <w:tcMar>
              <w:top w:type="dxa" w:w="80"/>
              <w:left w:type="dxa" w:w="120"/>
              <w:bottom w:type="dxa" w:w="80"/>
              <w:right w:type="dxa" w:w="120"/>
            </w:tcMar>
          </w:tcPr>
          <w:p>
            <w:pPr>
              <w:spacing w:after="0" w:line="264"/>
            </w:pPr>
            <w:r>
              <w:rPr>
                <w:color w:val="141414"/>
                <w:sz w:val="22"/>
                <w:szCs w:val="22"/>
              </w:rPr>
              <w:t xml:space="preserve">$1B+ recovered; ~90% win rate</w:t>
            </w:r>
          </w:p>
        </w:tc>
      </w:tr>
      <w:tr>
        <w:tc>
          <w:tcPr>
            <w:tcW w:type="dxa" w:w="2500"/>
            <w:shd w:fill="F2F6F4" w:color="auto" w:val="clear"/>
            <w:tcMar>
              <w:top w:type="dxa" w:w="80"/>
              <w:left w:type="dxa" w:w="120"/>
              <w:bottom w:type="dxa" w:w="80"/>
              <w:right w:type="dxa" w:w="120"/>
            </w:tcMar>
          </w:tcPr>
          <w:p>
            <w:pPr>
              <w:spacing w:after="0" w:line="264"/>
            </w:pPr>
            <w:r>
              <w:rPr>
                <w:b w:val="false"/>
                <w:bCs w:val="false"/>
                <w:i w:val="false"/>
                <w:iCs w:val="false"/>
                <w:color w:val="141414"/>
                <w:sz w:val="22"/>
                <w:szCs w:val="22"/>
              </w:rPr>
              <w:t xml:space="preserve">Seller Investigators</w:t>
            </w:r>
          </w:p>
        </w:tc>
        <w:tc>
          <w:tcPr>
            <w:tcW w:type="dxa" w:w="2900"/>
            <w:shd w:fill="F2F6F4" w:color="auto" w:val="clear"/>
            <w:tcMar>
              <w:top w:type="dxa" w:w="80"/>
              <w:left w:type="dxa" w:w="120"/>
              <w:bottom w:type="dxa" w:w="80"/>
              <w:right w:type="dxa" w:w="120"/>
            </w:tcMar>
          </w:tcPr>
          <w:p>
            <w:pPr>
              <w:spacing w:after="0" w:line="264"/>
            </w:pPr>
            <w:r>
              <w:rPr>
                <w:color w:val="141414"/>
                <w:sz w:val="22"/>
                <w:szCs w:val="22"/>
              </w:rPr>
              <w:t xml:space="preserve">Human-led weekly review</w:t>
            </w:r>
          </w:p>
        </w:tc>
        <w:tc>
          <w:tcPr>
            <w:tcW w:type="dxa" w:w="1760"/>
            <w:shd w:fill="F2F6F4" w:color="auto" w:val="clear"/>
            <w:tcMar>
              <w:top w:type="dxa" w:w="80"/>
              <w:left w:type="dxa" w:w="120"/>
              <w:bottom w:type="dxa" w:w="80"/>
              <w:right w:type="dxa" w:w="120"/>
            </w:tcMar>
          </w:tcPr>
          <w:p>
            <w:pPr>
              <w:spacing w:after="0" w:line="264"/>
            </w:pPr>
            <w:r>
              <w:rPr>
                <w:color w:val="141414"/>
                <w:sz w:val="22"/>
                <w:szCs w:val="22"/>
              </w:rPr>
              <w:t xml:space="preserve">25%; no setup fee</w:t>
            </w:r>
          </w:p>
        </w:tc>
        <w:tc>
          <w:tcPr>
            <w:tcW w:type="dxa" w:w="2200"/>
            <w:shd w:fill="F2F6F4" w:color="auto" w:val="clear"/>
            <w:tcMar>
              <w:top w:type="dxa" w:w="80"/>
              <w:left w:type="dxa" w:w="120"/>
              <w:bottom w:type="dxa" w:w="80"/>
              <w:right w:type="dxa" w:w="120"/>
            </w:tcMar>
          </w:tcPr>
          <w:p>
            <w:pPr>
              <w:spacing w:after="0" w:line="264"/>
            </w:pPr>
            <w:r>
              <w:rPr>
                <w:color w:val="141414"/>
                <w:sz w:val="22"/>
                <w:szCs w:val="22"/>
              </w:rPr>
              <w:t xml:space="preserve">~95.9% success</w:t>
            </w:r>
          </w:p>
        </w:tc>
      </w:tr>
      <w:tr>
        <w:tc>
          <w:tcPr>
            <w:tcW w:type="dxa" w:w="2500"/>
            <w:tcMar>
              <w:top w:type="dxa" w:w="80"/>
              <w:left w:type="dxa" w:w="120"/>
              <w:bottom w:type="dxa" w:w="80"/>
              <w:right w:type="dxa" w:w="120"/>
            </w:tcMar>
          </w:tcPr>
          <w:p>
            <w:pPr>
              <w:spacing w:after="0" w:line="264"/>
            </w:pPr>
            <w:r>
              <w:rPr>
                <w:b w:val="false"/>
                <w:bCs w:val="false"/>
                <w:i w:val="false"/>
                <w:iCs w:val="false"/>
                <w:color w:val="141414"/>
                <w:sz w:val="22"/>
                <w:szCs w:val="22"/>
              </w:rPr>
              <w:t xml:space="preserve">Refully</w:t>
            </w:r>
          </w:p>
        </w:tc>
        <w:tc>
          <w:tcPr>
            <w:tcW w:type="dxa" w:w="2900"/>
            <w:tcMar>
              <w:top w:type="dxa" w:w="80"/>
              <w:left w:type="dxa" w:w="120"/>
              <w:bottom w:type="dxa" w:w="80"/>
              <w:right w:type="dxa" w:w="120"/>
            </w:tcMar>
          </w:tcPr>
          <w:p>
            <w:pPr>
              <w:spacing w:after="0" w:line="264"/>
            </w:pPr>
            <w:r>
              <w:rPr>
                <w:color w:val="141414"/>
                <w:sz w:val="22"/>
                <w:szCs w:val="22"/>
              </w:rPr>
              <w:t xml:space="preserve">Automated + dashboard</w:t>
            </w:r>
          </w:p>
        </w:tc>
        <w:tc>
          <w:tcPr>
            <w:tcW w:type="dxa" w:w="1760"/>
            <w:tcMar>
              <w:top w:type="dxa" w:w="80"/>
              <w:left w:type="dxa" w:w="120"/>
              <w:bottom w:type="dxa" w:w="80"/>
              <w:right w:type="dxa" w:w="120"/>
            </w:tcMar>
          </w:tcPr>
          <w:p>
            <w:pPr>
              <w:spacing w:after="0" w:line="264"/>
            </w:pPr>
            <w:r>
              <w:rPr>
                <w:color w:val="141414"/>
                <w:sz w:val="22"/>
                <w:szCs w:val="22"/>
              </w:rPr>
              <w:t xml:space="preserve">18%; first $1,000 free</w:t>
            </w:r>
          </w:p>
        </w:tc>
        <w:tc>
          <w:tcPr>
            <w:tcW w:type="dxa" w:w="2200"/>
            <w:tcMar>
              <w:top w:type="dxa" w:w="80"/>
              <w:left w:type="dxa" w:w="120"/>
              <w:bottom w:type="dxa" w:w="80"/>
              <w:right w:type="dxa" w:w="120"/>
            </w:tcMar>
          </w:tcPr>
          <w:p>
            <w:pPr>
              <w:spacing w:after="0" w:line="264"/>
            </w:pPr>
            <w:r>
              <w:rPr>
                <w:color w:val="141414"/>
                <w:sz w:val="22"/>
                <w:szCs w:val="22"/>
              </w:rPr>
              <w:t xml:space="preserve">Software-first</w:t>
            </w:r>
          </w:p>
        </w:tc>
      </w:tr>
    </w:tbl>
    <w:p>
      <w:pPr>
        <w:spacing w:after="60"/>
      </w:pPr>
      <w:r>
        <w:t xml:space="preserve"/>
      </w:r>
    </w:p>
    <w:p>
      <w:r>
        <w:t xml:space="preserve">Pricing across the category converges on a 15–25% pure success fee with no upfront cost, and roughly 1–3% of fulfilment revenue tends to be recoverable. A timing tailwind reinforces the software approach: since late 2024 Amazon shortened its claim window (18 months to 60 days), auto-reimburses more, and now pays lost/damaged inventory at manufacturing cost rather than sale price. That raises the value of a fast, always-on detector that catches tight windows and audits whether the platform’s own payout was correct — squeezing manual-only players and favouring software. Mercado Livre is trending the same way.</w:t>
      </w:r>
    </w:p>
    <w:p>
      <w:pPr>
        <w:pStyle w:val="Heading3"/>
      </w:pPr>
      <w:r>
        <w:t xml:space="preserve">Translation to Mercado Livre + Mercado Pago</w:t>
      </w:r>
    </w:p>
    <w:p>
      <w:pPr>
        <w:pStyle w:val="ListParagraph"/>
        <w:numPr>
          <w:ilvl w:val="0"/>
          <w:numId w:val="1"/>
        </w:numPr>
        <w:spacing w:after="90" w:line="340"/>
      </w:pPr>
      <w:r>
        <w:rPr>
          <w:b/>
          <w:bCs/>
        </w:rPr>
        <w:t xml:space="preserve">The Full layer (the FBA analog): </w:t>
      </w:r>
      <w:r>
        <w:t xml:space="preserve">lost / damaged / extravio inventory, inbound receiving shortfalls, returns never restocked, wrong-dimension (cubagem) fee overcharges. Mercado Livre runs a compensação programme — but, exactly as with Amazon, sellers under-claim and never audit whether the payout was correct or complete.</w:t>
      </w:r>
    </w:p>
    <w:p>
      <w:pPr>
        <w:pStyle w:val="ListParagraph"/>
        <w:numPr>
          <w:ilvl w:val="0"/>
          <w:numId w:val="1"/>
        </w:numPr>
        <w:spacing w:after="90" w:line="340"/>
      </w:pPr>
      <w:r>
        <w:rPr>
          <w:b/>
          <w:bCs/>
        </w:rPr>
        <w:t xml:space="preserve">The Mercado Pago layer (VOLTA’s edge, no Amazon equivalent): </w:t>
      </w:r>
      <w:r>
        <w:t xml:space="preserve">chargebacks wrongly debited, MDR / commission overcharges, mediation reversals, tarifa discrepancies, held funds. A second recoverable pool the FBA tools structurally cannot reach.</w:t>
      </w:r>
    </w:p>
    <w:tbl>
      <w:tblPr>
        <w:tblW w:type="dxa" w:w="9360"/>
        <w:tblBorders>
          <w:top w:val="single" w:color="BcD8CC" w:sz="6"/>
          <w:left w:val="single" w:color="0A6E4C" w:sz="24"/>
          <w:bottom w:val="single" w:color="BCD8CC" w:sz="6"/>
          <w:right w:val="single" w:color="BCD8CC" w:sz="6"/>
          <w:insideH w:val="none"/>
          <w:insideV w:val="none"/>
        </w:tblBorders>
      </w:tblPr>
      <w:tblGrid>
        <w:gridCol w:w="9360"/>
      </w:tblGrid>
      <w:tr>
        <w:tc>
          <w:tcPr>
            <w:tcW w:type="dxa" w:w="9360"/>
            <w:shd w:fill="F7EFE0" w:color="auto" w:val="clear"/>
            <w:tcMar>
              <w:top w:type="dxa" w:w="130"/>
              <w:left w:type="dxa" w:w="180"/>
              <w:bottom w:type="dxa" w:w="130"/>
              <w:right w:type="dxa" w:w="180"/>
            </w:tcMar>
          </w:tcPr>
          <w:p>
            <w:r>
              <w:rPr>
                <w:b/>
                <w:bCs/>
                <w:color w:val="8A4B0B"/>
              </w:rPr>
              <w:t xml:space="preserve">Verify before you rely on it.  </w:t>
            </w:r>
            <w:r>
              <w:t xml:space="preserve">The 1–3% recoverable figure is transplanted from US Amazon data and is unverified for Mercado Livre. It underpins every financial projection in this plan. It is the single most important number the pilot must measure.</w:t>
            </w:r>
          </w:p>
        </w:tc>
      </w:tr>
    </w:tbl>
    <w:p>
      <w:pPr>
        <w:pStyle w:val="Heading1"/>
      </w:pPr>
      <w:r>
        <w:t xml:space="preserve">5.  The Product</w:t>
      </w:r>
    </w:p>
    <w:p>
      <w:r>
        <w:t xml:space="preserve">VOLTA is delivered as four connected offerings, sequenced from a low-risk entry to a scalable platform:</w:t>
      </w:r>
    </w:p>
    <w:p>
      <w:pPr>
        <w:spacing w:after="110" w:line="340"/>
        <w:ind w:left="360" w:hanging="360"/>
      </w:pPr>
      <w:r>
        <w:rPr>
          <w:b/>
          <w:bCs/>
          <w:color w:val="0A6E4C"/>
        </w:rPr>
        <w:t xml:space="preserve">A.  </w:t>
      </w:r>
      <w:r>
        <w:rPr>
          <w:b/>
          <w:bCs/>
        </w:rPr>
        <w:t xml:space="preserve">Historical Recovery Audit — </w:t>
      </w:r>
      <w:r>
        <w:t xml:space="preserve">a 90–180 day retrospective producing candidate cases with linked evidence and estimated value. Sold as the beginning of an engagement, not a report.</w:t>
      </w:r>
    </w:p>
    <w:p>
      <w:pPr>
        <w:spacing w:after="110" w:line="340"/>
        <w:ind w:left="360" w:hanging="360"/>
      </w:pPr>
      <w:r>
        <w:rPr>
          <w:b/>
          <w:bCs/>
          <w:color w:val="0A6E4C"/>
        </w:rPr>
        <w:t xml:space="preserve">B.  </w:t>
      </w:r>
      <w:r>
        <w:rPr>
          <w:b/>
          <w:bCs/>
        </w:rPr>
        <w:t xml:space="preserve">Managed Recovery — </w:t>
      </w:r>
      <w:r>
        <w:t xml:space="preserve">complete the evidence package, prepare the administrative explanation, submit or coordinate the permitted seller action, monitor responses, reconcile the final credit, and invoice only after a confirmed credit.</w:t>
      </w:r>
    </w:p>
    <w:p>
      <w:pPr>
        <w:spacing w:after="110" w:line="340"/>
        <w:ind w:left="360" w:hanging="360"/>
      </w:pPr>
      <w:r>
        <w:rPr>
          <w:b/>
          <w:bCs/>
          <w:color w:val="0A6E4C"/>
        </w:rPr>
        <w:t xml:space="preserve">C.  </w:t>
      </w:r>
      <w:r>
        <w:rPr>
          <w:b/>
          <w:bCs/>
        </w:rPr>
        <w:t xml:space="preserve">Continuous Protection — </w:t>
      </w:r>
      <w:r>
        <w:t xml:space="preserve">always-on ingestion, automated detection, deadline monitoring, managed submissions, and a monthly recovered-value statement. R$1,490/month plus 15% of recovery.</w:t>
      </w:r>
    </w:p>
    <w:p>
      <w:pPr>
        <w:spacing w:after="110" w:line="340"/>
        <w:ind w:left="360" w:hanging="360"/>
      </w:pPr>
      <w:r>
        <w:rPr>
          <w:b/>
          <w:bCs/>
          <w:color w:val="0A6E4C"/>
        </w:rPr>
        <w:t xml:space="preserve">D.  </w:t>
      </w:r>
      <w:r>
        <w:rPr>
          <w:b/>
          <w:bCs/>
        </w:rPr>
        <w:t xml:space="preserve">White-Label Partner Service — </w:t>
      </w:r>
      <w:r>
        <w:t xml:space="preserve">VOLTA runs the recovery infrastructure behind marketplace agencies, ERPs, accountants, and 3PLs; the partner owns the client and shares revenue.</w:t>
      </w:r>
    </w:p>
    <w:p>
      <w:pPr>
        <w:pStyle w:val="Heading3"/>
      </w:pPr>
      <w:r>
        <w:t xml:space="preserve">The five moments that make a seller say “hell yes”</w:t>
      </w:r>
    </w:p>
    <w:p>
      <w:pPr>
        <w:pStyle w:val="ListParagraph"/>
        <w:numPr>
          <w:ilvl w:val="0"/>
          <w:numId w:val="1"/>
        </w:numPr>
        <w:spacing w:after="90" w:line="340"/>
      </w:pPr>
      <w:r>
        <w:rPr>
          <w:b/>
          <w:bCs/>
        </w:rPr>
        <w:t xml:space="preserve">The Number. </w:t>
      </w:r>
      <w:r>
        <w:t xml:space="preserve">An instant free audit surfaces a concrete recoverable BRL figure and case count — quantified before the seller pays a single real.</w:t>
      </w:r>
    </w:p>
    <w:p>
      <w:pPr>
        <w:pStyle w:val="ListParagraph"/>
        <w:numPr>
          <w:ilvl w:val="0"/>
          <w:numId w:val="1"/>
        </w:numPr>
        <w:spacing w:after="90" w:line="340"/>
      </w:pPr>
      <w:r>
        <w:rPr>
          <w:b/>
          <w:bCs/>
        </w:rPr>
        <w:t xml:space="preserve">The Receipt. </w:t>
      </w:r>
      <w:r>
        <w:t xml:space="preserve">Click any case and see the proof: the ledger movement flagged “danificado”, the NF-e quantity, and the missing credit line, side by side. Provable, never vibes.</w:t>
      </w:r>
    </w:p>
    <w:p>
      <w:pPr>
        <w:pStyle w:val="ListParagraph"/>
        <w:numPr>
          <w:ilvl w:val="0"/>
          <w:numId w:val="1"/>
        </w:numPr>
        <w:spacing w:after="90" w:line="340"/>
      </w:pPr>
      <w:r>
        <w:rPr>
          <w:b/>
          <w:bCs/>
        </w:rPr>
        <w:t xml:space="preserve">The Deadline Radar. </w:t>
      </w:r>
      <w:r>
        <w:t xml:space="preserve">The engine catches claims “aguardando ação do vendedor” before the platform auto-closes them. Money otherwise lost to silence.</w:t>
      </w:r>
    </w:p>
    <w:p>
      <w:pPr>
        <w:pStyle w:val="ListParagraph"/>
        <w:numPr>
          <w:ilvl w:val="0"/>
          <w:numId w:val="1"/>
        </w:numPr>
        <w:spacing w:after="90" w:line="340"/>
      </w:pPr>
      <w:r>
        <w:rPr>
          <w:b/>
          <w:bCs/>
        </w:rPr>
        <w:t xml:space="preserve">One-Tap Approval. </w:t>
      </w:r>
      <w:r>
        <w:t xml:space="preserve">A human approves the basis and submission; VOLTA assembles the evidence and drafts the explanation. Case-prep trending toward two minutes.</w:t>
      </w:r>
    </w:p>
    <w:p>
      <w:pPr>
        <w:pStyle w:val="ListParagraph"/>
        <w:numPr>
          <w:ilvl w:val="0"/>
          <w:numId w:val="1"/>
        </w:numPr>
        <w:spacing w:after="90" w:line="340"/>
      </w:pPr>
      <w:r>
        <w:rPr>
          <w:b/>
          <w:bCs/>
        </w:rPr>
        <w:t xml:space="preserve">Dinheiro Recuperado. </w:t>
      </w:r>
      <w:r>
        <w:t xml:space="preserve">A live ticker of confirmed credits landing in the seller’s account. Watching R$0 climb is the retention engine.</w:t>
      </w:r>
    </w:p>
    <w:p>
      <w:pPr>
        <w:pStyle w:val="Heading3"/>
      </w:pPr>
      <w:r>
        <w:t xml:space="preserve">The end-to-end loop</w:t>
      </w:r>
    </w:p>
    <w:p>
      <w:r>
        <w:t xml:space="preserve">Connect (read-only OAuth) → Audit (backfill 90–180 days) → The Number → Triage (queue sorted by value × confidence × deadline) → Decide (the Case Detail cockpit) → Approve (a named human) → Submit (API action or dashboard packet) → Monitor (deadline board) → Reconcile &amp; bill (fee only on confirmed credit).</w:t>
      </w:r>
    </w:p>
    <w:p>
      <w:pPr>
        <w:pStyle w:val="Heading1"/>
      </w:pPr>
      <w:r>
        <w:t xml:space="preserve">6.  Business Model &amp; Pricing</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100"/>
        <w:gridCol w:w="2100"/>
        <w:gridCol w:w="2760"/>
        <w:gridCol w:w="2400"/>
      </w:tblGrid>
      <w:tr>
        <w:trPr>
          <w:tblHeader/>
        </w:trPr>
        <w:tc>
          <w:tcPr>
            <w:tcW w:type="dxa" w:w="2100"/>
            <w:shd w:fill="0B4A36" w:color="auto" w:val="clear"/>
            <w:tcMar>
              <w:top w:type="dxa" w:w="80"/>
              <w:left w:type="dxa" w:w="120"/>
              <w:bottom w:type="dxa" w:w="80"/>
              <w:right w:type="dxa" w:w="120"/>
            </w:tcMar>
          </w:tcPr>
          <w:p>
            <w:pPr>
              <w:spacing w:after="0" w:line="260"/>
            </w:pPr>
            <w:r>
              <w:rPr>
                <w:b/>
                <w:bCs/>
                <w:color w:val="FFFFFF"/>
                <w:sz w:val="22"/>
                <w:szCs w:val="22"/>
              </w:rPr>
              <w:t xml:space="preserve">Tier</w:t>
            </w:r>
          </w:p>
        </w:tc>
        <w:tc>
          <w:tcPr>
            <w:tcW w:type="dxa" w:w="2100"/>
            <w:shd w:fill="0B4A36" w:color="auto" w:val="clear"/>
            <w:tcMar>
              <w:top w:type="dxa" w:w="80"/>
              <w:left w:type="dxa" w:w="120"/>
              <w:bottom w:type="dxa" w:w="80"/>
              <w:right w:type="dxa" w:w="120"/>
            </w:tcMar>
          </w:tcPr>
          <w:p>
            <w:pPr>
              <w:spacing w:after="0" w:line="260"/>
            </w:pPr>
            <w:r>
              <w:rPr>
                <w:b/>
                <w:bCs/>
                <w:color w:val="FFFFFF"/>
                <w:sz w:val="22"/>
                <w:szCs w:val="22"/>
              </w:rPr>
              <w:t xml:space="preserve">Price</w:t>
            </w:r>
          </w:p>
        </w:tc>
        <w:tc>
          <w:tcPr>
            <w:tcW w:type="dxa" w:w="2760"/>
            <w:shd w:fill="0B4A36" w:color="auto" w:val="clear"/>
            <w:tcMar>
              <w:top w:type="dxa" w:w="80"/>
              <w:left w:type="dxa" w:w="120"/>
              <w:bottom w:type="dxa" w:w="80"/>
              <w:right w:type="dxa" w:w="120"/>
            </w:tcMar>
          </w:tcPr>
          <w:p>
            <w:pPr>
              <w:spacing w:after="0" w:line="260"/>
            </w:pPr>
            <w:r>
              <w:rPr>
                <w:b/>
                <w:bCs/>
                <w:color w:val="FFFFFF"/>
                <w:sz w:val="22"/>
                <w:szCs w:val="22"/>
              </w:rPr>
              <w:t xml:space="preserve">When it applies</w:t>
            </w:r>
          </w:p>
        </w:tc>
        <w:tc>
          <w:tcPr>
            <w:tcW w:type="dxa" w:w="2400"/>
            <w:shd w:fill="0B4A36" w:color="auto" w:val="clear"/>
            <w:tcMar>
              <w:top w:type="dxa" w:w="80"/>
              <w:left w:type="dxa" w:w="120"/>
              <w:bottom w:type="dxa" w:w="80"/>
              <w:right w:type="dxa" w:w="120"/>
            </w:tcMar>
          </w:tcPr>
          <w:p>
            <w:pPr>
              <w:spacing w:after="0" w:line="260"/>
            </w:pPr>
            <w:r>
              <w:rPr>
                <w:b/>
                <w:bCs/>
                <w:color w:val="FFFFFF"/>
                <w:sz w:val="22"/>
                <w:szCs w:val="22"/>
              </w:rPr>
              <w:t xml:space="preserve">Why</w:t>
            </w:r>
          </w:p>
        </w:tc>
      </w:tr>
      <w:tr>
        <w:tc>
          <w:tcPr>
            <w:tcW w:type="dxa" w:w="2100"/>
            <w:tcMar>
              <w:top w:type="dxa" w:w="80"/>
              <w:left w:type="dxa" w:w="120"/>
              <w:bottom w:type="dxa" w:w="80"/>
              <w:right w:type="dxa" w:w="120"/>
            </w:tcMar>
          </w:tcPr>
          <w:p>
            <w:pPr>
              <w:spacing w:after="0" w:line="264"/>
            </w:pPr>
            <w:r>
              <w:rPr>
                <w:b/>
                <w:bCs/>
                <w:i w:val="false"/>
                <w:iCs w:val="false"/>
                <w:color w:val="141414"/>
                <w:sz w:val="22"/>
                <w:szCs w:val="22"/>
              </w:rPr>
              <w:t xml:space="preserve">Founding</w:t>
            </w:r>
          </w:p>
        </w:tc>
        <w:tc>
          <w:tcPr>
            <w:tcW w:type="dxa" w:w="2100"/>
            <w:tcMar>
              <w:top w:type="dxa" w:w="80"/>
              <w:left w:type="dxa" w:w="120"/>
              <w:bottom w:type="dxa" w:w="80"/>
              <w:right w:type="dxa" w:w="120"/>
            </w:tcMar>
          </w:tcPr>
          <w:p>
            <w:pPr>
              <w:spacing w:after="0" w:line="264"/>
            </w:pPr>
            <w:r>
              <w:rPr>
                <w:color w:val="141414"/>
                <w:sz w:val="22"/>
                <w:szCs w:val="22"/>
              </w:rPr>
              <w:t xml:space="preserve">25% success-only</w:t>
            </w:r>
          </w:p>
        </w:tc>
        <w:tc>
          <w:tcPr>
            <w:tcW w:type="dxa" w:w="2760"/>
            <w:tcMar>
              <w:top w:type="dxa" w:w="80"/>
              <w:left w:type="dxa" w:w="120"/>
              <w:bottom w:type="dxa" w:w="80"/>
              <w:right w:type="dxa" w:w="120"/>
            </w:tcMar>
          </w:tcPr>
          <w:p>
            <w:pPr>
              <w:spacing w:after="0" w:line="264"/>
            </w:pPr>
            <w:r>
              <w:rPr>
                <w:color w:val="141414"/>
                <w:sz w:val="22"/>
                <w:szCs w:val="22"/>
              </w:rPr>
              <w:t xml:space="preserve">First ~15 pilot sellers</w:t>
            </w:r>
          </w:p>
        </w:tc>
        <w:tc>
          <w:tcPr>
            <w:tcW w:type="dxa" w:w="2400"/>
            <w:tcMar>
              <w:top w:type="dxa" w:w="80"/>
              <w:left w:type="dxa" w:w="120"/>
              <w:bottom w:type="dxa" w:w="80"/>
              <w:right w:type="dxa" w:w="120"/>
            </w:tcMar>
          </w:tcPr>
          <w:p>
            <w:pPr>
              <w:spacing w:after="0" w:line="264"/>
            </w:pPr>
            <w:r>
              <w:rPr>
                <w:color w:val="141414"/>
                <w:sz w:val="22"/>
                <w:szCs w:val="22"/>
              </w:rPr>
              <w:t xml:space="preserve">Zero-downside; buys proof and testimonials</w:t>
            </w:r>
          </w:p>
        </w:tc>
      </w:tr>
      <w:tr>
        <w:tc>
          <w:tcPr>
            <w:tcW w:type="dxa" w:w="21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Historical Audit</w:t>
            </w:r>
          </w:p>
        </w:tc>
        <w:tc>
          <w:tcPr>
            <w:tcW w:type="dxa" w:w="2100"/>
            <w:shd w:fill="F2F6F4" w:color="auto" w:val="clear"/>
            <w:tcMar>
              <w:top w:type="dxa" w:w="80"/>
              <w:left w:type="dxa" w:w="120"/>
              <w:bottom w:type="dxa" w:w="80"/>
              <w:right w:type="dxa" w:w="120"/>
            </w:tcMar>
          </w:tcPr>
          <w:p>
            <w:pPr>
              <w:spacing w:after="0" w:line="264"/>
            </w:pPr>
            <w:r>
              <w:rPr>
                <w:color w:val="141414"/>
                <w:sz w:val="22"/>
                <w:szCs w:val="22"/>
              </w:rPr>
              <w:t xml:space="preserve">20–25% of confirmed</w:t>
            </w:r>
          </w:p>
        </w:tc>
        <w:tc>
          <w:tcPr>
            <w:tcW w:type="dxa" w:w="2760"/>
            <w:shd w:fill="F2F6F4" w:color="auto" w:val="clear"/>
            <w:tcMar>
              <w:top w:type="dxa" w:w="80"/>
              <w:left w:type="dxa" w:w="120"/>
              <w:bottom w:type="dxa" w:w="80"/>
              <w:right w:type="dxa" w:w="120"/>
            </w:tcMar>
          </w:tcPr>
          <w:p>
            <w:pPr>
              <w:spacing w:after="0" w:line="264"/>
            </w:pPr>
            <w:r>
              <w:rPr>
                <w:color w:val="141414"/>
                <w:sz w:val="22"/>
                <w:szCs w:val="22"/>
              </w:rPr>
              <w:t xml:space="preserve">Standard entry engagement</w:t>
            </w:r>
          </w:p>
        </w:tc>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Higher %: manual, high-value lump recovery</w:t>
            </w:r>
          </w:p>
        </w:tc>
      </w:tr>
      <w:tr>
        <w:tc>
          <w:tcPr>
            <w:tcW w:type="dxa" w:w="2100"/>
            <w:tcMar>
              <w:top w:type="dxa" w:w="80"/>
              <w:left w:type="dxa" w:w="120"/>
              <w:bottom w:type="dxa" w:w="80"/>
              <w:right w:type="dxa" w:w="120"/>
            </w:tcMar>
          </w:tcPr>
          <w:p>
            <w:pPr>
              <w:spacing w:after="0" w:line="264"/>
            </w:pPr>
            <w:r>
              <w:rPr>
                <w:b/>
                <w:bCs/>
                <w:i w:val="false"/>
                <w:iCs w:val="false"/>
                <w:color w:val="141414"/>
                <w:sz w:val="22"/>
                <w:szCs w:val="22"/>
              </w:rPr>
              <w:t xml:space="preserve">Continuous Protection</w:t>
            </w:r>
          </w:p>
        </w:tc>
        <w:tc>
          <w:tcPr>
            <w:tcW w:type="dxa" w:w="2100"/>
            <w:tcMar>
              <w:top w:type="dxa" w:w="80"/>
              <w:left w:type="dxa" w:w="120"/>
              <w:bottom w:type="dxa" w:w="80"/>
              <w:right w:type="dxa" w:w="120"/>
            </w:tcMar>
          </w:tcPr>
          <w:p>
            <w:pPr>
              <w:spacing w:after="0" w:line="264"/>
            </w:pPr>
            <w:r>
              <w:rPr>
                <w:color w:val="141414"/>
                <w:sz w:val="22"/>
                <w:szCs w:val="22"/>
              </w:rPr>
              <w:t xml:space="preserve">R$1,490/mo + 15%</w:t>
            </w:r>
          </w:p>
        </w:tc>
        <w:tc>
          <w:tcPr>
            <w:tcW w:type="dxa" w:w="2760"/>
            <w:tcMar>
              <w:top w:type="dxa" w:w="80"/>
              <w:left w:type="dxa" w:w="120"/>
              <w:bottom w:type="dxa" w:w="80"/>
              <w:right w:type="dxa" w:w="120"/>
            </w:tcMar>
          </w:tcPr>
          <w:p>
            <w:pPr>
              <w:spacing w:after="0" w:line="264"/>
            </w:pPr>
            <w:r>
              <w:rPr>
                <w:color w:val="141414"/>
                <w:sz w:val="22"/>
                <w:szCs w:val="22"/>
              </w:rPr>
              <w:t xml:space="preserve">Post-audit conversion</w:t>
            </w:r>
          </w:p>
        </w:tc>
        <w:tc>
          <w:tcPr>
            <w:tcW w:type="dxa" w:w="2400"/>
            <w:tcMar>
              <w:top w:type="dxa" w:w="80"/>
              <w:left w:type="dxa" w:w="120"/>
              <w:bottom w:type="dxa" w:w="80"/>
              <w:right w:type="dxa" w:w="120"/>
            </w:tcMar>
          </w:tcPr>
          <w:p>
            <w:pPr>
              <w:spacing w:after="0" w:line="264"/>
            </w:pPr>
            <w:r>
              <w:rPr>
                <w:color w:val="141414"/>
                <w:sz w:val="22"/>
                <w:szCs w:val="22"/>
              </w:rPr>
              <w:t xml:space="preserve">Base covers the cost floor; low % as volume automates</w:t>
            </w:r>
          </w:p>
        </w:tc>
      </w:tr>
      <w:tr>
        <w:tc>
          <w:tcPr>
            <w:tcW w:type="dxa" w:w="21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White-Label</w:t>
            </w:r>
          </w:p>
        </w:tc>
        <w:tc>
          <w:tcPr>
            <w:tcW w:type="dxa" w:w="2100"/>
            <w:shd w:fill="F2F6F4" w:color="auto" w:val="clear"/>
            <w:tcMar>
              <w:top w:type="dxa" w:w="80"/>
              <w:left w:type="dxa" w:w="120"/>
              <w:bottom w:type="dxa" w:w="80"/>
              <w:right w:type="dxa" w:w="120"/>
            </w:tcMar>
          </w:tcPr>
          <w:p>
            <w:pPr>
              <w:spacing w:after="0" w:line="264"/>
            </w:pPr>
            <w:r>
              <w:rPr>
                <w:color w:val="141414"/>
                <w:sz w:val="22"/>
                <w:szCs w:val="22"/>
              </w:rPr>
              <w:t xml:space="preserve">8–14% net to VOLTA</w:t>
            </w:r>
          </w:p>
        </w:tc>
        <w:tc>
          <w:tcPr>
            <w:tcW w:type="dxa" w:w="2760"/>
            <w:shd w:fill="F2F6F4" w:color="auto" w:val="clear"/>
            <w:tcMar>
              <w:top w:type="dxa" w:w="80"/>
              <w:left w:type="dxa" w:w="120"/>
              <w:bottom w:type="dxa" w:w="80"/>
              <w:right w:type="dxa" w:w="120"/>
            </w:tcMar>
          </w:tcPr>
          <w:p>
            <w:pPr>
              <w:spacing w:after="0" w:line="264"/>
            </w:pPr>
            <w:r>
              <w:rPr>
                <w:color w:val="141414"/>
                <w:sz w:val="22"/>
                <w:szCs w:val="22"/>
              </w:rPr>
              <w:t xml:space="preserve">Partner portfolios (50–500 sellers)</w:t>
            </w:r>
          </w:p>
        </w:tc>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Partner owns the client; near-zero acquisition cost</w:t>
            </w:r>
          </w:p>
        </w:tc>
      </w:tr>
    </w:tbl>
    <w:p>
      <w:pPr>
        <w:spacing w:after="60"/>
      </w:pPr>
      <w:r>
        <w:t xml:space="preserve"/>
      </w:r>
    </w:p>
    <w:p>
      <w:r>
        <w:t xml:space="preserve">There is no setup fee, no charge for value merely identified, no fee on rejected or abandoned cases, no fee for credits already approved before VOLTA’s involvement, and no fee until the credit appears in the seller’s financial records. Every agreement defines attribution precisely: a case ID, a baseline date, the submitted amount, the confirmed credit, and the corresponding fee. Undercutting is unnecessary — no credible automated competitor exists in Brazil today.</w:t>
      </w:r>
    </w:p>
    <w:p>
      <w:pPr>
        <w:pStyle w:val="Heading1"/>
      </w:pPr>
      <w:r>
        <w:t xml:space="preserve">7.  How VOLTA Actually Gets Paid</w:t>
      </w:r>
    </w:p>
    <w:p>
      <w:r>
        <w:t xml:space="preserve">This deserves its own section because it is the commercial crux, and because VOLTA never touches the recovered money — the credit lands in the seller’s Mercado Pago account, not VOLTA’s. VOLTA is not the marketplace and cannot skim funds at the source. “Getting paid” is therefore two separate problems: making the fee undeniably owed (attribution), and actually collecting it (collection).</w:t>
      </w:r>
    </w:p>
    <w:p>
      <w:pPr>
        <w:pStyle w:val="Heading3"/>
      </w:pPr>
      <w:r>
        <w:t xml:space="preserve">Attribution — make the fee genuinely owed</w:t>
      </w:r>
    </w:p>
    <w:p>
      <w:pPr>
        <w:pStyle w:val="ListParagraph"/>
        <w:numPr>
          <w:ilvl w:val="0"/>
          <w:numId w:val="1"/>
        </w:numPr>
        <w:spacing w:after="90" w:line="340"/>
      </w:pPr>
      <w:r>
        <w:rPr>
          <w:b/>
          <w:bCs/>
        </w:rPr>
        <w:t xml:space="preserve">Baseline snapshot at case creation. </w:t>
      </w:r>
      <w:r>
        <w:t xml:space="preserve">Record every credit already in flight before VOLTA touched the account. VOLTA never bills for money that was already coming.</w:t>
      </w:r>
    </w:p>
    <w:p>
      <w:pPr>
        <w:pStyle w:val="ListParagraph"/>
        <w:numPr>
          <w:ilvl w:val="0"/>
          <w:numId w:val="1"/>
        </w:numPr>
        <w:spacing w:after="90" w:line="340"/>
      </w:pPr>
      <w:r>
        <w:rPr>
          <w:b/>
          <w:bCs/>
        </w:rPr>
        <w:t xml:space="preserve">Only VOLTA-submitted cases. </w:t>
      </w:r>
      <w:r>
        <w:t xml:space="preserve">The fee applies strictly to a case VOLTA opened, evidenced, and filed, that posted after the baseline date, matched on the claim reference.</w:t>
      </w:r>
    </w:p>
    <w:p>
      <w:pPr>
        <w:pStyle w:val="ListParagraph"/>
        <w:numPr>
          <w:ilvl w:val="0"/>
          <w:numId w:val="1"/>
        </w:numPr>
        <w:spacing w:after="90" w:line="340"/>
      </w:pPr>
      <w:r>
        <w:rPr>
          <w:b/>
          <w:bCs/>
        </w:rPr>
        <w:t xml:space="preserve">Confirm against the seller’s own Mercado Pago report. </w:t>
      </w:r>
      <w:r>
        <w:t xml:space="preserve">Because VOLTA has read access, it sees the credit land in the seller’s own statement — an objective, shared truth the seller cannot credibly deny.</w:t>
      </w:r>
    </w:p>
    <w:p>
      <w:pPr>
        <w:pStyle w:val="Heading3"/>
      </w:pPr>
      <w:r>
        <w:t xml:space="preserve">Collection — the move the design must add</w:t>
      </w:r>
    </w:p>
    <w:tbl>
      <w:tblPr>
        <w:tblW w:type="dxa" w:w="9360"/>
        <w:tblBorders>
          <w:top w:val="single" w:color="BcD8CC" w:sz="6"/>
          <w:left w:val="single" w:color="0A6E4C" w:sz="24"/>
          <w:bottom w:val="single" w:color="BCD8CC" w:sz="6"/>
          <w:right w:val="single" w:color="BCD8CC" w:sz="6"/>
          <w:insideH w:val="none"/>
          <w:insideV w:val="none"/>
        </w:tblBorders>
      </w:tblPr>
      <w:tblGrid>
        <w:gridCol w:w="9360"/>
      </w:tblGrid>
      <w:tr>
        <w:tc>
          <w:tcPr>
            <w:tcW w:type="dxa" w:w="9360"/>
            <w:shd w:fill="E9F2ED" w:color="auto" w:val="clear"/>
            <w:tcMar>
              <w:top w:type="dxa" w:w="130"/>
              <w:left w:type="dxa" w:w="180"/>
              <w:bottom w:type="dxa" w:w="130"/>
              <w:right w:type="dxa" w:w="180"/>
            </w:tcMar>
          </w:tcPr>
          <w:p>
            <w:r>
              <w:rPr>
                <w:b/>
                <w:bCs/>
                <w:color w:val="0B4A36"/>
              </w:rPr>
              <w:t xml:space="preserve">Zero-downside is not zero-authorization.  </w:t>
            </w:r>
            <w:r>
              <w:t xml:space="preserve">Capture a pre-authorized payment mandate at onboarding — before delivering any value — even though nothing is charged until a credit is confirmed. In Brazil: Pix Automático (pre-authorized recurring debit), card-on-file, or débito automático via a processor (Asaas, Iugu, Mercado Pago, Stripe BR). The pitch stays intact; collection stops depending on goodwill.</w:t>
            </w:r>
          </w:p>
        </w:tc>
      </w:tr>
    </w:tbl>
    <w:p>
      <w:r>
        <w:t xml:space="preserve">The billing pipeline then runs itself, with a worked example (an inbound shortfall, R$574.80 recovered, 25% fee):</w:t>
      </w:r>
    </w:p>
    <w:p>
      <w:pPr>
        <w:spacing w:after="110" w:line="340"/>
        <w:ind w:left="360" w:hanging="360"/>
      </w:pPr>
      <w:r>
        <w:rPr>
          <w:b/>
          <w:bCs/>
          <w:color w:val="0A6E4C"/>
        </w:rPr>
        <w:t xml:space="preserve">1.  </w:t>
      </w:r>
      <w:r>
        <w:rPr>
          <w:b/>
          <w:bCs/>
        </w:rPr>
        <w:t xml:space="preserve">Credit observed. </w:t>
      </w:r>
      <w:r>
        <w:t xml:space="preserve">A Mercado Pago credit line matches the open case, dated after baseline → CREDIT_CONFIRMED fires.</w:t>
      </w:r>
    </w:p>
    <w:p>
      <w:pPr>
        <w:spacing w:after="110" w:line="340"/>
        <w:ind w:left="360" w:hanging="360"/>
      </w:pPr>
      <w:r>
        <w:rPr>
          <w:b/>
          <w:bCs/>
          <w:color w:val="0A6E4C"/>
        </w:rPr>
        <w:t xml:space="preserve">2.  </w:t>
      </w:r>
      <w:r>
        <w:rPr>
          <w:b/>
          <w:bCs/>
        </w:rPr>
        <w:t xml:space="preserve">Fee computed in code. </w:t>
      </w:r>
      <w:r>
        <w:t xml:space="preserve">fee = 25% × (confirmed − pre-existing) = 25% × R$574.80 = R$143.70, stored as an immutable, traceable ledger row. Partial credits are billed only on what actually landed; the remainder reopens as a new case.</w:t>
      </w:r>
    </w:p>
    <w:p>
      <w:pPr>
        <w:spacing w:after="110" w:line="340"/>
        <w:ind w:left="360" w:hanging="360"/>
      </w:pPr>
      <w:r>
        <w:rPr>
          <w:b/>
          <w:bCs/>
          <w:color w:val="0A6E4C"/>
        </w:rPr>
        <w:t xml:space="preserve">3.  </w:t>
      </w:r>
      <w:r>
        <w:rPr>
          <w:b/>
          <w:bCs/>
        </w:rPr>
        <w:t xml:space="preserve">NFS-e auto-issued. </w:t>
      </w:r>
      <w:r>
        <w:t xml:space="preserve">A fiscal API (Focus NFe, PlugNotas) issues the municipal service invoice — taxed only on VOLTA’s R$143.70 fee, not the client’s gross.</w:t>
      </w:r>
    </w:p>
    <w:p>
      <w:pPr>
        <w:spacing w:after="110" w:line="340"/>
        <w:ind w:left="360" w:hanging="360"/>
      </w:pPr>
      <w:r>
        <w:rPr>
          <w:b/>
          <w:bCs/>
          <w:color w:val="0A6E4C"/>
        </w:rPr>
        <w:t xml:space="preserve">4.  </w:t>
      </w:r>
      <w:r>
        <w:rPr>
          <w:b/>
          <w:bCs/>
        </w:rPr>
        <w:t xml:space="preserve">Auto-charge. </w:t>
      </w:r>
      <w:r>
        <w:t xml:space="preserve">The pre-authorized method is debited for the fee; the case closes; the full chain lands in the audit log. On failure, retry — and VOLTA holds natural leverage because the money it found is sitting in the seller’s account.</w:t>
      </w:r>
    </w:p>
    <w:p>
      <w:r>
        <w:t xml:space="preserve">Guards make it safe to run unattended: dedup on the movement ID (never double-bill), a clawback watch (refund the fee if a confirmed credit is later reversed), and a human release gate for any fee above a threshold or with a fuzzy match. This is the difference between a recovery consultancy (a person reconciling and chasing invoices) and recovery software (collection at roughly zero human minutes) — a direct lever on the north-star metric.</w:t>
      </w:r>
    </w:p>
    <w:p>
      <w:r>
        <w:t xml:space="preserve">The one thing VOLTA cannot do is escrow or split the recovery at the source. Payment assurance rests entirely on pre-authorized pull + shared proof of the credit + ongoing-service leverage. The white-label channel de-risks this further: the partner bills the seller and VOLTA bills the partner — fewer, more creditworthy counterparties.</w:t>
      </w:r>
    </w:p>
    <w:p>
      <w:pPr>
        <w:pStyle w:val="Heading1"/>
      </w:pPr>
      <w:r>
        <w:t xml:space="preserve">8.  Economics, Market Size &amp; Income Scaling</w:t>
      </w:r>
    </w:p>
    <w:p>
      <w:pPr>
        <w:pStyle w:val="Heading3"/>
      </w:pPr>
      <w:r>
        <w:t xml:space="preserve">Unit economics</w:t>
      </w:r>
    </w:p>
    <w:p>
      <w:r>
        <w:t xml:space="preserve">Gross margin is a pure function of one number: human-minutes-per-case, which is also the denominator of the north-star metric.</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800"/>
        <w:gridCol w:w="2000"/>
        <w:gridCol w:w="2160"/>
        <w:gridCol w:w="2400"/>
      </w:tblGrid>
      <w:tr>
        <w:trPr>
          <w:tblHeader/>
        </w:trPr>
        <w:tc>
          <w:tcPr>
            <w:tcW w:type="dxa" w:w="2800"/>
            <w:shd w:fill="0B4A36" w:color="auto" w:val="clear"/>
            <w:tcMar>
              <w:top w:type="dxa" w:w="80"/>
              <w:left w:type="dxa" w:w="120"/>
              <w:bottom w:type="dxa" w:w="80"/>
              <w:right w:type="dxa" w:w="120"/>
            </w:tcMar>
          </w:tcPr>
          <w:p>
            <w:pPr>
              <w:spacing w:after="0" w:line="260"/>
            </w:pPr>
            <w:r>
              <w:rPr>
                <w:b/>
                <w:bCs/>
                <w:color w:val="FFFFFF"/>
                <w:sz w:val="22"/>
                <w:szCs w:val="22"/>
              </w:rPr>
              <w:t xml:space="preserve">Stage</w:t>
            </w:r>
          </w:p>
        </w:tc>
        <w:tc>
          <w:tcPr>
            <w:tcW w:type="dxa" w:w="2000"/>
            <w:shd w:fill="0B4A36" w:color="auto" w:val="clear"/>
            <w:tcMar>
              <w:top w:type="dxa" w:w="80"/>
              <w:left w:type="dxa" w:w="120"/>
              <w:bottom w:type="dxa" w:w="80"/>
              <w:right w:type="dxa" w:w="120"/>
            </w:tcMar>
          </w:tcPr>
          <w:p>
            <w:pPr>
              <w:spacing w:after="0" w:line="260"/>
            </w:pPr>
            <w:r>
              <w:rPr>
                <w:b/>
                <w:bCs/>
                <w:color w:val="FFFFFF"/>
                <w:sz w:val="22"/>
                <w:szCs w:val="22"/>
              </w:rPr>
              <w:t xml:space="preserve">Minutes/case</w:t>
            </w:r>
          </w:p>
        </w:tc>
        <w:tc>
          <w:tcPr>
            <w:tcW w:type="dxa" w:w="2160"/>
            <w:shd w:fill="0B4A36" w:color="auto" w:val="clear"/>
            <w:tcMar>
              <w:top w:type="dxa" w:w="80"/>
              <w:left w:type="dxa" w:w="120"/>
              <w:bottom w:type="dxa" w:w="80"/>
              <w:right w:type="dxa" w:w="120"/>
            </w:tcMar>
          </w:tcPr>
          <w:p>
            <w:pPr>
              <w:spacing w:after="0" w:line="260"/>
            </w:pPr>
            <w:r>
              <w:rPr>
                <w:b/>
                <w:bCs/>
                <w:color w:val="FFFFFF"/>
                <w:sz w:val="22"/>
                <w:szCs w:val="22"/>
              </w:rPr>
              <w:t xml:space="preserve">Gross margin</w:t>
            </w:r>
          </w:p>
        </w:tc>
        <w:tc>
          <w:tcPr>
            <w:tcW w:type="dxa" w:w="2400"/>
            <w:shd w:fill="0B4A36" w:color="auto" w:val="clear"/>
            <w:tcMar>
              <w:top w:type="dxa" w:w="80"/>
              <w:left w:type="dxa" w:w="120"/>
              <w:bottom w:type="dxa" w:w="80"/>
              <w:right w:type="dxa" w:w="120"/>
            </w:tcMar>
          </w:tcPr>
          <w:p>
            <w:pPr>
              <w:spacing w:after="0" w:line="260"/>
            </w:pPr>
            <w:r>
              <w:rPr>
                <w:b/>
                <w:bCs/>
                <w:color w:val="FFFFFF"/>
                <w:sz w:val="22"/>
                <w:szCs w:val="22"/>
              </w:rPr>
              <w:t xml:space="preserve">What changed</w:t>
            </w:r>
          </w:p>
        </w:tc>
      </w:tr>
      <w:tr>
        <w:tc>
          <w:tcPr>
            <w:tcW w:type="dxa" w:w="2800"/>
            <w:tcMar>
              <w:top w:type="dxa" w:w="80"/>
              <w:left w:type="dxa" w:w="120"/>
              <w:bottom w:type="dxa" w:w="80"/>
              <w:right w:type="dxa" w:w="120"/>
            </w:tcMar>
          </w:tcPr>
          <w:p>
            <w:pPr>
              <w:spacing w:after="0" w:line="264"/>
            </w:pPr>
            <w:r>
              <w:rPr>
                <w:color w:val="141414"/>
                <w:sz w:val="22"/>
                <w:szCs w:val="22"/>
              </w:rPr>
              <w:t xml:space="preserve">Pilot (manual + AI)</w:t>
            </w:r>
          </w:p>
        </w:tc>
        <w:tc>
          <w:tcPr>
            <w:tcW w:type="dxa" w:w="2000"/>
            <w:tcMar>
              <w:top w:type="dxa" w:w="80"/>
              <w:left w:type="dxa" w:w="120"/>
              <w:bottom w:type="dxa" w:w="80"/>
              <w:right w:type="dxa" w:w="120"/>
            </w:tcMar>
          </w:tcPr>
          <w:p>
            <w:pPr>
              <w:spacing w:after="0" w:line="264"/>
            </w:pPr>
            <w:r>
              <w:rPr>
                <w:color w:val="141414"/>
                <w:sz w:val="22"/>
                <w:szCs w:val="22"/>
              </w:rPr>
              <w:t xml:space="preserve">~60</w:t>
            </w:r>
          </w:p>
        </w:tc>
        <w:tc>
          <w:tcPr>
            <w:tcW w:type="dxa" w:w="2160"/>
            <w:tcMar>
              <w:top w:type="dxa" w:w="80"/>
              <w:left w:type="dxa" w:w="120"/>
              <w:bottom w:type="dxa" w:w="80"/>
              <w:right w:type="dxa" w:w="120"/>
            </w:tcMar>
          </w:tcPr>
          <w:p>
            <w:pPr>
              <w:spacing w:after="0" w:line="264"/>
            </w:pPr>
            <w:r>
              <w:rPr>
                <w:color w:val="141414"/>
                <w:sz w:val="22"/>
                <w:szCs w:val="22"/>
              </w:rPr>
              <w:t xml:space="preserve">Thin</w:t>
            </w:r>
          </w:p>
        </w:tc>
        <w:tc>
          <w:tcPr>
            <w:tcW w:type="dxa" w:w="2400"/>
            <w:tcMar>
              <w:top w:type="dxa" w:w="80"/>
              <w:left w:type="dxa" w:w="120"/>
              <w:bottom w:type="dxa" w:w="80"/>
              <w:right w:type="dxa" w:w="120"/>
            </w:tcMar>
          </w:tcPr>
          <w:p>
            <w:pPr>
              <w:spacing w:after="0" w:line="264"/>
            </w:pPr>
            <w:r>
              <w:rPr>
                <w:color w:val="141414"/>
                <w:sz w:val="22"/>
                <w:szCs w:val="22"/>
              </w:rPr>
              <w:t xml:space="preserve">Everything done by hand</w:t>
            </w:r>
          </w:p>
        </w:tc>
      </w:tr>
      <w:tr>
        <w:tc>
          <w:tcPr>
            <w:tcW w:type="dxa" w:w="2800"/>
            <w:shd w:fill="F2F6F4" w:color="auto" w:val="clear"/>
            <w:tcMar>
              <w:top w:type="dxa" w:w="80"/>
              <w:left w:type="dxa" w:w="120"/>
              <w:bottom w:type="dxa" w:w="80"/>
              <w:right w:type="dxa" w:w="120"/>
            </w:tcMar>
          </w:tcPr>
          <w:p>
            <w:pPr>
              <w:spacing w:after="0" w:line="264"/>
            </w:pPr>
            <w:r>
              <w:rPr>
                <w:color w:val="141414"/>
                <w:sz w:val="22"/>
                <w:szCs w:val="22"/>
              </w:rPr>
              <w:t xml:space="preserve">Gate target</w:t>
            </w:r>
          </w:p>
        </w:tc>
        <w:tc>
          <w:tcPr>
            <w:tcW w:type="dxa" w:w="2000"/>
            <w:shd w:fill="F2F6F4" w:color="auto" w:val="clear"/>
            <w:tcMar>
              <w:top w:type="dxa" w:w="80"/>
              <w:left w:type="dxa" w:w="120"/>
              <w:bottom w:type="dxa" w:w="80"/>
              <w:right w:type="dxa" w:w="120"/>
            </w:tcMar>
          </w:tcPr>
          <w:p>
            <w:pPr>
              <w:spacing w:after="0" w:line="264"/>
            </w:pPr>
            <w:r>
              <w:rPr>
                <w:color w:val="141414"/>
                <w:sz w:val="22"/>
                <w:szCs w:val="22"/>
              </w:rPr>
              <w:t xml:space="preserve">&lt; 20</w:t>
            </w:r>
          </w:p>
        </w:tc>
        <w:tc>
          <w:tcPr>
            <w:tcW w:type="dxa" w:w="2160"/>
            <w:shd w:fill="F2F6F4" w:color="auto" w:val="clear"/>
            <w:tcMar>
              <w:top w:type="dxa" w:w="80"/>
              <w:left w:type="dxa" w:w="120"/>
              <w:bottom w:type="dxa" w:w="80"/>
              <w:right w:type="dxa" w:w="120"/>
            </w:tcMar>
          </w:tcPr>
          <w:p>
            <w:pPr>
              <w:spacing w:after="0" w:line="264"/>
            </w:pPr>
            <w:r>
              <w:rPr>
                <w:color w:val="141414"/>
                <w:sz w:val="22"/>
                <w:szCs w:val="22"/>
              </w:rPr>
              <w:t xml:space="preserve">~70%</w:t>
            </w:r>
          </w:p>
        </w:tc>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Detection fully automated</w:t>
            </w:r>
          </w:p>
        </w:tc>
      </w:tr>
      <w:tr>
        <w:tc>
          <w:tcPr>
            <w:tcW w:type="dxa" w:w="2800"/>
            <w:tcMar>
              <w:top w:type="dxa" w:w="80"/>
              <w:left w:type="dxa" w:w="120"/>
              <w:bottom w:type="dxa" w:w="80"/>
              <w:right w:type="dxa" w:w="120"/>
            </w:tcMar>
          </w:tcPr>
          <w:p>
            <w:pPr>
              <w:spacing w:after="0" w:line="264"/>
            </w:pPr>
            <w:r>
              <w:rPr>
                <w:b/>
                <w:bCs/>
                <w:i w:val="false"/>
                <w:iCs w:val="false"/>
                <w:color w:val="141414"/>
                <w:sz w:val="22"/>
                <w:szCs w:val="22"/>
              </w:rPr>
              <w:t xml:space="preserve">“Hell yes”</w:t>
            </w:r>
          </w:p>
        </w:tc>
        <w:tc>
          <w:tcPr>
            <w:tcW w:type="dxa" w:w="2000"/>
            <w:tcMar>
              <w:top w:type="dxa" w:w="80"/>
              <w:left w:type="dxa" w:w="120"/>
              <w:bottom w:type="dxa" w:w="80"/>
              <w:right w:type="dxa" w:w="120"/>
            </w:tcMar>
          </w:tcPr>
          <w:p>
            <w:pPr>
              <w:spacing w:after="0" w:line="264"/>
            </w:pPr>
            <w:r>
              <w:rPr>
                <w:color w:val="141414"/>
                <w:sz w:val="22"/>
                <w:szCs w:val="22"/>
              </w:rPr>
              <w:t xml:space="preserve">&lt; 5</w:t>
            </w:r>
          </w:p>
        </w:tc>
        <w:tc>
          <w:tcPr>
            <w:tcW w:type="dxa" w:w="2160"/>
            <w:tcMar>
              <w:top w:type="dxa" w:w="80"/>
              <w:left w:type="dxa" w:w="120"/>
              <w:bottom w:type="dxa" w:w="80"/>
              <w:right w:type="dxa" w:w="120"/>
            </w:tcMar>
          </w:tcPr>
          <w:p>
            <w:pPr>
              <w:spacing w:after="0" w:line="264"/>
            </w:pPr>
            <w:r>
              <w:rPr>
                <w:color w:val="141414"/>
                <w:sz w:val="22"/>
                <w:szCs w:val="22"/>
              </w:rPr>
            </w:r>
          </w:p>
        </w:tc>
        <w:tc>
          <w:tcPr>
            <w:tcW w:type="dxa" w:w="2400"/>
            <w:tcMar>
              <w:top w:type="dxa" w:w="80"/>
              <w:left w:type="dxa" w:w="120"/>
              <w:bottom w:type="dxa" w:w="80"/>
              <w:right w:type="dxa" w:w="120"/>
            </w:tcMar>
          </w:tcPr>
          <w:p>
            <w:pPr>
              <w:spacing w:after="0" w:line="264"/>
            </w:pPr>
            <w:r>
              <w:rPr>
                <w:color w:val="141414"/>
                <w:sz w:val="22"/>
                <w:szCs w:val="22"/>
              </w:rPr>
              <w:t xml:space="preserve">Auto-detect, AI-drafted, human approves in batches</w:t>
            </w:r>
          </w:p>
        </w:tc>
      </w:tr>
    </w:tbl>
    <w:p>
      <w:pPr>
        <w:spacing w:after="60"/>
      </w:pPr>
      <w:r>
        <w:t xml:space="preserve"/>
      </w:r>
    </w:p>
    <w:p>
      <w:r>
        <w:t xml:space="preserve">Per qualified seller (R$300k+/mo GMV): a historical audit typically yields a R$15k–40k confirmed lump (a R$3k–10k one-time fee), and a continuous run-rate of R$3k–8k/mo recovered translates to roughly R$1,940–2,690/month (R$1,490 base + 15%). At under five minutes per case, one operator clears about 100 cases/hour, so confirmed credits per human hour scale an order of magnitude above the pilot. That ratio, not headcount, is the business.</w:t>
      </w:r>
    </w:p>
    <w:p>
      <w:pPr>
        <w:pStyle w:val="Heading3"/>
      </w:pPr>
      <w:r>
        <w:t xml:space="preserve">Owner-income target</w:t>
      </w:r>
    </w:p>
    <w:p>
      <w:r>
        <w:t xml:space="preserve">An owner operating income of about R$50,000/month implies roughly R$70,000–80,000/month in company revenue (after taxes, partner commissions, tools, and staffing), which at a 25% fee implies about R$280,000–320,000/month in confirmed client recoveries — reachable via, for example, 15 sellers averaging R$20k, 20 averaging R$15k, or 30 averaging R$10k. These are targets to validate, not forecasts.</w:t>
      </w:r>
    </w:p>
    <w:p>
      <w:pPr>
        <w:pStyle w:val="Heading3"/>
      </w:pPr>
      <w:r>
        <w:t xml:space="preserve">Acquisition cost by channel</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3400"/>
        <w:gridCol w:w="1900"/>
        <w:gridCol w:w="1660"/>
        <w:gridCol w:w="2400"/>
      </w:tblGrid>
      <w:tr>
        <w:trPr>
          <w:tblHeader/>
        </w:trPr>
        <w:tc>
          <w:tcPr>
            <w:tcW w:type="dxa" w:w="3400"/>
            <w:shd w:fill="0B4A36" w:color="auto" w:val="clear"/>
            <w:tcMar>
              <w:top w:type="dxa" w:w="80"/>
              <w:left w:type="dxa" w:w="120"/>
              <w:bottom w:type="dxa" w:w="80"/>
              <w:right w:type="dxa" w:w="120"/>
            </w:tcMar>
          </w:tcPr>
          <w:p>
            <w:pPr>
              <w:spacing w:after="0" w:line="260"/>
            </w:pPr>
            <w:r>
              <w:rPr>
                <w:b/>
                <w:bCs/>
                <w:color w:val="FFFFFF"/>
                <w:sz w:val="22"/>
                <w:szCs w:val="22"/>
              </w:rPr>
              <w:t xml:space="preserve">Channel</w:t>
            </w:r>
          </w:p>
        </w:tc>
        <w:tc>
          <w:tcPr>
            <w:tcW w:type="dxa" w:w="1900"/>
            <w:shd w:fill="0B4A36" w:color="auto" w:val="clear"/>
            <w:tcMar>
              <w:top w:type="dxa" w:w="80"/>
              <w:left w:type="dxa" w:w="120"/>
              <w:bottom w:type="dxa" w:w="80"/>
              <w:right w:type="dxa" w:w="120"/>
            </w:tcMar>
          </w:tcPr>
          <w:p>
            <w:pPr>
              <w:spacing w:after="0" w:line="260"/>
            </w:pPr>
            <w:r>
              <w:rPr>
                <w:b/>
                <w:bCs/>
                <w:color w:val="FFFFFF"/>
                <w:sz w:val="22"/>
                <w:szCs w:val="22"/>
              </w:rPr>
              <w:t xml:space="preserve">CAC / seller</w:t>
            </w:r>
          </w:p>
        </w:tc>
        <w:tc>
          <w:tcPr>
            <w:tcW w:type="dxa" w:w="1660"/>
            <w:shd w:fill="0B4A36" w:color="auto" w:val="clear"/>
            <w:tcMar>
              <w:top w:type="dxa" w:w="80"/>
              <w:left w:type="dxa" w:w="120"/>
              <w:bottom w:type="dxa" w:w="80"/>
              <w:right w:type="dxa" w:w="120"/>
            </w:tcMar>
          </w:tcPr>
          <w:p>
            <w:pPr>
              <w:spacing w:after="0" w:line="260"/>
            </w:pPr>
            <w:r>
              <w:rPr>
                <w:b/>
                <w:bCs/>
                <w:color w:val="FFFFFF"/>
                <w:sz w:val="22"/>
                <w:szCs w:val="22"/>
              </w:rPr>
              <w:t xml:space="preserve">Speed</w:t>
            </w:r>
          </w:p>
        </w:tc>
        <w:tc>
          <w:tcPr>
            <w:tcW w:type="dxa" w:w="2400"/>
            <w:shd w:fill="0B4A36" w:color="auto" w:val="clear"/>
            <w:tcMar>
              <w:top w:type="dxa" w:w="80"/>
              <w:left w:type="dxa" w:w="120"/>
              <w:bottom w:type="dxa" w:w="80"/>
              <w:right w:type="dxa" w:w="120"/>
            </w:tcMar>
          </w:tcPr>
          <w:p>
            <w:pPr>
              <w:spacing w:after="0" w:line="260"/>
            </w:pPr>
            <w:r>
              <w:rPr>
                <w:b/>
                <w:bCs/>
                <w:color w:val="FFFFFF"/>
                <w:sz w:val="22"/>
                <w:szCs w:val="22"/>
              </w:rPr>
              <w:t xml:space="preserve">Ceiling</w:t>
            </w:r>
          </w:p>
        </w:tc>
      </w:tr>
      <w:tr>
        <w:tc>
          <w:tcPr>
            <w:tcW w:type="dxa" w:w="3400"/>
            <w:tcMar>
              <w:top w:type="dxa" w:w="80"/>
              <w:left w:type="dxa" w:w="120"/>
              <w:bottom w:type="dxa" w:w="80"/>
              <w:right w:type="dxa" w:w="120"/>
            </w:tcMar>
          </w:tcPr>
          <w:p>
            <w:pPr>
              <w:spacing w:after="0" w:line="264"/>
            </w:pPr>
            <w:r>
              <w:rPr>
                <w:color w:val="141414"/>
                <w:sz w:val="22"/>
                <w:szCs w:val="22"/>
              </w:rPr>
              <w:t xml:space="preserve">Direct outbound</w:t>
            </w:r>
          </w:p>
        </w:tc>
        <w:tc>
          <w:tcPr>
            <w:tcW w:type="dxa" w:w="1900"/>
            <w:tcMar>
              <w:top w:type="dxa" w:w="80"/>
              <w:left w:type="dxa" w:w="120"/>
              <w:bottom w:type="dxa" w:w="80"/>
              <w:right w:type="dxa" w:w="120"/>
            </w:tcMar>
          </w:tcPr>
          <w:p>
            <w:pPr>
              <w:spacing w:after="0" w:line="264"/>
            </w:pPr>
            <w:r>
              <w:rPr>
                <w:color w:val="141414"/>
                <w:sz w:val="22"/>
                <w:szCs w:val="22"/>
              </w:rPr>
              <w:t xml:space="preserve">R$2–4k</w:t>
            </w:r>
          </w:p>
        </w:tc>
        <w:tc>
          <w:tcPr>
            <w:tcW w:type="dxa" w:w="1660"/>
            <w:tcMar>
              <w:top w:type="dxa" w:w="80"/>
              <w:left w:type="dxa" w:w="120"/>
              <w:bottom w:type="dxa" w:w="80"/>
              <w:right w:type="dxa" w:w="120"/>
            </w:tcMar>
          </w:tcPr>
          <w:p>
            <w:pPr>
              <w:spacing w:after="0" w:line="264"/>
            </w:pPr>
            <w:r>
              <w:rPr>
                <w:color w:val="141414"/>
                <w:sz w:val="22"/>
                <w:szCs w:val="22"/>
              </w:rPr>
              <w:t xml:space="preserve">Slow</w:t>
            </w:r>
          </w:p>
        </w:tc>
        <w:tc>
          <w:tcPr>
            <w:tcW w:type="dxa" w:w="2400"/>
            <w:tcMar>
              <w:top w:type="dxa" w:w="80"/>
              <w:left w:type="dxa" w:w="120"/>
              <w:bottom w:type="dxa" w:w="80"/>
              <w:right w:type="dxa" w:w="120"/>
            </w:tcMar>
          </w:tcPr>
          <w:p>
            <w:pPr>
              <w:spacing w:after="0" w:line="264"/>
            </w:pPr>
            <w:r>
              <w:rPr>
                <w:color w:val="141414"/>
                <w:sz w:val="22"/>
                <w:szCs w:val="22"/>
              </w:rPr>
              <w:t xml:space="preserve">Founder-bound</w:t>
            </w:r>
          </w:p>
        </w:tc>
      </w:tr>
      <w:tr>
        <w:tc>
          <w:tcPr>
            <w:tcW w:type="dxa" w:w="3400"/>
            <w:shd w:fill="F2F6F4" w:color="auto" w:val="clear"/>
            <w:tcMar>
              <w:top w:type="dxa" w:w="80"/>
              <w:left w:type="dxa" w:w="120"/>
              <w:bottom w:type="dxa" w:w="80"/>
              <w:right w:type="dxa" w:w="120"/>
            </w:tcMar>
          </w:tcPr>
          <w:p>
            <w:pPr>
              <w:spacing w:after="0" w:line="264"/>
            </w:pPr>
            <w:r>
              <w:rPr>
                <w:color w:val="141414"/>
                <w:sz w:val="22"/>
                <w:szCs w:val="22"/>
              </w:rPr>
              <w:t xml:space="preserve">Inbound content</w:t>
            </w:r>
          </w:p>
        </w:tc>
        <w:tc>
          <w:tcPr>
            <w:tcW w:type="dxa" w:w="1900"/>
            <w:shd w:fill="F2F6F4" w:color="auto" w:val="clear"/>
            <w:tcMar>
              <w:top w:type="dxa" w:w="80"/>
              <w:left w:type="dxa" w:w="120"/>
              <w:bottom w:type="dxa" w:w="80"/>
              <w:right w:type="dxa" w:w="120"/>
            </w:tcMar>
          </w:tcPr>
          <w:p>
            <w:pPr>
              <w:spacing w:after="0" w:line="264"/>
            </w:pPr>
            <w:r>
              <w:rPr>
                <w:color w:val="141414"/>
                <w:sz w:val="22"/>
                <w:szCs w:val="22"/>
              </w:rPr>
              <w:t xml:space="preserve">R$800–1,500</w:t>
            </w:r>
          </w:p>
        </w:tc>
        <w:tc>
          <w:tcPr>
            <w:tcW w:type="dxa" w:w="1660"/>
            <w:shd w:fill="F2F6F4" w:color="auto" w:val="clear"/>
            <w:tcMar>
              <w:top w:type="dxa" w:w="80"/>
              <w:left w:type="dxa" w:w="120"/>
              <w:bottom w:type="dxa" w:w="80"/>
              <w:right w:type="dxa" w:w="120"/>
            </w:tcMar>
          </w:tcPr>
          <w:p>
            <w:pPr>
              <w:spacing w:after="0" w:line="264"/>
            </w:pPr>
            <w:r>
              <w:rPr>
                <w:color w:val="141414"/>
                <w:sz w:val="22"/>
                <w:szCs w:val="22"/>
              </w:rPr>
              <w:t xml:space="preserve">Medium</w:t>
            </w:r>
          </w:p>
        </w:tc>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Brand-dependent</w:t>
            </w:r>
          </w:p>
        </w:tc>
      </w:tr>
      <w:tr>
        <w:tc>
          <w:tcPr>
            <w:tcW w:type="dxa" w:w="3400"/>
            <w:tcMar>
              <w:top w:type="dxa" w:w="80"/>
              <w:left w:type="dxa" w:w="120"/>
              <w:bottom w:type="dxa" w:w="80"/>
              <w:right w:type="dxa" w:w="120"/>
            </w:tcMar>
          </w:tcPr>
          <w:p>
            <w:pPr>
              <w:spacing w:after="0" w:line="264"/>
            </w:pPr>
            <w:r>
              <w:rPr>
                <w:b/>
                <w:bCs/>
                <w:i w:val="false"/>
                <w:iCs w:val="false"/>
                <w:color w:val="141414"/>
                <w:sz w:val="22"/>
                <w:szCs w:val="22"/>
              </w:rPr>
              <w:t xml:space="preserve">White-label (agencies/ERPs/3PLs)</w:t>
            </w:r>
          </w:p>
        </w:tc>
        <w:tc>
          <w:tcPr>
            <w:tcW w:type="dxa" w:w="1900"/>
            <w:tcMar>
              <w:top w:type="dxa" w:w="80"/>
              <w:left w:type="dxa" w:w="120"/>
              <w:bottom w:type="dxa" w:w="80"/>
              <w:right w:type="dxa" w:w="120"/>
            </w:tcMar>
          </w:tcPr>
          <w:p>
            <w:pPr>
              <w:spacing w:after="0" w:line="264"/>
            </w:pPr>
            <w:r>
              <w:rPr>
                <w:color w:val="141414"/>
                <w:sz w:val="22"/>
                <w:szCs w:val="22"/>
              </w:rPr>
            </w:r>
          </w:p>
        </w:tc>
        <w:tc>
          <w:tcPr>
            <w:tcW w:type="dxa" w:w="1660"/>
            <w:tcMar>
              <w:top w:type="dxa" w:w="80"/>
              <w:left w:type="dxa" w:w="120"/>
              <w:bottom w:type="dxa" w:w="80"/>
              <w:right w:type="dxa" w:w="120"/>
            </w:tcMar>
          </w:tcPr>
          <w:p>
            <w:pPr>
              <w:spacing w:after="0" w:line="264"/>
            </w:pPr>
            <w:r>
              <w:rPr>
                <w:color w:val="141414"/>
                <w:sz w:val="22"/>
                <w:szCs w:val="22"/>
              </w:rPr>
              <w:t xml:space="preserve">Fast</w:t>
            </w:r>
          </w:p>
        </w:tc>
        <w:tc>
          <w:tcPr>
            <w:tcW w:type="dxa" w:w="2400"/>
            <w:tcMar>
              <w:top w:type="dxa" w:w="80"/>
              <w:left w:type="dxa" w:w="120"/>
              <w:bottom w:type="dxa" w:w="80"/>
              <w:right w:type="dxa" w:w="120"/>
            </w:tcMar>
          </w:tcPr>
          <w:p>
            <w:pPr>
              <w:spacing w:after="0" w:line="264"/>
            </w:pPr>
            <w:r>
              <w:rPr>
                <w:color w:val="141414"/>
                <w:sz w:val="22"/>
                <w:szCs w:val="22"/>
              </w:rPr>
              <w:t xml:space="preserve">One deal = a whole portfolio</w:t>
            </w:r>
          </w:p>
        </w:tc>
      </w:tr>
    </w:tbl>
    <w:p>
      <w:pPr>
        <w:spacing w:after="60"/>
      </w:pPr>
      <w:r>
        <w:t xml:space="preserve"/>
      </w:r>
    </w:p>
    <w:p>
      <w:r>
        <w:t xml:space="preserve">One ERP, accountant, or 3PL partner unlocks 50–500 pre-qualified sellers with warm trust and near-zero per-seller sales cost. VOLTA nets less per seller but with zero acquisition cost and no front-line support. The agency channel is the acquisition engine; direct sales exists mainly to generate the case-study proof that closes partners.</w:t>
      </w:r>
    </w:p>
    <w:p>
      <w:pPr>
        <w:pStyle w:val="Heading3"/>
      </w:pPr>
      <w:r>
        <w:t xml:space="preserve">Market size — a realistic bottom-up estimate</w:t>
      </w:r>
    </w:p>
    <w:p>
      <w:r>
        <w:t xml:space="preserve">Mercado Livre is the dominant marketplace in Brazil, so the constraint is never raw demand; it is the serviceable slice after filters and, honestly, VOLTA’s own delivery capacity. The figures below are order-of-magnitude estimates to be tightened during the pilot, not researched market data.</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3400"/>
        <w:gridCol w:w="2000"/>
        <w:gridCol w:w="3960"/>
      </w:tblGrid>
      <w:tr>
        <w:trPr>
          <w:tblHeader/>
        </w:trPr>
        <w:tc>
          <w:tcPr>
            <w:tcW w:type="dxa" w:w="3400"/>
            <w:shd w:fill="0B4A36" w:color="auto" w:val="clear"/>
            <w:tcMar>
              <w:top w:type="dxa" w:w="80"/>
              <w:left w:type="dxa" w:w="120"/>
              <w:bottom w:type="dxa" w:w="80"/>
              <w:right w:type="dxa" w:w="120"/>
            </w:tcMar>
          </w:tcPr>
          <w:p>
            <w:pPr>
              <w:spacing w:after="0" w:line="260"/>
            </w:pPr>
            <w:r>
              <w:rPr>
                <w:b/>
                <w:bCs/>
                <w:color w:val="FFFFFF"/>
                <w:sz w:val="22"/>
                <w:szCs w:val="22"/>
              </w:rPr>
              <w:t xml:space="preserve">Layer</w:t>
            </w:r>
          </w:p>
        </w:tc>
        <w:tc>
          <w:tcPr>
            <w:tcW w:type="dxa" w:w="2000"/>
            <w:shd w:fill="0B4A36" w:color="auto" w:val="clear"/>
            <w:tcMar>
              <w:top w:type="dxa" w:w="80"/>
              <w:left w:type="dxa" w:w="120"/>
              <w:bottom w:type="dxa" w:w="80"/>
              <w:right w:type="dxa" w:w="120"/>
            </w:tcMar>
          </w:tcPr>
          <w:p>
            <w:pPr>
              <w:spacing w:after="0" w:line="260"/>
            </w:pPr>
            <w:r>
              <w:rPr>
                <w:b/>
                <w:bCs/>
                <w:color w:val="FFFFFF"/>
                <w:sz w:val="22"/>
                <w:szCs w:val="22"/>
              </w:rPr>
              <w:t xml:space="preserve">Sellers (est.)</w:t>
            </w:r>
          </w:p>
        </w:tc>
        <w:tc>
          <w:tcPr>
            <w:tcW w:type="dxa" w:w="3960"/>
            <w:shd w:fill="0B4A36" w:color="auto" w:val="clear"/>
            <w:tcMar>
              <w:top w:type="dxa" w:w="80"/>
              <w:left w:type="dxa" w:w="120"/>
              <w:bottom w:type="dxa" w:w="80"/>
              <w:right w:type="dxa" w:w="120"/>
            </w:tcMar>
          </w:tcPr>
          <w:p>
            <w:pPr>
              <w:spacing w:after="0" w:line="260"/>
            </w:pPr>
            <w:r>
              <w:rPr>
                <w:b/>
                <w:bCs/>
                <w:color w:val="FFFFFF"/>
                <w:sz w:val="22"/>
                <w:szCs w:val="22"/>
              </w:rPr>
              <w:t xml:space="preserve">Basis</w:t>
            </w:r>
          </w:p>
        </w:tc>
      </w:tr>
      <w:tr>
        <w:tc>
          <w:tcPr>
            <w:tcW w:type="dxa" w:w="3400"/>
            <w:tcMar>
              <w:top w:type="dxa" w:w="80"/>
              <w:left w:type="dxa" w:w="120"/>
              <w:bottom w:type="dxa" w:w="80"/>
              <w:right w:type="dxa" w:w="120"/>
            </w:tcMar>
          </w:tcPr>
          <w:p>
            <w:pPr>
              <w:spacing w:after="0" w:line="264"/>
            </w:pPr>
            <w:r>
              <w:rPr>
                <w:b/>
                <w:bCs/>
                <w:i w:val="false"/>
                <w:iCs w:val="false"/>
                <w:color w:val="141414"/>
                <w:sz w:val="22"/>
                <w:szCs w:val="22"/>
              </w:rPr>
              <w:t xml:space="preserve">TAM — Brazil professional ML sellers</w:t>
            </w:r>
          </w:p>
        </w:tc>
        <w:tc>
          <w:tcPr>
            <w:tcW w:type="dxa" w:w="2000"/>
            <w:tcMar>
              <w:top w:type="dxa" w:w="80"/>
              <w:left w:type="dxa" w:w="120"/>
              <w:bottom w:type="dxa" w:w="80"/>
              <w:right w:type="dxa" w:w="120"/>
            </w:tcMar>
          </w:tcPr>
          <w:p>
            <w:pPr>
              <w:spacing w:after="0" w:line="264"/>
            </w:pPr>
            <w:r>
              <w:rPr>
                <w:color w:val="141414"/>
                <w:sz w:val="22"/>
                <w:szCs w:val="22"/>
              </w:rPr>
              <w:t xml:space="preserve">150k–300k+</w:t>
            </w:r>
          </w:p>
        </w:tc>
        <w:tc>
          <w:tcPr>
            <w:tcW w:type="dxa" w:w="3960"/>
            <w:tcMar>
              <w:top w:type="dxa" w:w="80"/>
              <w:left w:type="dxa" w:w="120"/>
              <w:bottom w:type="dxa" w:w="80"/>
              <w:right w:type="dxa" w:w="120"/>
            </w:tcMar>
          </w:tcPr>
          <w:p>
            <w:pPr>
              <w:spacing w:after="0" w:line="264"/>
            </w:pPr>
            <w:r>
              <w:rPr>
                <w:color w:val="141414"/>
                <w:sz w:val="22"/>
                <w:szCs w:val="22"/>
              </w:rPr>
              <w:t xml:space="preserve">Professional/business accounts on Mercado Livre Brazil</w:t>
            </w:r>
          </w:p>
        </w:tc>
      </w:tr>
      <w:tr>
        <w:tc>
          <w:tcPr>
            <w:tcW w:type="dxa" w:w="34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Full sellers at meaningful scale</w:t>
            </w:r>
          </w:p>
        </w:tc>
        <w:tc>
          <w:tcPr>
            <w:tcW w:type="dxa" w:w="2000"/>
            <w:shd w:fill="F2F6F4" w:color="auto" w:val="clear"/>
            <w:tcMar>
              <w:top w:type="dxa" w:w="80"/>
              <w:left w:type="dxa" w:w="120"/>
              <w:bottom w:type="dxa" w:w="80"/>
              <w:right w:type="dxa" w:w="120"/>
            </w:tcMar>
          </w:tcPr>
          <w:p>
            <w:pPr>
              <w:spacing w:after="0" w:line="264"/>
            </w:pPr>
            <w:r>
              <w:rPr>
                <w:color w:val="141414"/>
                <w:sz w:val="22"/>
                <w:szCs w:val="22"/>
              </w:rPr>
              <w:t xml:space="preserve">20k–40k</w:t>
            </w:r>
          </w:p>
        </w:tc>
        <w:tc>
          <w:tcPr>
            <w:tcW w:type="dxa" w:w="3960"/>
            <w:shd w:fill="F2F6F4" w:color="auto" w:val="clear"/>
            <w:tcMar>
              <w:top w:type="dxa" w:w="80"/>
              <w:left w:type="dxa" w:w="120"/>
              <w:bottom w:type="dxa" w:w="80"/>
              <w:right w:type="dxa" w:w="120"/>
            </w:tcMar>
          </w:tcPr>
          <w:p>
            <w:pPr>
              <w:spacing w:after="0" w:line="264"/>
            </w:pPr>
            <w:r>
              <w:rPr>
                <w:color w:val="141414"/>
                <w:sz w:val="22"/>
                <w:szCs w:val="22"/>
              </w:rPr>
              <w:t xml:space="preserve">Use Mercado Envios Full and clear ~R$300k/mo GMV or ~R$250k Full inventory</w:t>
            </w:r>
          </w:p>
        </w:tc>
      </w:tr>
      <w:tr>
        <w:tc>
          <w:tcPr>
            <w:tcW w:type="dxa" w:w="3400"/>
            <w:tcMar>
              <w:top w:type="dxa" w:w="80"/>
              <w:left w:type="dxa" w:w="120"/>
              <w:bottom w:type="dxa" w:w="80"/>
              <w:right w:type="dxa" w:w="120"/>
            </w:tcMar>
          </w:tcPr>
          <w:p>
            <w:pPr>
              <w:spacing w:after="0" w:line="264"/>
            </w:pPr>
            <w:r>
              <w:rPr>
                <w:b/>
                <w:bCs/>
                <w:i w:val="false"/>
                <w:iCs w:val="false"/>
                <w:color w:val="141414"/>
                <w:sz w:val="22"/>
                <w:szCs w:val="22"/>
              </w:rPr>
              <w:t xml:space="preserve">SAM — serviceable after filters</w:t>
            </w:r>
          </w:p>
        </w:tc>
        <w:tc>
          <w:tcPr>
            <w:tcW w:type="dxa" w:w="2000"/>
            <w:tcMar>
              <w:top w:type="dxa" w:w="80"/>
              <w:left w:type="dxa" w:w="120"/>
              <w:bottom w:type="dxa" w:w="80"/>
              <w:right w:type="dxa" w:w="120"/>
            </w:tcMar>
          </w:tcPr>
          <w:p>
            <w:pPr>
              <w:spacing w:after="0" w:line="264"/>
            </w:pPr>
            <w:r>
              <w:rPr>
                <w:color w:val="141414"/>
                <w:sz w:val="22"/>
                <w:szCs w:val="22"/>
              </w:rPr>
              <w:t xml:space="preserve">8k–20k</w:t>
            </w:r>
          </w:p>
        </w:tc>
        <w:tc>
          <w:tcPr>
            <w:tcW w:type="dxa" w:w="3960"/>
            <w:tcMar>
              <w:top w:type="dxa" w:w="80"/>
              <w:left w:type="dxa" w:w="120"/>
              <w:bottom w:type="dxa" w:w="80"/>
              <w:right w:type="dxa" w:w="120"/>
            </w:tcMar>
          </w:tcPr>
          <w:p>
            <w:pPr>
              <w:spacing w:after="0" w:line="264"/>
            </w:pPr>
            <w:r>
              <w:rPr>
                <w:color w:val="141414"/>
                <w:sz w:val="22"/>
                <w:szCs w:val="22"/>
              </w:rPr>
              <w:t xml:space="preserve">Also keep NF-e XML, are not Model-6, and have real claim/return volume</w:t>
            </w:r>
          </w:p>
        </w:tc>
      </w:tr>
      <w:tr>
        <w:tc>
          <w:tcPr>
            <w:tcW w:type="dxa" w:w="34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SOM — a credible early beachhead</w:t>
            </w:r>
          </w:p>
        </w:tc>
        <w:tc>
          <w:tcPr>
            <w:tcW w:type="dxa" w:w="2000"/>
            <w:shd w:fill="F2F6F4" w:color="auto" w:val="clear"/>
            <w:tcMar>
              <w:top w:type="dxa" w:w="80"/>
              <w:left w:type="dxa" w:w="120"/>
              <w:bottom w:type="dxa" w:w="80"/>
              <w:right w:type="dxa" w:w="120"/>
            </w:tcMar>
          </w:tcPr>
          <w:p>
            <w:pPr>
              <w:spacing w:after="0" w:line="264"/>
            </w:pPr>
            <w:r>
              <w:rPr>
                <w:color w:val="141414"/>
                <w:sz w:val="22"/>
                <w:szCs w:val="22"/>
              </w:rPr>
              <w:t xml:space="preserve">300–1,500</w:t>
            </w:r>
          </w:p>
        </w:tc>
        <w:tc>
          <w:tcPr>
            <w:tcW w:type="dxa" w:w="3960"/>
            <w:shd w:fill="F2F6F4" w:color="auto" w:val="clear"/>
            <w:tcMar>
              <w:top w:type="dxa" w:w="80"/>
              <w:left w:type="dxa" w:w="120"/>
              <w:bottom w:type="dxa" w:w="80"/>
              <w:right w:type="dxa" w:w="120"/>
            </w:tcMar>
          </w:tcPr>
          <w:p>
            <w:pPr>
              <w:spacing w:after="0" w:line="264"/>
            </w:pPr>
            <w:r>
              <w:rPr>
                <w:color w:val="141414"/>
                <w:sz w:val="22"/>
                <w:szCs w:val="22"/>
              </w:rPr>
              <w:t xml:space="preserve">2–8% of SAM over the first ~24 months, direct + first partners</w:t>
            </w:r>
          </w:p>
        </w:tc>
      </w:tr>
    </w:tbl>
    <w:p>
      <w:pPr>
        <w:spacing w:after="60"/>
      </w:pPr>
      <w:r>
        <w:t xml:space="preserve"/>
      </w:r>
    </w:p>
    <w:p>
      <w:r>
        <w:t xml:space="preserve">The economic weight of that beachhead is large because revenue per seller is high for this kind of service: a continuous seller is worth roughly R$1,940–2,690/month plus periodic historical lumps — call it ~R$25k–35k of VOLTA revenue per seller per year, blended. That means the direct-Brazil business alone reaches meaningful scale at modest seller counts:</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600"/>
        <w:gridCol w:w="3200"/>
        <w:gridCol w:w="3560"/>
      </w:tblGrid>
      <w:tr>
        <w:trPr>
          <w:tblHeader/>
        </w:trPr>
        <w:tc>
          <w:tcPr>
            <w:tcW w:type="dxa" w:w="2600"/>
            <w:shd w:fill="0B4A36" w:color="auto" w:val="clear"/>
            <w:tcMar>
              <w:top w:type="dxa" w:w="80"/>
              <w:left w:type="dxa" w:w="120"/>
              <w:bottom w:type="dxa" w:w="80"/>
              <w:right w:type="dxa" w:w="120"/>
            </w:tcMar>
          </w:tcPr>
          <w:p>
            <w:pPr>
              <w:spacing w:after="0" w:line="260"/>
            </w:pPr>
            <w:r>
              <w:rPr>
                <w:b/>
                <w:bCs/>
                <w:color w:val="FFFFFF"/>
                <w:sz w:val="22"/>
                <w:szCs w:val="22"/>
              </w:rPr>
              <w:t xml:space="preserve">Active sellers</w:t>
            </w:r>
          </w:p>
        </w:tc>
        <w:tc>
          <w:tcPr>
            <w:tcW w:type="dxa" w:w="3200"/>
            <w:shd w:fill="0B4A36" w:color="auto" w:val="clear"/>
            <w:tcMar>
              <w:top w:type="dxa" w:w="80"/>
              <w:left w:type="dxa" w:w="120"/>
              <w:bottom w:type="dxa" w:w="80"/>
              <w:right w:type="dxa" w:w="120"/>
            </w:tcMar>
          </w:tcPr>
          <w:p>
            <w:pPr>
              <w:spacing w:after="0" w:line="260"/>
            </w:pPr>
            <w:r>
              <w:rPr>
                <w:b/>
                <w:bCs/>
                <w:color w:val="FFFFFF"/>
                <w:sz w:val="22"/>
                <w:szCs w:val="22"/>
              </w:rPr>
              <w:t xml:space="preserve">≈ VOLTA revenue / month</w:t>
            </w:r>
          </w:p>
        </w:tc>
        <w:tc>
          <w:tcPr>
            <w:tcW w:type="dxa" w:w="3560"/>
            <w:shd w:fill="0B4A36" w:color="auto" w:val="clear"/>
            <w:tcMar>
              <w:top w:type="dxa" w:w="80"/>
              <w:left w:type="dxa" w:w="120"/>
              <w:bottom w:type="dxa" w:w="80"/>
              <w:right w:type="dxa" w:w="120"/>
            </w:tcMar>
          </w:tcPr>
          <w:p>
            <w:pPr>
              <w:spacing w:after="0" w:line="260"/>
            </w:pPr>
            <w:r>
              <w:rPr>
                <w:b/>
                <w:bCs/>
                <w:color w:val="FFFFFF"/>
                <w:sz w:val="22"/>
                <w:szCs w:val="22"/>
              </w:rPr>
              <w:t xml:space="preserve">Reads as</w:t>
            </w:r>
          </w:p>
        </w:tc>
      </w:tr>
      <w:tr>
        <w:tc>
          <w:tcPr>
            <w:tcW w:type="dxa" w:w="2600"/>
            <w:tcMar>
              <w:top w:type="dxa" w:w="80"/>
              <w:left w:type="dxa" w:w="120"/>
              <w:bottom w:type="dxa" w:w="80"/>
              <w:right w:type="dxa" w:w="120"/>
            </w:tcMar>
          </w:tcPr>
          <w:p>
            <w:pPr>
              <w:spacing w:after="0" w:line="264"/>
            </w:pPr>
            <w:r>
              <w:rPr>
                <w:color w:val="141414"/>
                <w:sz w:val="22"/>
                <w:szCs w:val="22"/>
              </w:rPr>
              <w:t xml:space="preserve">25</w:t>
            </w:r>
          </w:p>
        </w:tc>
        <w:tc>
          <w:tcPr>
            <w:tcW w:type="dxa" w:w="3200"/>
            <w:tcMar>
              <w:top w:type="dxa" w:w="80"/>
              <w:left w:type="dxa" w:w="120"/>
              <w:bottom w:type="dxa" w:w="80"/>
              <w:right w:type="dxa" w:w="120"/>
            </w:tcMar>
          </w:tcPr>
          <w:p>
            <w:pPr>
              <w:spacing w:after="0" w:line="264"/>
            </w:pPr>
            <w:r>
              <w:rPr>
                <w:color w:val="141414"/>
                <w:sz w:val="22"/>
                <w:szCs w:val="22"/>
              </w:rPr>
              <w:t xml:space="preserve">R$50k–70k</w:t>
            </w:r>
          </w:p>
        </w:tc>
        <w:tc>
          <w:tcPr>
            <w:tcW w:type="dxa" w:w="3560"/>
            <w:tcMar>
              <w:top w:type="dxa" w:w="80"/>
              <w:left w:type="dxa" w:w="120"/>
              <w:bottom w:type="dxa" w:w="80"/>
              <w:right w:type="dxa" w:w="120"/>
            </w:tcMar>
          </w:tcPr>
          <w:p>
            <w:pPr>
              <w:spacing w:after="0" w:line="264"/>
            </w:pPr>
            <w:r>
              <w:rPr>
                <w:color w:val="141414"/>
                <w:sz w:val="22"/>
                <w:szCs w:val="22"/>
              </w:rPr>
              <w:t xml:space="preserve">Owner-income target met (Year 1 zone)</w:t>
            </w:r>
          </w:p>
        </w:tc>
      </w:tr>
      <w:tr>
        <w:tc>
          <w:tcPr>
            <w:tcW w:type="dxa" w:w="2600"/>
            <w:shd w:fill="F2F6F4" w:color="auto" w:val="clear"/>
            <w:tcMar>
              <w:top w:type="dxa" w:w="80"/>
              <w:left w:type="dxa" w:w="120"/>
              <w:bottom w:type="dxa" w:w="80"/>
              <w:right w:type="dxa" w:w="120"/>
            </w:tcMar>
          </w:tcPr>
          <w:p>
            <w:pPr>
              <w:spacing w:after="0" w:line="264"/>
            </w:pPr>
            <w:r>
              <w:rPr>
                <w:color w:val="141414"/>
                <w:sz w:val="22"/>
                <w:szCs w:val="22"/>
              </w:rPr>
              <w:t xml:space="preserve">150</w:t>
            </w:r>
          </w:p>
        </w:tc>
        <w:tc>
          <w:tcPr>
            <w:tcW w:type="dxa" w:w="3200"/>
            <w:shd w:fill="F2F6F4" w:color="auto" w:val="clear"/>
            <w:tcMar>
              <w:top w:type="dxa" w:w="80"/>
              <w:left w:type="dxa" w:w="120"/>
              <w:bottom w:type="dxa" w:w="80"/>
              <w:right w:type="dxa" w:w="120"/>
            </w:tcMar>
          </w:tcPr>
          <w:p>
            <w:pPr>
              <w:spacing w:after="0" w:line="264"/>
            </w:pPr>
            <w:r>
              <w:rPr>
                <w:color w:val="141414"/>
                <w:sz w:val="22"/>
                <w:szCs w:val="22"/>
              </w:rPr>
              <w:t xml:space="preserve">R$300k–400k</w:t>
            </w:r>
          </w:p>
        </w:tc>
        <w:tc>
          <w:tcPr>
            <w:tcW w:type="dxa" w:w="3560"/>
            <w:shd w:fill="F2F6F4" w:color="auto" w:val="clear"/>
            <w:tcMar>
              <w:top w:type="dxa" w:w="80"/>
              <w:left w:type="dxa" w:w="120"/>
              <w:bottom w:type="dxa" w:w="80"/>
              <w:right w:type="dxa" w:w="120"/>
            </w:tcMar>
          </w:tcPr>
          <w:p>
            <w:pPr>
              <w:spacing w:after="0" w:line="264"/>
            </w:pPr>
            <w:r>
              <w:rPr>
                <w:color w:val="141414"/>
                <w:sz w:val="22"/>
                <w:szCs w:val="22"/>
              </w:rPr>
              <w:t xml:space="preserve">A real company; first white-label partner live</w:t>
            </w:r>
          </w:p>
        </w:tc>
      </w:tr>
      <w:tr>
        <w:tc>
          <w:tcPr>
            <w:tcW w:type="dxa" w:w="2600"/>
            <w:tcMar>
              <w:top w:type="dxa" w:w="80"/>
              <w:left w:type="dxa" w:w="120"/>
              <w:bottom w:type="dxa" w:w="80"/>
              <w:right w:type="dxa" w:w="120"/>
            </w:tcMar>
          </w:tcPr>
          <w:p>
            <w:pPr>
              <w:spacing w:after="0" w:line="264"/>
            </w:pPr>
            <w:r>
              <w:rPr>
                <w:color w:val="141414"/>
                <w:sz w:val="22"/>
                <w:szCs w:val="22"/>
              </w:rPr>
              <w:t xml:space="preserve">500</w:t>
            </w:r>
          </w:p>
        </w:tc>
        <w:tc>
          <w:tcPr>
            <w:tcW w:type="dxa" w:w="3200"/>
            <w:tcMar>
              <w:top w:type="dxa" w:w="80"/>
              <w:left w:type="dxa" w:w="120"/>
              <w:bottom w:type="dxa" w:w="80"/>
              <w:right w:type="dxa" w:w="120"/>
            </w:tcMar>
          </w:tcPr>
          <w:p>
            <w:pPr>
              <w:spacing w:after="0" w:line="264"/>
            </w:pPr>
            <w:r>
              <w:rPr>
                <w:color w:val="141414"/>
                <w:sz w:val="22"/>
                <w:szCs w:val="22"/>
              </w:rPr>
              <w:t xml:space="preserve">R$1.0M–1.3M</w:t>
            </w:r>
          </w:p>
        </w:tc>
        <w:tc>
          <w:tcPr>
            <w:tcW w:type="dxa" w:w="3560"/>
            <w:tcMar>
              <w:top w:type="dxa" w:w="80"/>
              <w:left w:type="dxa" w:w="120"/>
              <w:bottom w:type="dxa" w:w="80"/>
              <w:right w:type="dxa" w:w="120"/>
            </w:tcMar>
          </w:tcPr>
          <w:p>
            <w:pPr>
              <w:spacing w:after="0" w:line="264"/>
            </w:pPr>
            <w:r>
              <w:rPr>
                <w:color w:val="141414"/>
                <w:sz w:val="22"/>
                <w:szCs w:val="22"/>
              </w:rPr>
              <w:t xml:space="preserve">Category leader in Brazil; multi-channel</w:t>
            </w:r>
          </w:p>
        </w:tc>
      </w:tr>
      <w:tr>
        <w:tc>
          <w:tcPr>
            <w:tcW w:type="dxa" w:w="26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2,000 (multi-market/country)</w:t>
            </w:r>
          </w:p>
        </w:tc>
        <w:tc>
          <w:tcPr>
            <w:tcW w:type="dxa" w:w="3200"/>
            <w:shd w:fill="F2F6F4" w:color="auto" w:val="clear"/>
            <w:tcMar>
              <w:top w:type="dxa" w:w="80"/>
              <w:left w:type="dxa" w:w="120"/>
              <w:bottom w:type="dxa" w:w="80"/>
              <w:right w:type="dxa" w:w="120"/>
            </w:tcMar>
          </w:tcPr>
          <w:p>
            <w:pPr>
              <w:spacing w:after="0" w:line="264"/>
            </w:pPr>
            <w:r>
              <w:rPr>
                <w:color w:val="141414"/>
                <w:sz w:val="22"/>
                <w:szCs w:val="22"/>
              </w:rPr>
            </w:r>
          </w:p>
        </w:tc>
        <w:tc>
          <w:tcPr>
            <w:tcW w:type="dxa" w:w="3560"/>
            <w:shd w:fill="F2F6F4" w:color="auto" w:val="clear"/>
            <w:tcMar>
              <w:top w:type="dxa" w:w="80"/>
              <w:left w:type="dxa" w:w="120"/>
              <w:bottom w:type="dxa" w:w="80"/>
              <w:right w:type="dxa" w:w="120"/>
            </w:tcMar>
          </w:tcPr>
          <w:p>
            <w:pPr>
              <w:spacing w:after="0" w:line="264"/>
            </w:pPr>
            <w:r>
              <w:rPr>
                <w:color w:val="141414"/>
                <w:sz w:val="22"/>
                <w:szCs w:val="22"/>
              </w:rPr>
              <w:t xml:space="preserve">Platform / rail economics</w:t>
            </w:r>
          </w:p>
        </w:tc>
      </w:tr>
    </w:tbl>
    <w:p>
      <w:pPr>
        <w:spacing w:after="60"/>
      </w:pPr>
      <w:r>
        <w:t xml:space="preserve"/>
      </w:r>
    </w:p>
    <w:p>
      <w:r>
        <w:t xml:space="preserve">The point is not the largest number; it is that VOLTA does not need thousands of customers to be a strong business — a few hundred well-served sellers already clears R$1M/month, and everything above that comes from the expansion ladder below rather than from grinding Brazilian direct sales.</w:t>
      </w:r>
    </w:p>
    <w:p>
      <w:pPr>
        <w:pStyle w:val="Heading3"/>
      </w:pPr>
      <w:r>
        <w:t xml:space="preserve">The expansion ladder — realistic and mostly free</w:t>
      </w:r>
    </w:p>
    <w:p>
      <w:r>
        <w:t xml:space="preserve">Each rung reuses the same engine, so expansion multiplies the market without rebuilding the product:</w:t>
      </w:r>
    </w:p>
    <w:p>
      <w:pPr>
        <w:spacing w:after="110" w:line="340"/>
        <w:ind w:left="360" w:hanging="360"/>
      </w:pPr>
      <w:r>
        <w:rPr>
          <w:b/>
          <w:bCs/>
          <w:color w:val="0A6E4C"/>
        </w:rPr>
        <w:t xml:space="preserve">1.  </w:t>
      </w:r>
      <w:r>
        <w:rPr>
          <w:b/>
          <w:bCs/>
        </w:rPr>
        <w:t xml:space="preserve">Both pools, one connect (now). </w:t>
      </w:r>
      <w:r>
        <w:t xml:space="preserve">Full logistics + Mercado Pago payments already double the recoverable value per Brazilian seller versus the FBA analog.</w:t>
      </w:r>
    </w:p>
    <w:p>
      <w:pPr>
        <w:spacing w:after="110" w:line="340"/>
        <w:ind w:left="360" w:hanging="360"/>
      </w:pPr>
      <w:r>
        <w:rPr>
          <w:b/>
          <w:bCs/>
          <w:color w:val="0A6E4C"/>
        </w:rPr>
        <w:t xml:space="preserve">2.  </w:t>
      </w:r>
      <w:r>
        <w:rPr>
          <w:b/>
          <w:bCs/>
        </w:rPr>
        <w:t xml:space="preserve">Multi-country Mercado Livre (same APIs). </w:t>
      </w:r>
      <w:r>
        <w:t xml:space="preserve">Mexico, Argentina, Chile, Colombia run the same platform and the same endpoints. The rules engine ports almost unchanged — Mexico alone is a market comparable to Brazil. This is the single highest-leverage expansion.</w:t>
      </w:r>
    </w:p>
    <w:p>
      <w:pPr>
        <w:spacing w:after="110" w:line="340"/>
        <w:ind w:left="360" w:hanging="360"/>
      </w:pPr>
      <w:r>
        <w:rPr>
          <w:b/>
          <w:bCs/>
          <w:color w:val="0A6E4C"/>
        </w:rPr>
        <w:t xml:space="preserve">3.  </w:t>
      </w:r>
      <w:r>
        <w:rPr>
          <w:b/>
          <w:bCs/>
        </w:rPr>
        <w:t xml:space="preserve">Multi-marketplace (adjacent, in-region). </w:t>
      </w:r>
      <w:r>
        <w:t xml:space="preserve">Amazon Brazil is literally the original FBA analog; Shopee and Magalu add more sellers. Each is a new connector on the same reconciliation core.</w:t>
      </w:r>
    </w:p>
    <w:p>
      <w:pPr>
        <w:spacing w:after="110" w:line="340"/>
        <w:ind w:left="360" w:hanging="360"/>
      </w:pPr>
      <w:r>
        <w:rPr>
          <w:b/>
          <w:bCs/>
          <w:color w:val="0A6E4C"/>
        </w:rPr>
        <w:t xml:space="preserve">4.  </w:t>
      </w:r>
      <w:r>
        <w:rPr>
          <w:b/>
          <w:bCs/>
        </w:rPr>
        <w:t xml:space="preserve">The white-label rail. </w:t>
      </w:r>
      <w:r>
        <w:t xml:space="preserve">ERPs, 3PLs, and accountants embed VOLTA and bring their portfolios. This turns expansion from a sales problem into a partnerships problem — far faster and cheaper.</w:t>
      </w:r>
    </w:p>
    <w:p>
      <w:r>
        <w:t xml:space="preserve">Realistically, only rungs 1–2 need to work for the R$1M+/month scenario; rungs 3–4 are the path from a strong company to a regional platform.</w:t>
      </w:r>
    </w:p>
    <w:p>
      <w:pPr>
        <w:pStyle w:val="Heading3"/>
      </w:pPr>
      <w:r>
        <w:t xml:space="preserve">Monthly-income scaling — a 36-month scenario</w:t>
      </w:r>
    </w:p>
    <w:p>
      <w:r>
        <w:t xml:space="preserve">A single illustrative path (targets to validate, not a forecast), assuming the pilot passes its go/no-go and human-minutes-per-case falls on schedule:</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1500"/>
        <w:gridCol w:w="2360"/>
        <w:gridCol w:w="1500"/>
        <w:gridCol w:w="2100"/>
        <w:gridCol w:w="1900"/>
      </w:tblGrid>
      <w:tr>
        <w:trPr>
          <w:tblHeader/>
        </w:trPr>
        <w:tc>
          <w:tcPr>
            <w:tcW w:type="dxa" w:w="1500"/>
            <w:shd w:fill="0B4A36" w:color="auto" w:val="clear"/>
            <w:tcMar>
              <w:top w:type="dxa" w:w="80"/>
              <w:left w:type="dxa" w:w="120"/>
              <w:bottom w:type="dxa" w:w="80"/>
              <w:right w:type="dxa" w:w="120"/>
            </w:tcMar>
          </w:tcPr>
          <w:p>
            <w:pPr>
              <w:spacing w:after="0" w:line="260"/>
            </w:pPr>
            <w:r>
              <w:rPr>
                <w:b/>
                <w:bCs/>
                <w:color w:val="FFFFFF"/>
                <w:sz w:val="22"/>
                <w:szCs w:val="22"/>
              </w:rPr>
              <w:t xml:space="preserve">Horizon</w:t>
            </w:r>
          </w:p>
        </w:tc>
        <w:tc>
          <w:tcPr>
            <w:tcW w:type="dxa" w:w="2360"/>
            <w:shd w:fill="0B4A36" w:color="auto" w:val="clear"/>
            <w:tcMar>
              <w:top w:type="dxa" w:w="80"/>
              <w:left w:type="dxa" w:w="120"/>
              <w:bottom w:type="dxa" w:w="80"/>
              <w:right w:type="dxa" w:w="120"/>
            </w:tcMar>
          </w:tcPr>
          <w:p>
            <w:pPr>
              <w:spacing w:after="0" w:line="260"/>
            </w:pPr>
            <w:r>
              <w:rPr>
                <w:b/>
                <w:bCs/>
                <w:color w:val="FFFFFF"/>
                <w:sz w:val="22"/>
                <w:szCs w:val="22"/>
              </w:rPr>
              <w:t xml:space="preserve">Focus</w:t>
            </w:r>
          </w:p>
        </w:tc>
        <w:tc>
          <w:tcPr>
            <w:tcW w:type="dxa" w:w="1500"/>
            <w:shd w:fill="0B4A36" w:color="auto" w:val="clear"/>
            <w:tcMar>
              <w:top w:type="dxa" w:w="80"/>
              <w:left w:type="dxa" w:w="120"/>
              <w:bottom w:type="dxa" w:w="80"/>
              <w:right w:type="dxa" w:w="120"/>
            </w:tcMar>
          </w:tcPr>
          <w:p>
            <w:pPr>
              <w:spacing w:after="0" w:line="260"/>
            </w:pPr>
            <w:r>
              <w:rPr>
                <w:b/>
                <w:bCs/>
                <w:color w:val="FFFFFF"/>
                <w:sz w:val="22"/>
                <w:szCs w:val="22"/>
              </w:rPr>
              <w:t xml:space="preserve">Active sellers</w:t>
            </w:r>
          </w:p>
        </w:tc>
        <w:tc>
          <w:tcPr>
            <w:tcW w:type="dxa" w:w="2100"/>
            <w:shd w:fill="0B4A36" w:color="auto" w:val="clear"/>
            <w:tcMar>
              <w:top w:type="dxa" w:w="80"/>
              <w:left w:type="dxa" w:w="120"/>
              <w:bottom w:type="dxa" w:w="80"/>
              <w:right w:type="dxa" w:w="120"/>
            </w:tcMar>
          </w:tcPr>
          <w:p>
            <w:pPr>
              <w:spacing w:after="0" w:line="260"/>
            </w:pPr>
            <w:r>
              <w:rPr>
                <w:b/>
                <w:bCs/>
                <w:color w:val="FFFFFF"/>
                <w:sz w:val="22"/>
                <w:szCs w:val="22"/>
              </w:rPr>
              <w:t xml:space="preserve">≈ Revenue / month</w:t>
            </w:r>
          </w:p>
        </w:tc>
        <w:tc>
          <w:tcPr>
            <w:tcW w:type="dxa" w:w="1900"/>
            <w:shd w:fill="0B4A36" w:color="auto" w:val="clear"/>
            <w:tcMar>
              <w:top w:type="dxa" w:w="80"/>
              <w:left w:type="dxa" w:w="120"/>
              <w:bottom w:type="dxa" w:w="80"/>
              <w:right w:type="dxa" w:w="120"/>
            </w:tcMar>
          </w:tcPr>
          <w:p>
            <w:pPr>
              <w:spacing w:after="0" w:line="260"/>
            </w:pPr>
            <w:r>
              <w:rPr>
                <w:b/>
                <w:bCs/>
                <w:color w:val="FFFFFF"/>
                <w:sz w:val="22"/>
                <w:szCs w:val="22"/>
              </w:rPr>
              <w:t xml:space="preserve">≈ Owner income / mo</w:t>
            </w:r>
          </w:p>
        </w:tc>
      </w:tr>
      <w:tr>
        <w:tc>
          <w:tcPr>
            <w:tcW w:type="dxa" w:w="1500"/>
            <w:tcMar>
              <w:top w:type="dxa" w:w="80"/>
              <w:left w:type="dxa" w:w="120"/>
              <w:bottom w:type="dxa" w:w="80"/>
              <w:right w:type="dxa" w:w="120"/>
            </w:tcMar>
          </w:tcPr>
          <w:p>
            <w:pPr>
              <w:spacing w:after="0" w:line="264"/>
            </w:pPr>
            <w:r>
              <w:rPr>
                <w:color w:val="141414"/>
                <w:sz w:val="22"/>
                <w:szCs w:val="22"/>
              </w:rPr>
              <w:t xml:space="preserve">Month 0–2</w:t>
            </w:r>
          </w:p>
        </w:tc>
        <w:tc>
          <w:tcPr>
            <w:tcW w:type="dxa" w:w="2360"/>
            <w:tcMar>
              <w:top w:type="dxa" w:w="80"/>
              <w:left w:type="dxa" w:w="120"/>
              <w:bottom w:type="dxa" w:w="80"/>
              <w:right w:type="dxa" w:w="120"/>
            </w:tcMar>
          </w:tcPr>
          <w:p>
            <w:pPr>
              <w:spacing w:after="0" w:line="264"/>
            </w:pPr>
            <w:r>
              <w:rPr>
                <w:color w:val="141414"/>
                <w:sz w:val="22"/>
                <w:szCs w:val="22"/>
              </w:rPr>
              <w:t xml:space="preserve">Pilot (scripts + sheets)</w:t>
            </w:r>
          </w:p>
        </w:tc>
        <w:tc>
          <w:tcPr>
            <w:tcW w:type="dxa" w:w="1500"/>
            <w:tcMar>
              <w:top w:type="dxa" w:w="80"/>
              <w:left w:type="dxa" w:w="120"/>
              <w:bottom w:type="dxa" w:w="80"/>
              <w:right w:type="dxa" w:w="120"/>
            </w:tcMar>
          </w:tcPr>
          <w:p>
            <w:pPr>
              <w:spacing w:after="0" w:line="264"/>
            </w:pPr>
            <w:r>
              <w:rPr>
                <w:color w:val="141414"/>
                <w:sz w:val="22"/>
                <w:szCs w:val="22"/>
              </w:rPr>
              <w:t xml:space="preserve">5 pilot</w:t>
            </w:r>
          </w:p>
        </w:tc>
        <w:tc>
          <w:tcPr>
            <w:tcW w:type="dxa" w:w="2100"/>
            <w:tcMar>
              <w:top w:type="dxa" w:w="80"/>
              <w:left w:type="dxa" w:w="120"/>
              <w:bottom w:type="dxa" w:w="80"/>
              <w:right w:type="dxa" w:w="120"/>
            </w:tcMar>
          </w:tcPr>
          <w:p>
            <w:pPr>
              <w:spacing w:after="0" w:line="264"/>
            </w:pPr>
            <w:r>
              <w:rPr>
                <w:color w:val="141414"/>
                <w:sz w:val="22"/>
                <w:szCs w:val="22"/>
              </w:rPr>
              <w:t xml:space="preserve">~R$0 (first fees)</w:t>
            </w:r>
          </w:p>
        </w:tc>
        <w:tc>
          <w:tcPr>
            <w:tcW w:type="dxa" w:w="1900"/>
            <w:tcMar>
              <w:top w:type="dxa" w:w="80"/>
              <w:left w:type="dxa" w:w="120"/>
              <w:bottom w:type="dxa" w:w="80"/>
              <w:right w:type="dxa" w:w="120"/>
            </w:tcMar>
          </w:tcPr>
          <w:p>
            <w:pPr>
              <w:spacing w:after="0" w:line="264"/>
            </w:pPr>
            <w:r>
              <w:rPr>
                <w:color w:val="141414"/>
                <w:sz w:val="22"/>
                <w:szCs w:val="22"/>
              </w:rPr>
              <w:t xml:space="preserve">—</w:t>
            </w:r>
          </w:p>
        </w:tc>
      </w:tr>
      <w:tr>
        <w:tc>
          <w:tcPr>
            <w:tcW w:type="dxa" w:w="1500"/>
            <w:shd w:fill="F2F6F4" w:color="auto" w:val="clear"/>
            <w:tcMar>
              <w:top w:type="dxa" w:w="80"/>
              <w:left w:type="dxa" w:w="120"/>
              <w:bottom w:type="dxa" w:w="80"/>
              <w:right w:type="dxa" w:w="120"/>
            </w:tcMar>
          </w:tcPr>
          <w:p>
            <w:pPr>
              <w:spacing w:after="0" w:line="264"/>
            </w:pPr>
            <w:r>
              <w:rPr>
                <w:color w:val="141414"/>
                <w:sz w:val="22"/>
                <w:szCs w:val="22"/>
              </w:rPr>
              <w:t xml:space="preserve">Month 6</w:t>
            </w:r>
          </w:p>
        </w:tc>
        <w:tc>
          <w:tcPr>
            <w:tcW w:type="dxa" w:w="2360"/>
            <w:shd w:fill="F2F6F4" w:color="auto" w:val="clear"/>
            <w:tcMar>
              <w:top w:type="dxa" w:w="80"/>
              <w:left w:type="dxa" w:w="120"/>
              <w:bottom w:type="dxa" w:w="80"/>
              <w:right w:type="dxa" w:w="120"/>
            </w:tcMar>
          </w:tcPr>
          <w:p>
            <w:pPr>
              <w:spacing w:after="0" w:line="264"/>
            </w:pPr>
            <w:r>
              <w:rPr>
                <w:color w:val="141414"/>
                <w:sz w:val="22"/>
                <w:szCs w:val="22"/>
              </w:rPr>
              <w:t xml:space="preserve">Thin workbench live</w:t>
            </w:r>
          </w:p>
        </w:tc>
        <w:tc>
          <w:tcPr>
            <w:tcW w:type="dxa" w:w="1500"/>
            <w:shd w:fill="F2F6F4" w:color="auto" w:val="clear"/>
            <w:tcMar>
              <w:top w:type="dxa" w:w="80"/>
              <w:left w:type="dxa" w:w="120"/>
              <w:bottom w:type="dxa" w:w="80"/>
              <w:right w:type="dxa" w:w="120"/>
            </w:tcMar>
          </w:tcPr>
          <w:p>
            <w:pPr>
              <w:spacing w:after="0" w:line="264"/>
            </w:pPr>
            <w:r>
              <w:rPr>
                <w:color w:val="141414"/>
                <w:sz w:val="22"/>
                <w:szCs w:val="22"/>
              </w:rPr>
              <w:t xml:space="preserve">8–12</w:t>
            </w:r>
          </w:p>
        </w:tc>
        <w:tc>
          <w:tcPr>
            <w:tcW w:type="dxa" w:w="2100"/>
            <w:shd w:fill="F2F6F4" w:color="auto" w:val="clear"/>
            <w:tcMar>
              <w:top w:type="dxa" w:w="80"/>
              <w:left w:type="dxa" w:w="120"/>
              <w:bottom w:type="dxa" w:w="80"/>
              <w:right w:type="dxa" w:w="120"/>
            </w:tcMar>
          </w:tcPr>
          <w:p>
            <w:pPr>
              <w:spacing w:after="0" w:line="264"/>
            </w:pPr>
            <w:r>
              <w:rPr>
                <w:color w:val="141414"/>
                <w:sz w:val="22"/>
                <w:szCs w:val="22"/>
              </w:rPr>
              <w:t xml:space="preserve">R$20k–35k</w:t>
            </w:r>
          </w:p>
        </w:tc>
        <w:tc>
          <w:tcPr>
            <w:tcW w:type="dxa" w:w="1900"/>
            <w:shd w:fill="F2F6F4" w:color="auto" w:val="clear"/>
            <w:tcMar>
              <w:top w:type="dxa" w:w="80"/>
              <w:left w:type="dxa" w:w="120"/>
              <w:bottom w:type="dxa" w:w="80"/>
              <w:right w:type="dxa" w:w="120"/>
            </w:tcMar>
          </w:tcPr>
          <w:p>
            <w:pPr>
              <w:spacing w:after="0" w:line="264"/>
            </w:pPr>
            <w:r>
              <w:rPr>
                <w:color w:val="141414"/>
                <w:sz w:val="22"/>
                <w:szCs w:val="22"/>
              </w:rPr>
              <w:t xml:space="preserve">R$10k–20k</w:t>
            </w:r>
          </w:p>
        </w:tc>
      </w:tr>
      <w:tr>
        <w:tc>
          <w:tcPr>
            <w:tcW w:type="dxa" w:w="1500"/>
            <w:tcMar>
              <w:top w:type="dxa" w:w="80"/>
              <w:left w:type="dxa" w:w="120"/>
              <w:bottom w:type="dxa" w:w="80"/>
              <w:right w:type="dxa" w:w="120"/>
            </w:tcMar>
          </w:tcPr>
          <w:p>
            <w:pPr>
              <w:spacing w:after="0" w:line="264"/>
            </w:pPr>
            <w:r>
              <w:rPr>
                <w:b/>
                <w:bCs/>
                <w:i w:val="false"/>
                <w:iCs w:val="false"/>
                <w:color w:val="141414"/>
                <w:sz w:val="22"/>
                <w:szCs w:val="22"/>
              </w:rPr>
              <w:t xml:space="preserve">Month 12</w:t>
            </w:r>
          </w:p>
        </w:tc>
        <w:tc>
          <w:tcPr>
            <w:tcW w:type="dxa" w:w="2360"/>
            <w:tcMar>
              <w:top w:type="dxa" w:w="80"/>
              <w:left w:type="dxa" w:w="120"/>
              <w:bottom w:type="dxa" w:w="80"/>
              <w:right w:type="dxa" w:w="120"/>
            </w:tcMar>
          </w:tcPr>
          <w:p>
            <w:pPr>
              <w:spacing w:after="0" w:line="264"/>
            </w:pPr>
            <w:r>
              <w:rPr>
                <w:color w:val="141414"/>
                <w:sz w:val="22"/>
                <w:szCs w:val="22"/>
              </w:rPr>
              <w:t xml:space="preserve">Continuous Protection</w:t>
            </w:r>
          </w:p>
        </w:tc>
        <w:tc>
          <w:tcPr>
            <w:tcW w:type="dxa" w:w="1500"/>
            <w:tcMar>
              <w:top w:type="dxa" w:w="80"/>
              <w:left w:type="dxa" w:w="120"/>
              <w:bottom w:type="dxa" w:w="80"/>
              <w:right w:type="dxa" w:w="120"/>
            </w:tcMar>
          </w:tcPr>
          <w:p>
            <w:pPr>
              <w:spacing w:after="0" w:line="264"/>
            </w:pPr>
            <w:r>
              <w:rPr>
                <w:color w:val="141414"/>
                <w:sz w:val="22"/>
                <w:szCs w:val="22"/>
              </w:rPr>
            </w:r>
          </w:p>
        </w:tc>
        <w:tc>
          <w:tcPr>
            <w:tcW w:type="dxa" w:w="2100"/>
            <w:tcMar>
              <w:top w:type="dxa" w:w="80"/>
              <w:left w:type="dxa" w:w="120"/>
              <w:bottom w:type="dxa" w:w="80"/>
              <w:right w:type="dxa" w:w="120"/>
            </w:tcMar>
          </w:tcPr>
          <w:p>
            <w:pPr>
              <w:spacing w:after="0" w:line="264"/>
            </w:pPr>
            <w:r>
              <w:rPr>
                <w:color w:val="141414"/>
                <w:sz w:val="22"/>
                <w:szCs w:val="22"/>
              </w:rPr>
            </w:r>
          </w:p>
        </w:tc>
        <w:tc>
          <w:tcPr>
            <w:tcW w:type="dxa" w:w="1900"/>
            <w:tcMar>
              <w:top w:type="dxa" w:w="80"/>
              <w:left w:type="dxa" w:w="120"/>
              <w:bottom w:type="dxa" w:w="80"/>
              <w:right w:type="dxa" w:w="120"/>
            </w:tcMar>
          </w:tcPr>
          <w:p>
            <w:pPr>
              <w:spacing w:after="0" w:line="264"/>
            </w:pPr>
            <w:r>
              <w:rPr>
                <w:color w:val="141414"/>
                <w:sz w:val="22"/>
                <w:szCs w:val="22"/>
              </w:rPr>
            </w:r>
          </w:p>
        </w:tc>
      </w:tr>
      <w:tr>
        <w:tc>
          <w:tcPr>
            <w:tcW w:type="dxa" w:w="1500"/>
            <w:shd w:fill="F2F6F4" w:color="auto" w:val="clear"/>
            <w:tcMar>
              <w:top w:type="dxa" w:w="80"/>
              <w:left w:type="dxa" w:w="120"/>
              <w:bottom w:type="dxa" w:w="80"/>
              <w:right w:type="dxa" w:w="120"/>
            </w:tcMar>
          </w:tcPr>
          <w:p>
            <w:pPr>
              <w:spacing w:after="0" w:line="264"/>
            </w:pPr>
            <w:r>
              <w:rPr>
                <w:color w:val="141414"/>
                <w:sz w:val="22"/>
                <w:szCs w:val="22"/>
              </w:rPr>
              <w:t xml:space="preserve">Month 24</w:t>
            </w:r>
          </w:p>
        </w:tc>
        <w:tc>
          <w:tcPr>
            <w:tcW w:type="dxa" w:w="2360"/>
            <w:shd w:fill="F2F6F4" w:color="auto" w:val="clear"/>
            <w:tcMar>
              <w:top w:type="dxa" w:w="80"/>
              <w:left w:type="dxa" w:w="120"/>
              <w:bottom w:type="dxa" w:w="80"/>
              <w:right w:type="dxa" w:w="120"/>
            </w:tcMar>
          </w:tcPr>
          <w:p>
            <w:pPr>
              <w:spacing w:after="0" w:line="264"/>
            </w:pPr>
            <w:r>
              <w:rPr>
                <w:color w:val="141414"/>
                <w:sz w:val="22"/>
                <w:szCs w:val="22"/>
              </w:rPr>
              <w:t xml:space="preserve">White-label + Mexico</w:t>
            </w:r>
          </w:p>
        </w:tc>
        <w:tc>
          <w:tcPr>
            <w:tcW w:type="dxa" w:w="1500"/>
            <w:shd w:fill="F2F6F4" w:color="auto" w:val="clear"/>
            <w:tcMar>
              <w:top w:type="dxa" w:w="80"/>
              <w:left w:type="dxa" w:w="120"/>
              <w:bottom w:type="dxa" w:w="80"/>
              <w:right w:type="dxa" w:w="120"/>
            </w:tcMar>
          </w:tcPr>
          <w:p>
            <w:pPr>
              <w:spacing w:after="0" w:line="264"/>
            </w:pPr>
            <w:r>
              <w:rPr>
                <w:color w:val="141414"/>
                <w:sz w:val="22"/>
                <w:szCs w:val="22"/>
              </w:rPr>
              <w:t xml:space="preserve">80–150</w:t>
            </w:r>
          </w:p>
        </w:tc>
        <w:tc>
          <w:tcPr>
            <w:tcW w:type="dxa" w:w="2100"/>
            <w:shd w:fill="F2F6F4" w:color="auto" w:val="clear"/>
            <w:tcMar>
              <w:top w:type="dxa" w:w="80"/>
              <w:left w:type="dxa" w:w="120"/>
              <w:bottom w:type="dxa" w:w="80"/>
              <w:right w:type="dxa" w:w="120"/>
            </w:tcMar>
          </w:tcPr>
          <w:p>
            <w:pPr>
              <w:spacing w:after="0" w:line="264"/>
            </w:pPr>
            <w:r>
              <w:rPr>
                <w:color w:val="141414"/>
                <w:sz w:val="22"/>
                <w:szCs w:val="22"/>
              </w:rPr>
              <w:t xml:space="preserve">R$250k–400k</w:t>
            </w:r>
          </w:p>
        </w:tc>
        <w:tc>
          <w:tcPr>
            <w:tcW w:type="dxa" w:w="1900"/>
            <w:shd w:fill="F2F6F4" w:color="auto" w:val="clear"/>
            <w:tcMar>
              <w:top w:type="dxa" w:w="80"/>
              <w:left w:type="dxa" w:w="120"/>
              <w:bottom w:type="dxa" w:w="80"/>
              <w:right w:type="dxa" w:w="120"/>
            </w:tcMar>
          </w:tcPr>
          <w:p>
            <w:pPr>
              <w:spacing w:after="0" w:line="264"/>
            </w:pPr>
            <w:r>
              <w:rPr>
                <w:color w:val="141414"/>
                <w:sz w:val="22"/>
                <w:szCs w:val="22"/>
              </w:rPr>
              <w:t xml:space="preserve">R$120k–200k</w:t>
            </w:r>
          </w:p>
        </w:tc>
      </w:tr>
      <w:tr>
        <w:tc>
          <w:tcPr>
            <w:tcW w:type="dxa" w:w="1500"/>
            <w:tcMar>
              <w:top w:type="dxa" w:w="80"/>
              <w:left w:type="dxa" w:w="120"/>
              <w:bottom w:type="dxa" w:w="80"/>
              <w:right w:type="dxa" w:w="120"/>
            </w:tcMar>
          </w:tcPr>
          <w:p>
            <w:pPr>
              <w:spacing w:after="0" w:line="264"/>
            </w:pPr>
            <w:r>
              <w:rPr>
                <w:b/>
                <w:bCs/>
                <w:i w:val="false"/>
                <w:iCs w:val="false"/>
                <w:color w:val="141414"/>
                <w:sz w:val="22"/>
                <w:szCs w:val="22"/>
              </w:rPr>
              <w:t xml:space="preserve">Month 36</w:t>
            </w:r>
          </w:p>
        </w:tc>
        <w:tc>
          <w:tcPr>
            <w:tcW w:type="dxa" w:w="2360"/>
            <w:tcMar>
              <w:top w:type="dxa" w:w="80"/>
              <w:left w:type="dxa" w:w="120"/>
              <w:bottom w:type="dxa" w:w="80"/>
              <w:right w:type="dxa" w:w="120"/>
            </w:tcMar>
          </w:tcPr>
          <w:p>
            <w:pPr>
              <w:spacing w:after="0" w:line="264"/>
            </w:pPr>
            <w:r>
              <w:rPr>
                <w:color w:val="141414"/>
                <w:sz w:val="22"/>
                <w:szCs w:val="22"/>
              </w:rPr>
              <w:t xml:space="preserve">Multi-country rail</w:t>
            </w:r>
          </w:p>
        </w:tc>
        <w:tc>
          <w:tcPr>
            <w:tcW w:type="dxa" w:w="1500"/>
            <w:tcMar>
              <w:top w:type="dxa" w:w="80"/>
              <w:left w:type="dxa" w:w="120"/>
              <w:bottom w:type="dxa" w:w="80"/>
              <w:right w:type="dxa" w:w="120"/>
            </w:tcMar>
          </w:tcPr>
          <w:p>
            <w:pPr>
              <w:spacing w:after="0" w:line="264"/>
            </w:pPr>
            <w:r>
              <w:rPr>
                <w:color w:val="141414"/>
                <w:sz w:val="22"/>
                <w:szCs w:val="22"/>
              </w:rPr>
            </w:r>
          </w:p>
        </w:tc>
        <w:tc>
          <w:tcPr>
            <w:tcW w:type="dxa" w:w="2100"/>
            <w:tcMar>
              <w:top w:type="dxa" w:w="80"/>
              <w:left w:type="dxa" w:w="120"/>
              <w:bottom w:type="dxa" w:w="80"/>
              <w:right w:type="dxa" w:w="120"/>
            </w:tcMar>
          </w:tcPr>
          <w:p>
            <w:pPr>
              <w:spacing w:after="0" w:line="264"/>
            </w:pPr>
            <w:r>
              <w:rPr>
                <w:color w:val="141414"/>
                <w:sz w:val="22"/>
                <w:szCs w:val="22"/>
              </w:rPr>
            </w:r>
          </w:p>
        </w:tc>
        <w:tc>
          <w:tcPr>
            <w:tcW w:type="dxa" w:w="1900"/>
            <w:tcMar>
              <w:top w:type="dxa" w:w="80"/>
              <w:left w:type="dxa" w:w="120"/>
              <w:bottom w:type="dxa" w:w="80"/>
              <w:right w:type="dxa" w:w="120"/>
            </w:tcMar>
          </w:tcPr>
          <w:p>
            <w:pPr>
              <w:spacing w:after="0" w:line="264"/>
            </w:pPr>
            <w:r>
              <w:rPr>
                <w:color w:val="141414"/>
                <w:sz w:val="22"/>
                <w:szCs w:val="22"/>
              </w:rPr>
              <w:t xml:space="preserve">Reinvested / team</w:t>
            </w:r>
          </w:p>
        </w:tc>
      </w:tr>
    </w:tbl>
    <w:p>
      <w:pPr>
        <w:spacing w:after="60"/>
      </w:pPr>
      <w:r>
        <w:t xml:space="preserve"/>
      </w:r>
    </w:p>
    <w:tbl>
      <w:tblPr>
        <w:tblW w:type="dxa" w:w="9360"/>
        <w:tblBorders>
          <w:top w:val="single" w:color="BcD8CC" w:sz="6"/>
          <w:left w:val="single" w:color="0A6E4C" w:sz="24"/>
          <w:bottom w:val="single" w:color="BCD8CC" w:sz="6"/>
          <w:right w:val="single" w:color="BCD8CC" w:sz="6"/>
          <w:insideH w:val="none"/>
          <w:insideV w:val="none"/>
        </w:tblBorders>
      </w:tblPr>
      <w:tblGrid>
        <w:gridCol w:w="9360"/>
      </w:tblGrid>
      <w:tr>
        <w:tc>
          <w:tcPr>
            <w:tcW w:type="dxa" w:w="9360"/>
            <w:shd w:fill="E9F2ED" w:color="auto" w:val="clear"/>
            <w:tcMar>
              <w:top w:type="dxa" w:w="130"/>
              <w:left w:type="dxa" w:w="180"/>
              <w:bottom w:type="dxa" w:w="130"/>
              <w:right w:type="dxa" w:w="180"/>
            </w:tcMar>
          </w:tcPr>
          <w:p>
            <w:r>
              <w:rPr>
                <w:b/>
                <w:bCs/>
                <w:color w:val="0B4A36"/>
              </w:rPr>
              <w:t xml:space="preserve">The honest bridge to these numbers.  </w:t>
            </w:r>
            <w:r>
              <w:t xml:space="preserve">Every row past Month 6 depends on one thing holding true: confirmed credits per human hour keeps rising as volume grows. If it does, one operator serves dozens of sellers and the revenue-per-headcount curve bends the way the table assumes. If it flattens (the R3 risk), the same seller counts require far more people and the owner-income column shrinks. The 36-month scenario is a consequence of the north-star metric, not an independent promise.</w:t>
            </w:r>
          </w:p>
        </w:tc>
      </w:tr>
    </w:tbl>
    <w:p>
      <w:pPr>
        <w:pStyle w:val="Heading3"/>
      </w:pPr>
      <w:r>
        <w:t xml:space="preserve">How VOLTA scales fast</w:t>
      </w:r>
    </w:p>
    <w:p>
      <w:pPr>
        <w:pStyle w:val="ListParagraph"/>
        <w:numPr>
          <w:ilvl w:val="0"/>
          <w:numId w:val="1"/>
        </w:numPr>
        <w:spacing w:after="90" w:line="340"/>
      </w:pPr>
      <w:r>
        <w:rPr>
          <w:b/>
          <w:bCs/>
        </w:rPr>
        <w:t xml:space="preserve">Distribution, not headcount. </w:t>
      </w:r>
      <w:r>
        <w:t xml:space="preserve">The white-label channel adds portfolios per deal instead of per cold call — the fastest way to seller count.</w:t>
      </w:r>
    </w:p>
    <w:p>
      <w:pPr>
        <w:pStyle w:val="ListParagraph"/>
        <w:numPr>
          <w:ilvl w:val="0"/>
          <w:numId w:val="1"/>
        </w:numPr>
        <w:spacing w:after="90" w:line="340"/>
      </w:pPr>
      <w:r>
        <w:rPr>
          <w:b/>
          <w:bCs/>
        </w:rPr>
        <w:t xml:space="preserve">Automation drives minutes/case toward zero. </w:t>
      </w:r>
      <w:r>
        <w:t xml:space="preserve">Each rule that reaches Tier-A auto-submission lets one operator serve more sellers — capacity grows without hiring.</w:t>
      </w:r>
    </w:p>
    <w:p>
      <w:pPr>
        <w:pStyle w:val="ListParagraph"/>
        <w:numPr>
          <w:ilvl w:val="0"/>
          <w:numId w:val="1"/>
        </w:numPr>
        <w:spacing w:after="90" w:line="340"/>
      </w:pPr>
      <w:r>
        <w:rPr>
          <w:b/>
          <w:bCs/>
        </w:rPr>
        <w:t xml:space="preserve">Self-serve onboarding. </w:t>
      </w:r>
      <w:r>
        <w:t xml:space="preserve">A single read-only OAuth screen plus an instant free-audit number means a seller can go from lead to signed with almost no human touch.</w:t>
      </w:r>
    </w:p>
    <w:p>
      <w:pPr>
        <w:pStyle w:val="ListParagraph"/>
        <w:numPr>
          <w:ilvl w:val="0"/>
          <w:numId w:val="1"/>
        </w:numPr>
        <w:spacing w:after="90" w:line="340"/>
      </w:pPr>
      <w:r>
        <w:rPr>
          <w:b/>
          <w:bCs/>
        </w:rPr>
        <w:t xml:space="preserve">One engine, many markets. </w:t>
      </w:r>
      <w:r>
        <w:t xml:space="preserve">Because the reconciliation core is platform-agnostic, a new country or marketplace is a connector, not a new product.</w:t>
      </w:r>
    </w:p>
    <w:p>
      <w:pPr>
        <w:pStyle w:val="Heading1"/>
      </w:pPr>
      <w:r>
        <w:t xml:space="preserve">9.  Go-To-Market</w:t>
      </w:r>
    </w:p>
    <w:p>
      <w:r>
        <w:t xml:space="preserve">The wedge is the free Historical Recovery Audit: connect read-only, review 90–180 days, and show a hard number. The pitch is a single sentence — “you only pay on what you actually receive.” A qualification filter runs before the audit (GMV or Full threshold, keeps NF-e, not Model-6, real order volume) so effort is never spent on accounts that cannot be served.</w:t>
      </w:r>
    </w:p>
    <w:p>
      <w:r>
        <w:t xml:space="preserve">Target funnel conversions to validate: qualified → signed ~50%; signed → first confirmed credit ~80%; audit → continuous ~60%. The funnel is also the validation instrument — it produces exactly the metrics the pilot needs.</w:t>
      </w:r>
    </w:p>
    <w:p>
      <w:pPr>
        <w:pStyle w:val="Heading1"/>
      </w:pPr>
      <w:r>
        <w:t xml:space="preserve">10.  Competitive Positioning &amp; Moat</w:t>
      </w:r>
    </w:p>
    <w:p>
      <w:pPr>
        <w:pStyle w:val="ListParagraph"/>
        <w:numPr>
          <w:ilvl w:val="0"/>
          <w:numId w:val="1"/>
        </w:numPr>
        <w:spacing w:after="90" w:line="340"/>
      </w:pPr>
      <w:r>
        <w:rPr>
          <w:b/>
          <w:bCs/>
        </w:rPr>
        <w:t xml:space="preserve">vs. doing nothing: </w:t>
      </w:r>
      <w:r>
        <w:t xml:space="preserve">the seller’s money is silently evaporating and claim windows are closing. Every unaudited month finances the platform’s errors at 100% of face value.</w:t>
      </w:r>
    </w:p>
    <w:p>
      <w:pPr>
        <w:pStyle w:val="ListParagraph"/>
        <w:numPr>
          <w:ilvl w:val="0"/>
          <w:numId w:val="1"/>
        </w:numPr>
        <w:spacing w:after="90" w:line="340"/>
      </w:pPr>
      <w:r>
        <w:rPr>
          <w:b/>
          <w:bCs/>
        </w:rPr>
        <w:t xml:space="preserve">vs. an in-house analyst: </w:t>
      </w:r>
      <w:r>
        <w:t xml:space="preserve">a R$8k/mo hire reconciles one account slowly, with no cross-seller pattern library and no infrastructure, and eventually quits. VOLTA is leverage, not headcount.</w:t>
      </w:r>
    </w:p>
    <w:p>
      <w:pPr>
        <w:pStyle w:val="ListParagraph"/>
        <w:numPr>
          <w:ilvl w:val="0"/>
          <w:numId w:val="1"/>
        </w:numPr>
        <w:spacing w:after="90" w:line="340"/>
      </w:pPr>
      <w:r>
        <w:rPr>
          <w:b/>
          <w:bCs/>
        </w:rPr>
        <w:t xml:space="preserve">vs. a generic consultancy: </w:t>
      </w:r>
      <w:r>
        <w:t xml:space="preserve">consultants deliver slides; VOLTA delivers credited BRL and invoices only after the money shows up.</w:t>
      </w:r>
    </w:p>
    <w:p>
      <w:r>
        <w:t xml:space="preserve">The durable moat is the workbench: the deterministic reconciliation engine, the append-only case-and-evidence system of record, and — above all — the accumulating cross-seller library of which case types the platform actually pays. Every confirmed credit teaches that library, so confirmed credits per human hour rises with scale. An honest caveat belongs here: the workbench is standard software any competent team could clone in a quarter, and the data-library advantage is real only after scale and only if the platform cooperates. The moat is earned by being first, being fast, and compounding data — not by secret technology.</w:t>
      </w:r>
    </w:p>
    <w:p>
      <w:pPr>
        <w:pStyle w:val="Heading1"/>
      </w:pPr>
      <w:r>
        <w:t xml:space="preserve">11.  Validation — The 45-Day Pilot</w:t>
      </w:r>
    </w:p>
    <w:p>
      <w:r>
        <w:t xml:space="preserve">VOLTA is validated before a full platform is built. In the first 45 days: recruit five qualified sellers; sign at least three contingency agreements; review 90–180 days of history; build cases manually with AI and light Python; submit at least ten well-supported cases; obtain at least one confirmed credit; and secure one channel partner. Measure time, documentation burden, approval rate, and recovered value throughout.</w:t>
      </w:r>
    </w:p>
    <w:tbl>
      <w:tblPr>
        <w:tblW w:type="dxa" w:w="9360"/>
        <w:tblBorders>
          <w:top w:val="single" w:color="BcD8CC" w:sz="6"/>
          <w:left w:val="single" w:color="0A6E4C" w:sz="24"/>
          <w:bottom w:val="single" w:color="BCD8CC" w:sz="6"/>
          <w:right w:val="single" w:color="BCD8CC" w:sz="6"/>
          <w:insideH w:val="none"/>
          <w:insideV w:val="none"/>
        </w:tblBorders>
      </w:tblPr>
      <w:tblGrid>
        <w:gridCol w:w="9360"/>
      </w:tblGrid>
      <w:tr>
        <w:tc>
          <w:tcPr>
            <w:tcW w:type="dxa" w:w="9360"/>
            <w:shd w:fill="E9F2ED" w:color="auto" w:val="clear"/>
            <w:tcMar>
              <w:top w:type="dxa" w:w="130"/>
              <w:left w:type="dxa" w:w="180"/>
              <w:bottom w:type="dxa" w:w="130"/>
              <w:right w:type="dxa" w:w="180"/>
            </w:tcMar>
          </w:tcPr>
          <w:p>
            <w:r>
              <w:rPr>
                <w:b/>
                <w:bCs/>
                <w:color w:val="0B4A36"/>
              </w:rPr>
              <w:t xml:space="preserve">The one test that decides everything.  </w:t>
            </w:r>
            <w:r>
              <w:t xml:space="preserve">Across the five sellers, run a controlled A/B: submit half the qualifying cases and deliberately hold the other half. If submitted cases pay materially more, and faster, than the held (auto-resolving) ones — and average case-prep stays under 20 minutes as volume rises — the value is real, causally attributable, and leverageable. If the held cases pay out on their own at similar rates, VOLTA is billing for the platform’s own process and there is no business. Everything else in the 45 days is secondary to this.</w:t>
            </w:r>
          </w:p>
        </w:tc>
      </w:tr>
    </w:tbl>
    <w:p>
      <w:pPr>
        <w:pStyle w:val="Heading3"/>
      </w:pPr>
      <w:r>
        <w:t xml:space="preserve">Continue only if</w:t>
      </w:r>
    </w:p>
    <w:p>
      <w:pPr>
        <w:pStyle w:val="ListParagraph"/>
        <w:numPr>
          <w:ilvl w:val="0"/>
          <w:numId w:val="1"/>
        </w:numPr>
        <w:spacing w:after="90" w:line="340"/>
      </w:pPr>
      <w:r>
        <w:t xml:space="preserve">The same case types repeat across multiple sellers.</w:t>
      </w:r>
    </w:p>
    <w:p>
      <w:pPr>
        <w:pStyle w:val="ListParagraph"/>
        <w:numPr>
          <w:ilvl w:val="0"/>
          <w:numId w:val="1"/>
        </w:numPr>
        <w:spacing w:after="90" w:line="340"/>
      </w:pPr>
      <w:r>
        <w:t xml:space="preserve">At least three of five sellers contain meaningful opportunity.</w:t>
      </w:r>
    </w:p>
    <w:p>
      <w:pPr>
        <w:pStyle w:val="ListParagraph"/>
        <w:numPr>
          <w:ilvl w:val="0"/>
          <w:numId w:val="1"/>
        </w:numPr>
        <w:spacing w:after="90" w:line="340"/>
      </w:pPr>
      <w:r>
        <w:t xml:space="preserve">Sellers authorize recovery after reviewing the evidence.</w:t>
      </w:r>
    </w:p>
    <w:p>
      <w:pPr>
        <w:pStyle w:val="ListParagraph"/>
        <w:numPr>
          <w:ilvl w:val="0"/>
          <w:numId w:val="1"/>
        </w:numPr>
        <w:spacing w:after="90" w:line="340"/>
      </w:pPr>
      <w:r>
        <w:t xml:space="preserve">Average case-preparation falls below 20 minutes.</w:t>
      </w:r>
    </w:p>
    <w:p>
      <w:pPr>
        <w:pStyle w:val="ListParagraph"/>
        <w:numPr>
          <w:ilvl w:val="0"/>
          <w:numId w:val="1"/>
        </w:numPr>
        <w:spacing w:after="90" w:line="340"/>
      </w:pPr>
      <w:r>
        <w:t xml:space="preserve">Confirmed recovery supports the success-fee economics, and the workflow runs without unsafe marketplace access.</w:t>
      </w:r>
    </w:p>
    <w:p>
      <w:pPr>
        <w:pStyle w:val="Heading3"/>
      </w:pPr>
      <w:r>
        <w:t xml:space="preserve">Stop or redesign if</w:t>
      </w:r>
    </w:p>
    <w:p>
      <w:pPr>
        <w:pStyle w:val="ListParagraph"/>
        <w:numPr>
          <w:ilvl w:val="0"/>
          <w:numId w:val="1"/>
        </w:numPr>
        <w:spacing w:after="90" w:line="340"/>
      </w:pPr>
      <w:r>
        <w:t xml:space="preserve">Most apparent discrepancies resolve automatically, or recoverable values are consistently too small.</w:t>
      </w:r>
    </w:p>
    <w:p>
      <w:pPr>
        <w:pStyle w:val="ListParagraph"/>
        <w:numPr>
          <w:ilvl w:val="0"/>
          <w:numId w:val="1"/>
        </w:numPr>
        <w:spacing w:after="90" w:line="340"/>
      </w:pPr>
      <w:r>
        <w:t xml:space="preserve">Every account requires a completely different, bespoke process.</w:t>
      </w:r>
    </w:p>
    <w:p>
      <w:pPr>
        <w:pStyle w:val="ListParagraph"/>
        <w:numPr>
          <w:ilvl w:val="0"/>
          <w:numId w:val="1"/>
        </w:numPr>
        <w:spacing w:after="90" w:line="340"/>
      </w:pPr>
      <w:r>
        <w:t xml:space="preserve">Sellers cannot provide supporting documentation, or platform rules block the third-party workflow.</w:t>
      </w:r>
    </w:p>
    <w:p>
      <w:pPr>
        <w:pStyle w:val="ListParagraph"/>
        <w:numPr>
          <w:ilvl w:val="0"/>
          <w:numId w:val="1"/>
        </w:numPr>
        <w:spacing w:after="90" w:line="340"/>
      </w:pPr>
      <w:r>
        <w:t xml:space="preserve">False positives damage seller confidence.</w:t>
      </w:r>
    </w:p>
    <w:p>
      <w:pPr>
        <w:pStyle w:val="Heading1"/>
      </w:pPr>
      <w:r>
        <w:t xml:space="preserve">12.  Risks, Objections &amp; Mitigations</w:t>
      </w:r>
    </w:p>
    <w:p>
      <w:r>
        <w:t xml:space="preserve">Airtight does not mean risk-free; it means every serious objection is named and answered. There are three genuinely existential risks, all attacking the north-star metric from a different side, plus several that wound.</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900"/>
        <w:gridCol w:w="1700"/>
        <w:gridCol w:w="4760"/>
      </w:tblGrid>
      <w:tr>
        <w:trPr>
          <w:tblHeader/>
        </w:trPr>
        <w:tc>
          <w:tcPr>
            <w:tcW w:type="dxa" w:w="2900"/>
            <w:shd w:fill="0B4A36" w:color="auto" w:val="clear"/>
            <w:tcMar>
              <w:top w:type="dxa" w:w="80"/>
              <w:left w:type="dxa" w:w="120"/>
              <w:bottom w:type="dxa" w:w="80"/>
              <w:right w:type="dxa" w:w="120"/>
            </w:tcMar>
          </w:tcPr>
          <w:p>
            <w:pPr>
              <w:spacing w:after="0" w:line="260"/>
            </w:pPr>
            <w:r>
              <w:rPr>
                <w:b/>
                <w:bCs/>
                <w:color w:val="FFFFFF"/>
                <w:sz w:val="22"/>
                <w:szCs w:val="22"/>
              </w:rPr>
              <w:t xml:space="preserve">Risk</w:t>
            </w:r>
          </w:p>
        </w:tc>
        <w:tc>
          <w:tcPr>
            <w:tcW w:type="dxa" w:w="1700"/>
            <w:shd w:fill="0B4A36" w:color="auto" w:val="clear"/>
            <w:tcMar>
              <w:top w:type="dxa" w:w="80"/>
              <w:left w:type="dxa" w:w="120"/>
              <w:bottom w:type="dxa" w:w="80"/>
              <w:right w:type="dxa" w:w="120"/>
            </w:tcMar>
          </w:tcPr>
          <w:p>
            <w:pPr>
              <w:spacing w:after="0" w:line="260"/>
            </w:pPr>
            <w:r>
              <w:rPr>
                <w:b/>
                <w:bCs/>
                <w:color w:val="FFFFFF"/>
                <w:sz w:val="22"/>
                <w:szCs w:val="22"/>
              </w:rPr>
              <w:t xml:space="preserve">Likelihood / Impact</w:t>
            </w:r>
          </w:p>
        </w:tc>
        <w:tc>
          <w:tcPr>
            <w:tcW w:type="dxa" w:w="4760"/>
            <w:shd w:fill="0B4A36" w:color="auto" w:val="clear"/>
            <w:tcMar>
              <w:top w:type="dxa" w:w="80"/>
              <w:left w:type="dxa" w:w="120"/>
              <w:bottom w:type="dxa" w:w="80"/>
              <w:right w:type="dxa" w:w="120"/>
            </w:tcMar>
          </w:tcPr>
          <w:p>
            <w:pPr>
              <w:spacing w:after="0" w:line="260"/>
            </w:pPr>
            <w:r>
              <w:rPr>
                <w:b/>
                <w:bCs/>
                <w:color w:val="FFFFFF"/>
                <w:sz w:val="22"/>
                <w:szCs w:val="22"/>
              </w:rPr>
              <w:t xml:space="preserve">Mitigation and kill / redesign trigger</w:t>
            </w:r>
          </w:p>
        </w:tc>
      </w:tr>
      <w:tr>
        <w:tc>
          <w:tcPr>
            <w:tcW w:type="dxa" w:w="2900"/>
            <w:tcMar>
              <w:top w:type="dxa" w:w="80"/>
              <w:left w:type="dxa" w:w="120"/>
              <w:bottom w:type="dxa" w:w="80"/>
              <w:right w:type="dxa" w:w="120"/>
            </w:tcMar>
          </w:tcPr>
          <w:p>
            <w:pPr>
              <w:spacing w:after="0" w:line="264"/>
            </w:pPr>
            <w:r>
              <w:rPr>
                <w:b/>
                <w:bCs/>
                <w:i w:val="false"/>
                <w:iCs w:val="false"/>
                <w:color w:val="141414"/>
                <w:sz w:val="22"/>
                <w:szCs w:val="22"/>
              </w:rPr>
              <w:t xml:space="preserve">R3  The “no-API-action” wall</w:t>
            </w:r>
          </w:p>
        </w:tc>
        <w:tc>
          <w:tcPr>
            <w:tcW w:type="dxa" w:w="1700"/>
            <w:tcMar>
              <w:top w:type="dxa" w:w="80"/>
              <w:left w:type="dxa" w:w="120"/>
              <w:bottom w:type="dxa" w:w="80"/>
              <w:right w:type="dxa" w:w="120"/>
            </w:tcMar>
          </w:tcPr>
          <w:p>
            <w:pPr>
              <w:spacing w:after="0" w:line="264"/>
            </w:pPr>
            <w:r>
              <w:rPr>
                <w:color w:val="141414"/>
                <w:sz w:val="22"/>
                <w:szCs w:val="22"/>
              </w:rPr>
              <w:t xml:space="preserve">High / Existential</w:t>
            </w:r>
          </w:p>
        </w:tc>
        <w:tc>
          <w:tcPr>
            <w:tcW w:type="dxa" w:w="4760"/>
            <w:tcMar>
              <w:top w:type="dxa" w:w="80"/>
              <w:left w:type="dxa" w:w="120"/>
              <w:bottom w:type="dxa" w:w="80"/>
              <w:right w:type="dxa" w:w="120"/>
            </w:tcMar>
          </w:tcPr>
          <w:p>
            <w:pPr>
              <w:spacing w:after="0" w:line="264"/>
            </w:pPr>
            <w:r>
              <w:rPr>
                <w:color w:val="141414"/>
                <w:sz w:val="22"/>
                <w:szCs w:val="22"/>
              </w:rPr>
              <w:t xml:space="preserve">Claim acceptance and Full reimbursement filing are dashboard-only. Mitigate with a templated Submission Playbook, batching, and routing filing to white-label partners who hold the login. Trigger: north-star flat while candidate value grows → redesign to white-label or narrow to auto-fileable types.</w:t>
            </w:r>
          </w:p>
        </w:tc>
      </w:tr>
      <w:tr>
        <w:tc>
          <w:tcPr>
            <w:tcW w:type="dxa" w:w="29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R1  Pool auto-resolves / ToS</w:t>
            </w:r>
          </w:p>
        </w:tc>
        <w:tc>
          <w:tcPr>
            <w:tcW w:type="dxa" w:w="1700"/>
            <w:shd w:fill="F2F6F4" w:color="auto" w:val="clear"/>
            <w:tcMar>
              <w:top w:type="dxa" w:w="80"/>
              <w:left w:type="dxa" w:w="120"/>
              <w:bottom w:type="dxa" w:w="80"/>
              <w:right w:type="dxa" w:w="120"/>
            </w:tcMar>
          </w:tcPr>
          <w:p>
            <w:pPr>
              <w:spacing w:after="0" w:line="264"/>
            </w:pPr>
            <w:r>
              <w:rPr>
                <w:color w:val="141414"/>
                <w:sz w:val="22"/>
                <w:szCs w:val="22"/>
              </w:rPr>
              <w:t xml:space="preserve">High / Existential</w:t>
            </w:r>
          </w:p>
        </w:tc>
        <w:tc>
          <w:tcPr>
            <w:tcW w:type="dxa" w:w="4760"/>
            <w:shd w:fill="F2F6F4" w:color="auto" w:val="clear"/>
            <w:tcMar>
              <w:top w:type="dxa" w:w="80"/>
              <w:left w:type="dxa" w:w="120"/>
              <w:bottom w:type="dxa" w:w="80"/>
              <w:right w:type="dxa" w:w="120"/>
            </w:tcMar>
          </w:tcPr>
          <w:p>
            <w:pPr>
              <w:spacing w:after="0" w:line="264"/>
            </w:pPr>
            <w:r>
              <w:rPr>
                <w:color w:val="141414"/>
                <w:sz w:val="22"/>
                <w:szCs w:val="22"/>
              </w:rPr>
              <w:t xml:space="preserve">If the platform auto-credits most discrepancies, or restricts third-party action, the pool shrinks. Track auto_resolve_rate per rule. Trigger: &gt;60% of a rule auto-resolves → pivot to auditing payout correctness (below-value delta) and the Mercado Pago pool.</w:t>
            </w:r>
          </w:p>
        </w:tc>
      </w:tr>
      <w:tr>
        <w:tc>
          <w:tcPr>
            <w:tcW w:type="dxa" w:w="2900"/>
            <w:tcMar>
              <w:top w:type="dxa" w:w="80"/>
              <w:left w:type="dxa" w:w="120"/>
              <w:bottom w:type="dxa" w:w="80"/>
              <w:right w:type="dxa" w:w="120"/>
            </w:tcMar>
          </w:tcPr>
          <w:p>
            <w:pPr>
              <w:spacing w:after="0" w:line="264"/>
            </w:pPr>
            <w:r>
              <w:rPr>
                <w:b/>
                <w:bCs/>
                <w:i w:val="false"/>
                <w:iCs w:val="false"/>
                <w:color w:val="141414"/>
                <w:sz w:val="22"/>
                <w:szCs w:val="22"/>
              </w:rPr>
              <w:t xml:space="preserve">R2  False positives</w:t>
            </w:r>
          </w:p>
        </w:tc>
        <w:tc>
          <w:tcPr>
            <w:tcW w:type="dxa" w:w="1700"/>
            <w:tcMar>
              <w:top w:type="dxa" w:w="80"/>
              <w:left w:type="dxa" w:w="120"/>
              <w:bottom w:type="dxa" w:w="80"/>
              <w:right w:type="dxa" w:w="120"/>
            </w:tcMar>
          </w:tcPr>
          <w:p>
            <w:pPr>
              <w:spacing w:after="0" w:line="264"/>
            </w:pPr>
            <w:r>
              <w:rPr>
                <w:color w:val="141414"/>
                <w:sz w:val="22"/>
                <w:szCs w:val="22"/>
              </w:rPr>
              <w:t xml:space="preserve">Med-High / Existential</w:t>
            </w:r>
          </w:p>
        </w:tc>
        <w:tc>
          <w:tcPr>
            <w:tcW w:type="dxa" w:w="4760"/>
            <w:tcMar>
              <w:top w:type="dxa" w:w="80"/>
              <w:left w:type="dxa" w:w="120"/>
              <w:bottom w:type="dxa" w:w="80"/>
              <w:right w:type="dxa" w:w="120"/>
            </w:tcMar>
          </w:tcPr>
          <w:p>
            <w:pPr>
              <w:spacing w:after="0" w:line="264"/>
            </w:pPr>
            <w:r>
              <w:rPr>
                <w:color w:val="141414"/>
                <w:sz w:val="22"/>
                <w:szCs w:val="22"/>
              </w:rPr>
              <w:t xml:space="preserve">A single wrong case, or one data leak, ends the zero-downside promise. Defended structurally: the LLM never computes money; every surfaced case passes a deterministic rule + human approval + a complete evidence checklist. Trigger: FP rate &gt;5% on seller-visible cases → halt surfacing, raise the gate.</w:t>
            </w:r>
          </w:p>
        </w:tc>
      </w:tr>
      <w:tr>
        <w:tc>
          <w:tcPr>
            <w:tcW w:type="dxa" w:w="29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R6  Values too small at steady state</w:t>
            </w:r>
          </w:p>
        </w:tc>
        <w:tc>
          <w:tcPr>
            <w:tcW w:type="dxa" w:w="1700"/>
            <w:shd w:fill="F2F6F4" w:color="auto" w:val="clear"/>
            <w:tcMar>
              <w:top w:type="dxa" w:w="80"/>
              <w:left w:type="dxa" w:w="120"/>
              <w:bottom w:type="dxa" w:w="80"/>
              <w:right w:type="dxa" w:w="120"/>
            </w:tcMar>
          </w:tcPr>
          <w:p>
            <w:pPr>
              <w:spacing w:after="0" w:line="264"/>
            </w:pPr>
            <w:r>
              <w:rPr>
                <w:color w:val="141414"/>
                <w:sz w:val="22"/>
                <w:szCs w:val="22"/>
              </w:rPr>
              <w:t xml:space="preserve">Med-High / High</w:t>
            </w:r>
          </w:p>
        </w:tc>
        <w:tc>
          <w:tcPr>
            <w:tcW w:type="dxa" w:w="4760"/>
            <w:shd w:fill="F2F6F4" w:color="auto" w:val="clear"/>
            <w:tcMar>
              <w:top w:type="dxa" w:w="80"/>
              <w:left w:type="dxa" w:w="120"/>
              <w:bottom w:type="dxa" w:w="80"/>
              <w:right w:type="dxa" w:w="120"/>
            </w:tcMar>
          </w:tcPr>
          <w:p>
            <w:pPr>
              <w:spacing w:after="0" w:line="264"/>
            </w:pPr>
            <w:r>
              <w:rPr>
                <w:color w:val="141414"/>
                <w:sz w:val="22"/>
                <w:szCs w:val="22"/>
              </w:rPr>
              <w:t xml:space="preserve">The audit lump may be one-time while the recurring flow is thin. Trigger: &lt;3/5 sellers show meaningful opportunity, or flow cannot cover R$1,490+15% → drop Continuous, keep Historical only.</w:t>
            </w:r>
          </w:p>
        </w:tc>
      </w:tr>
      <w:tr>
        <w:tc>
          <w:tcPr>
            <w:tcW w:type="dxa" w:w="2900"/>
            <w:tcMar>
              <w:top w:type="dxa" w:w="80"/>
              <w:left w:type="dxa" w:w="120"/>
              <w:bottom w:type="dxa" w:w="80"/>
              <w:right w:type="dxa" w:w="120"/>
            </w:tcMar>
          </w:tcPr>
          <w:p>
            <w:pPr>
              <w:spacing w:after="0" w:line="264"/>
            </w:pPr>
            <w:r>
              <w:rPr>
                <w:b/>
                <w:bCs/>
                <w:i w:val="false"/>
                <w:iCs w:val="false"/>
                <w:color w:val="141414"/>
                <w:sz w:val="22"/>
                <w:szCs w:val="22"/>
              </w:rPr>
              <w:t xml:space="preserve">R4  Attribution disputes</w:t>
            </w:r>
          </w:p>
        </w:tc>
        <w:tc>
          <w:tcPr>
            <w:tcW w:type="dxa" w:w="1700"/>
            <w:tcMar>
              <w:top w:type="dxa" w:w="80"/>
              <w:left w:type="dxa" w:w="120"/>
              <w:bottom w:type="dxa" w:w="80"/>
              <w:right w:type="dxa" w:w="120"/>
            </w:tcMar>
          </w:tcPr>
          <w:p>
            <w:pPr>
              <w:spacing w:after="0" w:line="264"/>
            </w:pPr>
            <w:r>
              <w:rPr>
                <w:color w:val="141414"/>
                <w:sz w:val="22"/>
                <w:szCs w:val="22"/>
              </w:rPr>
              <w:t xml:space="preserve">Med / Medium</w:t>
            </w:r>
          </w:p>
        </w:tc>
        <w:tc>
          <w:tcPr>
            <w:tcW w:type="dxa" w:w="4760"/>
            <w:tcMar>
              <w:top w:type="dxa" w:w="80"/>
              <w:left w:type="dxa" w:w="120"/>
              <w:bottom w:type="dxa" w:w="80"/>
              <w:right w:type="dxa" w:w="120"/>
            </w:tcMar>
          </w:tcPr>
          <w:p>
            <w:pPr>
              <w:spacing w:after="0" w:line="264"/>
            </w:pPr>
            <w:r>
              <w:rPr>
                <w:color w:val="141414"/>
                <w:sz w:val="22"/>
                <w:szCs w:val="22"/>
              </w:rPr>
              <w:t xml:space="preserve">The platform pays credits on its own; proving causation is hard. Mitigate with the baseline snapshot and the submit-vs-hold control. Trigger: &gt;10% of invoices disputed → tighten baseline evidence.</w:t>
            </w:r>
          </w:p>
        </w:tc>
      </w:tr>
      <w:tr>
        <w:tc>
          <w:tcPr>
            <w:tcW w:type="dxa" w:w="29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R7  Goodwill / partner concentration</w:t>
            </w:r>
          </w:p>
        </w:tc>
        <w:tc>
          <w:tcPr>
            <w:tcW w:type="dxa" w:w="1700"/>
            <w:shd w:fill="F2F6F4" w:color="auto" w:val="clear"/>
            <w:tcMar>
              <w:top w:type="dxa" w:w="80"/>
              <w:left w:type="dxa" w:w="120"/>
              <w:bottom w:type="dxa" w:w="80"/>
              <w:right w:type="dxa" w:w="120"/>
            </w:tcMar>
          </w:tcPr>
          <w:p>
            <w:pPr>
              <w:spacing w:after="0" w:line="264"/>
            </w:pPr>
            <w:r>
              <w:rPr>
                <w:color w:val="141414"/>
                <w:sz w:val="22"/>
                <w:szCs w:val="22"/>
              </w:rPr>
              <w:t xml:space="preserve">Med / High</w:t>
            </w:r>
          </w:p>
        </w:tc>
        <w:tc>
          <w:tcPr>
            <w:tcW w:type="dxa" w:w="4760"/>
            <w:shd w:fill="F2F6F4" w:color="auto" w:val="clear"/>
            <w:tcMar>
              <w:top w:type="dxa" w:w="80"/>
              <w:left w:type="dxa" w:w="120"/>
              <w:bottom w:type="dxa" w:w="80"/>
              <w:right w:type="dxa" w:w="120"/>
            </w:tcMar>
          </w:tcPr>
          <w:p>
            <w:pPr>
              <w:spacing w:after="0" w:line="264"/>
            </w:pPr>
            <w:r>
              <w:rPr>
                <w:color w:val="141414"/>
                <w:sz w:val="22"/>
                <w:szCs w:val="22"/>
              </w:rPr>
              <w:t xml:space="preserve">Dependence on platform tolerance and a few partners. Trigger: any partner &gt;30% of credits, or app suspended → diversify and hold seller-level OAuth.</w:t>
            </w:r>
          </w:p>
        </w:tc>
      </w:tr>
      <w:tr>
        <w:tc>
          <w:tcPr>
            <w:tcW w:type="dxa" w:w="2900"/>
            <w:tcMar>
              <w:top w:type="dxa" w:w="80"/>
              <w:left w:type="dxa" w:w="120"/>
              <w:bottom w:type="dxa" w:w="80"/>
              <w:right w:type="dxa" w:w="120"/>
            </w:tcMar>
          </w:tcPr>
          <w:p>
            <w:pPr>
              <w:spacing w:after="0" w:line="264"/>
            </w:pPr>
            <w:r>
              <w:rPr>
                <w:b/>
                <w:bCs/>
                <w:i w:val="false"/>
                <w:iCs w:val="false"/>
                <w:color w:val="141414"/>
                <w:sz w:val="22"/>
                <w:szCs w:val="22"/>
              </w:rPr>
              <w:t xml:space="preserve">R5  LGPD / contingency legal</w:t>
            </w:r>
          </w:p>
        </w:tc>
        <w:tc>
          <w:tcPr>
            <w:tcW w:type="dxa" w:w="1700"/>
            <w:tcMar>
              <w:top w:type="dxa" w:w="80"/>
              <w:left w:type="dxa" w:w="120"/>
              <w:bottom w:type="dxa" w:w="80"/>
              <w:right w:type="dxa" w:w="120"/>
            </w:tcMar>
          </w:tcPr>
          <w:p>
            <w:pPr>
              <w:spacing w:after="0" w:line="264"/>
            </w:pPr>
            <w:r>
              <w:rPr>
                <w:color w:val="141414"/>
                <w:sz w:val="22"/>
                <w:szCs w:val="22"/>
              </w:rPr>
              <w:t xml:space="preserve">Low-Med / High</w:t>
            </w:r>
          </w:p>
        </w:tc>
        <w:tc>
          <w:tcPr>
            <w:tcW w:type="dxa" w:w="4760"/>
            <w:tcMar>
              <w:top w:type="dxa" w:w="80"/>
              <w:left w:type="dxa" w:w="120"/>
              <w:bottom w:type="dxa" w:w="80"/>
              <w:right w:type="dxa" w:w="120"/>
            </w:tcMar>
          </w:tcPr>
          <w:p>
            <w:pPr>
              <w:spacing w:after="0" w:line="264"/>
            </w:pPr>
            <w:r>
              <w:rPr>
                <w:color w:val="141414"/>
                <w:sz w:val="22"/>
                <w:szCs w:val="22"/>
              </w:rPr>
              <w:t xml:space="preserve">Cross-border AI processing and contingency-fee norms. Mitigate: ANPD standard clauses or in-region processing; administrative work only, never judicial representation.</w:t>
            </w:r>
          </w:p>
        </w:tc>
      </w:tr>
    </w:tbl>
    <w:p>
      <w:pPr>
        <w:spacing w:after="80"/>
      </w:pPr>
      <w:r>
        <w:t xml:space="preserve"/>
      </w:r>
    </w:p>
    <w:p>
      <w:pPr>
        <w:pStyle w:val="Heading3"/>
      </w:pPr>
      <w:r>
        <w:t xml:space="preserve">The hardest questions the founder must answer before building</w:t>
      </w:r>
    </w:p>
    <w:p>
      <w:pPr>
        <w:spacing w:after="110" w:line="340"/>
        <w:ind w:left="360" w:hanging="360"/>
      </w:pPr>
      <w:r>
        <w:rPr>
          <w:b/>
          <w:bCs/>
          <w:color w:val="0A6E4C"/>
        </w:rPr>
        <w:t xml:space="preserve">1.  </w:t>
      </w:r>
      <w:r>
        <w:t xml:space="preserve">Is the recoverable value large and recurring — or a one-time backlog that becomes a trickle after the first sweep?</w:t>
      </w:r>
    </w:p>
    <w:p>
      <w:pPr>
        <w:spacing w:after="110" w:line="340"/>
        <w:ind w:left="360" w:hanging="360"/>
      </w:pPr>
      <w:r>
        <w:rPr>
          <w:b/>
          <w:bCs/>
          <w:color w:val="0A6E4C"/>
        </w:rPr>
        <w:t xml:space="preserve">2.  </w:t>
      </w:r>
      <w:r>
        <w:t xml:space="preserve">Can the highest-value recovery actions be executed at scale without unsafe access, or does human-minutes-per-case refuse to fall?</w:t>
      </w:r>
    </w:p>
    <w:p>
      <w:pPr>
        <w:spacing w:after="110" w:line="340"/>
        <w:ind w:left="360" w:hanging="360"/>
      </w:pPr>
      <w:r>
        <w:rPr>
          <w:b/>
          <w:bCs/>
          <w:color w:val="0A6E4C"/>
        </w:rPr>
        <w:t xml:space="preserve">3.  </w:t>
      </w:r>
      <w:r>
        <w:t xml:space="preserve">What fraction of recoveries would the platform have paid anyway? (Answered only by the submit-vs-hold control.)</w:t>
      </w:r>
    </w:p>
    <w:p>
      <w:pPr>
        <w:spacing w:after="110" w:line="340"/>
        <w:ind w:left="360" w:hanging="360"/>
      </w:pPr>
      <w:r>
        <w:rPr>
          <w:b/>
          <w:bCs/>
          <w:color w:val="0A6E4C"/>
        </w:rPr>
        <w:t xml:space="preserve">4.  </w:t>
      </w:r>
      <w:r>
        <w:t xml:space="preserve">Does the platform’s developer policy permit a third party to run recovery workflows under seller OAuth — and is that stable? Get it in writing before building the write path.</w:t>
      </w:r>
    </w:p>
    <w:p>
      <w:pPr>
        <w:spacing w:after="110" w:line="340"/>
        <w:ind w:left="360" w:hanging="360"/>
      </w:pPr>
      <w:r>
        <w:rPr>
          <w:b/>
          <w:bCs/>
          <w:color w:val="0A6E4C"/>
        </w:rPr>
        <w:t xml:space="preserve">5.  </w:t>
      </w:r>
      <w:r>
        <w:t xml:space="preserve">How large is the serviceable market after every filter (threshold, NF-e, not Model-6), and how much rides on the still-unproven white-label channel?</w:t>
      </w:r>
    </w:p>
    <w:tbl>
      <w:tblPr>
        <w:tblW w:type="dxa" w:w="9360"/>
        <w:tblBorders>
          <w:top w:val="single" w:color="BcD8CC" w:sz="6"/>
          <w:left w:val="single" w:color="0A6E4C" w:sz="24"/>
          <w:bottom w:val="single" w:color="BCD8CC" w:sz="6"/>
          <w:right w:val="single" w:color="BCD8CC" w:sz="6"/>
          <w:insideH w:val="none"/>
          <w:insideV w:val="none"/>
        </w:tblBorders>
      </w:tblPr>
      <w:tblGrid>
        <w:gridCol w:w="9360"/>
      </w:tblGrid>
      <w:tr>
        <w:tc>
          <w:tcPr>
            <w:tcW w:type="dxa" w:w="9360"/>
            <w:shd w:fill="E9F2ED" w:color="auto" w:val="clear"/>
            <w:tcMar>
              <w:top w:type="dxa" w:w="130"/>
              <w:left w:type="dxa" w:w="180"/>
              <w:bottom w:type="dxa" w:w="130"/>
              <w:right w:type="dxa" w:w="180"/>
            </w:tcMar>
          </w:tcPr>
          <w:p>
            <w:r>
              <w:rPr>
                <w:b/>
                <w:bCs/>
                <w:color w:val="0B4A36"/>
              </w:rPr>
              <w:t xml:space="preserve">Blunt verdict.  </w:t>
            </w:r>
            <w:r>
              <w:t xml:space="preserve">The engineering is strong, but strong architecture around an unproven core is over-engineering, not a moat. Do not build the platform until the pilot’s controlled A/B proves the recovery is real, large, recurring, and causally VOLTA’s. If it does, the ambitious version is fully justified. If it does not, that answer was bought for the price of a 45-day pilot instead of a platform.</w:t>
            </w:r>
          </w:p>
        </w:tc>
      </w:tr>
    </w:tbl>
    <w:p>
      <w:r>
        <w:br w:type="page"/>
      </w:r>
    </w:p>
    <w:p>
      <w:pPr>
        <w:spacing w:after="40" w:before="200"/>
      </w:pPr>
      <w:r>
        <w:rPr>
          <w:b/>
          <w:bCs/>
          <w:caps/>
          <w:color w:val="0A6E4C"/>
          <w:sz w:val="22"/>
          <w:szCs w:val="22"/>
        </w:rPr>
        <w:t xml:space="preserve">Part II</w:t>
      </w:r>
    </w:p>
    <w:p>
      <w:pPr>
        <w:pBdr>
          <w:bottom w:val="single" w:color="0B4A36" w:sz="18" w:space="4"/>
        </w:pBdr>
        <w:spacing w:after="60"/>
      </w:pPr>
      <w:r>
        <w:rPr>
          <w:b/>
          <w:bCs/>
          <w:color w:val="0B4A36"/>
          <w:sz w:val="46"/>
          <w:szCs w:val="46"/>
        </w:rPr>
        <w:t xml:space="preserve">The Technology</w:t>
      </w:r>
    </w:p>
    <w:p>
      <w:pPr>
        <w:spacing w:after="120"/>
      </w:pPr>
      <w:r>
        <w:t xml:space="preserve"/>
      </w:r>
    </w:p>
    <w:p>
      <w:pPr>
        <w:pStyle w:val="Heading1"/>
      </w:pPr>
      <w:r>
        <w:t xml:space="preserve">13.  Design Principles &amp; the Core Invariant</w:t>
      </w:r>
    </w:p>
    <w:p>
      <w:r>
        <w:t xml:space="preserve">Three principles govern every technical decision:</w:t>
      </w:r>
    </w:p>
    <w:p>
      <w:pPr>
        <w:spacing w:after="110" w:line="340"/>
        <w:ind w:left="360" w:hanging="360"/>
      </w:pPr>
      <w:r>
        <w:rPr>
          <w:b/>
          <w:bCs/>
          <w:color w:val="0A6E4C"/>
        </w:rPr>
        <w:t xml:space="preserve">1.  </w:t>
      </w:r>
      <w:r>
        <w:rPr>
          <w:b/>
          <w:bCs/>
        </w:rPr>
        <w:t xml:space="preserve">Build the workbench, not the chatbot. </w:t>
      </w:r>
      <w:r>
        <w:t xml:space="preserve">A raw chat has no memory, no webhooks, no evidence graph, and no audit log; it resets every session. The durable asset is the deterministic engine plus an append-only system of record.</w:t>
      </w:r>
    </w:p>
    <w:p>
      <w:pPr>
        <w:spacing w:after="110" w:line="340"/>
        <w:ind w:left="360" w:hanging="360"/>
      </w:pPr>
      <w:r>
        <w:rPr>
          <w:b/>
          <w:bCs/>
          <w:color w:val="0A6E4C"/>
        </w:rPr>
        <w:t xml:space="preserve">2.  </w:t>
      </w:r>
      <w:r>
        <w:rPr>
          <w:b/>
          <w:bCs/>
        </w:rPr>
        <w:t xml:space="preserve">Code computes every centavo; the LLM computes none. </w:t>
      </w:r>
      <w:r>
        <w:t xml:space="preserve">Money, quantities, deadlines, and fees are calculated in deterministic code and stored as integer centavos. The LLM reads documents, drafts Portuguese, and summarizes replies — it literally never writes a number.</w:t>
      </w:r>
    </w:p>
    <w:p>
      <w:pPr>
        <w:spacing w:after="110" w:line="340"/>
        <w:ind w:left="360" w:hanging="360"/>
      </w:pPr>
      <w:r>
        <w:rPr>
          <w:b/>
          <w:bCs/>
          <w:color w:val="0A6E4C"/>
        </w:rPr>
        <w:t xml:space="preserve">3.  </w:t>
      </w:r>
      <w:r>
        <w:rPr>
          <w:b/>
          <w:bCs/>
        </w:rPr>
        <w:t xml:space="preserve">The system of record is an append-only, hash-chained event log. </w:t>
      </w:r>
      <w:r>
        <w:t xml:space="preserve">Because success fees are contestable, VOLTA must be able to replay which raw payload and which rule-version produced any figure, who approved it, and when. This is the audit log, the LGPD record, and the dispute defence in one.</w:t>
      </w:r>
    </w:p>
    <w:p>
      <w:pPr>
        <w:spacing w:after="110" w:line="340"/>
        <w:ind w:left="360" w:hanging="360"/>
      </w:pPr>
      <w:r>
        <w:rPr>
          <w:b/>
          <w:bCs/>
          <w:color w:val="0A6E4C"/>
        </w:rPr>
        <w:t xml:space="preserve">4.  </w:t>
      </w:r>
      <w:r>
        <w:rPr>
          <w:b/>
          <w:bCs/>
        </w:rPr>
        <w:t xml:space="preserve">Designed for speed — of building and of scaling. </w:t>
      </w:r>
      <w:r>
        <w:t xml:space="preserve">The whole stack is chosen so a tiny team ships fast and grows without re-architecting: a single deployable (no microservice overhead), a server-rendered UI with no separate frontend build, rules and thresholds as configuration rows so new detection ships without a redeploy, and one platform-agnostic engine so a new marketplace or country is a connector rather than a rewrite. Speed of iteration is a first-class requirement, not an afterthought.</w:t>
      </w:r>
    </w:p>
    <w:p>
      <w:pPr>
        <w:pStyle w:val="Heading1"/>
      </w:pPr>
      <w:r>
        <w:t xml:space="preserve">14.  System Architecture</w:t>
      </w:r>
    </w:p>
    <w:p>
      <w:r>
        <w:t xml:space="preserve">VOLTA is a modular monolith — one FastAPI (Python) deployable with clean internal modules — plus two deliberately isolated processes: the webhook receiver and the AI service. A small team optimizing for confirmed-credits-per-hour should not pay a distributed-systems tax. Everything runs in the São Paulo region for LGPD data residency.</w:t>
      </w:r>
    </w:p>
    <w:p>
      <w:r>
        <w:t xml:space="preserve">The pipeline is: ingest → normalize → reconcile → detect → case → review → approve → submit → monitor → reconcile credit → invoice.</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500"/>
        <w:gridCol w:w="2400"/>
        <w:gridCol w:w="4460"/>
      </w:tblGrid>
      <w:tr>
        <w:trPr>
          <w:tblHeader/>
        </w:trPr>
        <w:tc>
          <w:tcPr>
            <w:tcW w:type="dxa" w:w="2500"/>
            <w:shd w:fill="0B4A36" w:color="auto" w:val="clear"/>
            <w:tcMar>
              <w:top w:type="dxa" w:w="80"/>
              <w:left w:type="dxa" w:w="120"/>
              <w:bottom w:type="dxa" w:w="80"/>
              <w:right w:type="dxa" w:w="120"/>
            </w:tcMar>
          </w:tcPr>
          <w:p>
            <w:pPr>
              <w:spacing w:after="0" w:line="260"/>
            </w:pPr>
            <w:r>
              <w:rPr>
                <w:b/>
                <w:bCs/>
                <w:color w:val="FFFFFF"/>
                <w:sz w:val="22"/>
                <w:szCs w:val="22"/>
              </w:rPr>
              <w:t xml:space="preserve">Component</w:t>
            </w:r>
          </w:p>
        </w:tc>
        <w:tc>
          <w:tcPr>
            <w:tcW w:type="dxa" w:w="2400"/>
            <w:shd w:fill="0B4A36" w:color="auto" w:val="clear"/>
            <w:tcMar>
              <w:top w:type="dxa" w:w="80"/>
              <w:left w:type="dxa" w:w="120"/>
              <w:bottom w:type="dxa" w:w="80"/>
              <w:right w:type="dxa" w:w="120"/>
            </w:tcMar>
          </w:tcPr>
          <w:p>
            <w:pPr>
              <w:spacing w:after="0" w:line="260"/>
            </w:pPr>
            <w:r>
              <w:rPr>
                <w:b/>
                <w:bCs/>
                <w:color w:val="FFFFFF"/>
                <w:sz w:val="22"/>
                <w:szCs w:val="22"/>
              </w:rPr>
              <w:t xml:space="preserve">Choice</w:t>
            </w:r>
          </w:p>
        </w:tc>
        <w:tc>
          <w:tcPr>
            <w:tcW w:type="dxa" w:w="4460"/>
            <w:shd w:fill="0B4A36" w:color="auto" w:val="clear"/>
            <w:tcMar>
              <w:top w:type="dxa" w:w="80"/>
              <w:left w:type="dxa" w:w="120"/>
              <w:bottom w:type="dxa" w:w="80"/>
              <w:right w:type="dxa" w:w="120"/>
            </w:tcMar>
          </w:tcPr>
          <w:p>
            <w:pPr>
              <w:spacing w:after="0" w:line="260"/>
            </w:pPr>
            <w:r>
              <w:rPr>
                <w:b/>
                <w:bCs/>
                <w:color w:val="FFFFFF"/>
                <w:sz w:val="22"/>
                <w:szCs w:val="22"/>
              </w:rPr>
              <w:t xml:space="preserve">Function / why</w:t>
            </w:r>
          </w:p>
        </w:tc>
      </w:tr>
      <w:tr>
        <w:tc>
          <w:tcPr>
            <w:tcW w:type="dxa" w:w="2500"/>
            <w:tcMar>
              <w:top w:type="dxa" w:w="80"/>
              <w:left w:type="dxa" w:w="120"/>
              <w:bottom w:type="dxa" w:w="80"/>
              <w:right w:type="dxa" w:w="120"/>
            </w:tcMar>
          </w:tcPr>
          <w:p>
            <w:pPr>
              <w:spacing w:after="0" w:line="264"/>
            </w:pPr>
            <w:r>
              <w:rPr>
                <w:color w:val="141414"/>
                <w:sz w:val="22"/>
                <w:szCs w:val="22"/>
              </w:rPr>
              <w:t xml:space="preserve">API + logic</w:t>
            </w:r>
          </w:p>
        </w:tc>
        <w:tc>
          <w:tcPr>
            <w:tcW w:type="dxa" w:w="2400"/>
            <w:tcMar>
              <w:top w:type="dxa" w:w="80"/>
              <w:left w:type="dxa" w:w="120"/>
              <w:bottom w:type="dxa" w:w="80"/>
              <w:right w:type="dxa" w:w="120"/>
            </w:tcMar>
          </w:tcPr>
          <w:p>
            <w:pPr>
              <w:spacing w:after="0" w:line="264"/>
            </w:pPr>
            <w:r>
              <w:rPr>
                <w:color w:val="141414"/>
                <w:sz w:val="22"/>
                <w:szCs w:val="22"/>
              </w:rPr>
              <w:t xml:space="preserve">FastAPI (Python 3.12)</w:t>
            </w:r>
          </w:p>
        </w:tc>
        <w:tc>
          <w:tcPr>
            <w:tcW w:type="dxa" w:w="4460"/>
            <w:tcMar>
              <w:top w:type="dxa" w:w="80"/>
              <w:left w:type="dxa" w:w="120"/>
              <w:bottom w:type="dxa" w:w="80"/>
              <w:right w:type="dxa" w:w="120"/>
            </w:tcMar>
          </w:tcPr>
          <w:p>
            <w:pPr>
              <w:spacing w:after="0" w:line="264"/>
            </w:pPr>
            <w:r>
              <w:rPr>
                <w:color w:val="141414"/>
                <w:sz w:val="22"/>
                <w:szCs w:val="22"/>
              </w:rPr>
              <w:t xml:space="preserve">One deployable; internal modules ingest / normalize / reconcile / rules / cases / submit / billing</w:t>
            </w:r>
          </w:p>
        </w:tc>
      </w:tr>
      <w:tr>
        <w:tc>
          <w:tcPr>
            <w:tcW w:type="dxa" w:w="2500"/>
            <w:shd w:fill="F2F6F4" w:color="auto" w:val="clear"/>
            <w:tcMar>
              <w:top w:type="dxa" w:w="80"/>
              <w:left w:type="dxa" w:w="120"/>
              <w:bottom w:type="dxa" w:w="80"/>
              <w:right w:type="dxa" w:w="120"/>
            </w:tcMar>
          </w:tcPr>
          <w:p>
            <w:pPr>
              <w:spacing w:after="0" w:line="264"/>
            </w:pPr>
            <w:r>
              <w:rPr>
                <w:color w:val="141414"/>
                <w:sz w:val="22"/>
                <w:szCs w:val="22"/>
              </w:rPr>
              <w:t xml:space="preserve">System of record + event store</w:t>
            </w:r>
          </w:p>
        </w:tc>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PostgreSQL 16</w:t>
            </w:r>
          </w:p>
        </w:tc>
        <w:tc>
          <w:tcPr>
            <w:tcW w:type="dxa" w:w="4460"/>
            <w:shd w:fill="F2F6F4" w:color="auto" w:val="clear"/>
            <w:tcMar>
              <w:top w:type="dxa" w:w="80"/>
              <w:left w:type="dxa" w:w="120"/>
              <w:bottom w:type="dxa" w:w="80"/>
              <w:right w:type="dxa" w:w="120"/>
            </w:tcMar>
          </w:tcPr>
          <w:p>
            <w:pPr>
              <w:spacing w:after="0" w:line="264"/>
            </w:pPr>
            <w:r>
              <w:rPr>
                <w:color w:val="141414"/>
                <w:sz w:val="22"/>
                <w:szCs w:val="22"/>
              </w:rPr>
              <w:t xml:space="preserve">Canonical state and the append-only case_events spine in one store; Row-Level Security for tenant isolation</w:t>
            </w:r>
          </w:p>
        </w:tc>
      </w:tr>
      <w:tr>
        <w:tc>
          <w:tcPr>
            <w:tcW w:type="dxa" w:w="2500"/>
            <w:tcMar>
              <w:top w:type="dxa" w:w="80"/>
              <w:left w:type="dxa" w:w="120"/>
              <w:bottom w:type="dxa" w:w="80"/>
              <w:right w:type="dxa" w:w="120"/>
            </w:tcMar>
          </w:tcPr>
          <w:p>
            <w:pPr>
              <w:spacing w:after="0" w:line="264"/>
            </w:pPr>
            <w:r>
              <w:rPr>
                <w:color w:val="141414"/>
                <w:sz w:val="22"/>
                <w:szCs w:val="22"/>
              </w:rPr>
              <w:t xml:space="preserve">Object storage</w:t>
            </w:r>
          </w:p>
        </w:tc>
        <w:tc>
          <w:tcPr>
            <w:tcW w:type="dxa" w:w="2400"/>
            <w:tcMar>
              <w:top w:type="dxa" w:w="80"/>
              <w:left w:type="dxa" w:w="120"/>
              <w:bottom w:type="dxa" w:w="80"/>
              <w:right w:type="dxa" w:w="120"/>
            </w:tcMar>
          </w:tcPr>
          <w:p>
            <w:pPr>
              <w:spacing w:after="0" w:line="264"/>
            </w:pPr>
            <w:r>
              <w:rPr>
                <w:color w:val="141414"/>
                <w:sz w:val="22"/>
                <w:szCs w:val="22"/>
              </w:rPr>
              <w:t xml:space="preserve">S3 (SSE-KMS)</w:t>
            </w:r>
          </w:p>
        </w:tc>
        <w:tc>
          <w:tcPr>
            <w:tcW w:type="dxa" w:w="4460"/>
            <w:tcMar>
              <w:top w:type="dxa" w:w="80"/>
              <w:left w:type="dxa" w:w="120"/>
              <w:bottom w:type="dxa" w:w="80"/>
              <w:right w:type="dxa" w:w="120"/>
            </w:tcMar>
          </w:tcPr>
          <w:p>
            <w:pPr>
              <w:spacing w:after="0" w:line="264"/>
            </w:pPr>
            <w:r>
              <w:rPr>
                <w:color w:val="141414"/>
                <w:sz w:val="22"/>
                <w:szCs w:val="22"/>
              </w:rPr>
              <w:t xml:space="preserve">Invoices, evidence, generated PDFs; per-tenant prefix</w:t>
            </w:r>
          </w:p>
        </w:tc>
      </w:tr>
      <w:tr>
        <w:tc>
          <w:tcPr>
            <w:tcW w:type="dxa" w:w="2500"/>
            <w:shd w:fill="F2F6F4" w:color="auto" w:val="clear"/>
            <w:tcMar>
              <w:top w:type="dxa" w:w="80"/>
              <w:left w:type="dxa" w:w="120"/>
              <w:bottom w:type="dxa" w:w="80"/>
              <w:right w:type="dxa" w:w="120"/>
            </w:tcMar>
          </w:tcPr>
          <w:p>
            <w:pPr>
              <w:spacing w:after="0" w:line="264"/>
            </w:pPr>
            <w:r>
              <w:rPr>
                <w:color w:val="141414"/>
                <w:sz w:val="22"/>
                <w:szCs w:val="22"/>
              </w:rPr>
              <w:t xml:space="preserve">Job queue / scheduler</w:t>
            </w:r>
          </w:p>
        </w:tc>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Redis + Dramatiq; APScheduler</w:t>
            </w:r>
          </w:p>
        </w:tc>
        <w:tc>
          <w:tcPr>
            <w:tcW w:type="dxa" w:w="4460"/>
            <w:shd w:fill="F2F6F4" w:color="auto" w:val="clear"/>
            <w:tcMar>
              <w:top w:type="dxa" w:w="80"/>
              <w:left w:type="dxa" w:w="120"/>
              <w:bottom w:type="dxa" w:w="80"/>
              <w:right w:type="dxa" w:w="120"/>
            </w:tcMar>
          </w:tcPr>
          <w:p>
            <w:pPr>
              <w:spacing w:after="0" w:line="264"/>
            </w:pPr>
            <w:r>
              <w:rPr>
                <w:color w:val="141414"/>
                <w:sz w:val="22"/>
                <w:szCs w:val="22"/>
              </w:rPr>
              <w:t xml:space="preserve">Durable imports, reconciliation, monitoring, deadline sweeps</w:t>
            </w:r>
          </w:p>
        </w:tc>
      </w:tr>
      <w:tr>
        <w:tc>
          <w:tcPr>
            <w:tcW w:type="dxa" w:w="2500"/>
            <w:tcMar>
              <w:top w:type="dxa" w:w="80"/>
              <w:left w:type="dxa" w:w="120"/>
              <w:bottom w:type="dxa" w:w="80"/>
              <w:right w:type="dxa" w:w="120"/>
            </w:tcMar>
          </w:tcPr>
          <w:p>
            <w:pPr>
              <w:spacing w:after="0" w:line="264"/>
            </w:pPr>
            <w:r>
              <w:rPr>
                <w:color w:val="141414"/>
                <w:sz w:val="22"/>
                <w:szCs w:val="22"/>
              </w:rPr>
              <w:t xml:space="preserve">Webhook receiver</w:t>
            </w:r>
          </w:p>
        </w:tc>
        <w:tc>
          <w:tcPr>
            <w:tcW w:type="dxa" w:w="2400"/>
            <w:tcMar>
              <w:top w:type="dxa" w:w="80"/>
              <w:left w:type="dxa" w:w="120"/>
              <w:bottom w:type="dxa" w:w="80"/>
              <w:right w:type="dxa" w:w="120"/>
            </w:tcMar>
          </w:tcPr>
          <w:p>
            <w:pPr>
              <w:spacing w:after="0" w:line="264"/>
            </w:pPr>
            <w:r>
              <w:rPr>
                <w:color w:val="141414"/>
                <w:sz w:val="22"/>
                <w:szCs w:val="22"/>
              </w:rPr>
              <w:t xml:space="preserve">Isolated process</w:t>
            </w:r>
          </w:p>
        </w:tc>
        <w:tc>
          <w:tcPr>
            <w:tcW w:type="dxa" w:w="4460"/>
            <w:tcMar>
              <w:top w:type="dxa" w:w="80"/>
              <w:left w:type="dxa" w:w="120"/>
              <w:bottom w:type="dxa" w:w="80"/>
              <w:right w:type="dxa" w:w="120"/>
            </w:tcMar>
          </w:tcPr>
          <w:p>
            <w:pPr>
              <w:spacing w:after="0" w:line="264"/>
            </w:pPr>
            <w:r>
              <w:rPr>
                <w:color w:val="141414"/>
                <w:sz w:val="22"/>
                <w:szCs w:val="22"/>
              </w:rPr>
              <w:t xml:space="preserve">Persist the pointer, acknowledge in under 200ms; a poller backfills missed notifications</w:t>
            </w:r>
          </w:p>
        </w:tc>
      </w:tr>
      <w:tr>
        <w:tc>
          <w:tcPr>
            <w:tcW w:type="dxa" w:w="2500"/>
            <w:shd w:fill="F2F6F4" w:color="auto" w:val="clear"/>
            <w:tcMar>
              <w:top w:type="dxa" w:w="80"/>
              <w:left w:type="dxa" w:w="120"/>
              <w:bottom w:type="dxa" w:w="80"/>
              <w:right w:type="dxa" w:w="120"/>
            </w:tcMar>
          </w:tcPr>
          <w:p>
            <w:pPr>
              <w:spacing w:after="0" w:line="264"/>
            </w:pPr>
            <w:r>
              <w:rPr>
                <w:color w:val="141414"/>
                <w:sz w:val="22"/>
                <w:szCs w:val="22"/>
              </w:rPr>
              <w:t xml:space="preserve">AI service</w:t>
            </w:r>
          </w:p>
        </w:tc>
        <w:tc>
          <w:tcPr>
            <w:tcW w:type="dxa" w:w="2400"/>
            <w:shd w:fill="F2F6F4" w:color="auto" w:val="clear"/>
            <w:tcMar>
              <w:top w:type="dxa" w:w="80"/>
              <w:left w:type="dxa" w:w="120"/>
              <w:bottom w:type="dxa" w:w="80"/>
              <w:right w:type="dxa" w:w="120"/>
            </w:tcMar>
          </w:tcPr>
          <w:p>
            <w:pPr>
              <w:spacing w:after="0" w:line="264"/>
            </w:pPr>
            <w:r>
              <w:rPr>
                <w:color w:val="141414"/>
                <w:sz w:val="22"/>
                <w:szCs w:val="22"/>
              </w:rPr>
              <w:t xml:space="preserve">Isolated process</w:t>
            </w:r>
          </w:p>
        </w:tc>
        <w:tc>
          <w:tcPr>
            <w:tcW w:type="dxa" w:w="4460"/>
            <w:shd w:fill="F2F6F4" w:color="auto" w:val="clear"/>
            <w:tcMar>
              <w:top w:type="dxa" w:w="80"/>
              <w:left w:type="dxa" w:w="120"/>
              <w:bottom w:type="dxa" w:w="80"/>
              <w:right w:type="dxa" w:w="120"/>
            </w:tcMar>
          </w:tcPr>
          <w:p>
            <w:pPr>
              <w:spacing w:after="0" w:line="264"/>
            </w:pPr>
            <w:r>
              <w:rPr>
                <w:color w:val="141414"/>
                <w:sz w:val="22"/>
                <w:szCs w:val="22"/>
              </w:rPr>
              <w:t xml:space="preserve">Drafts only: no database write to money fields, no marketplace network route</w:t>
            </w:r>
          </w:p>
        </w:tc>
      </w:tr>
    </w:tbl>
    <w:p>
      <w:pPr>
        <w:spacing w:after="60"/>
      </w:pPr>
      <w:r>
        <w:t xml:space="preserve"/>
      </w:r>
    </w:p>
    <w:p>
      <w:r>
        <w:t xml:space="preserve">Key patterns: ingestion is idempotent via a natural key with ON CONFLICT DO NOTHING; because reconciliation is a deterministic function of canonical state, rules re-run any time without creating duplicate cases. Tenant isolation is structural (tenant_id on every row + Row-Level Security + a per-request tenant setting). Observability tracks the eight metrics as first-class gauges, headlined by confirmed credits divided by human minutes, with a reconciliation-freshness SLO and a deadline-risk dashboard to guard against the biggest silent failure — a missed claim window.</w:t>
      </w:r>
    </w:p>
    <w:p>
      <w:pPr>
        <w:pStyle w:val="Heading1"/>
      </w:pPr>
      <w:r>
        <w:t xml:space="preserve">15.  The Deterministic Recovery Engine</w:t>
      </w:r>
    </w:p>
    <w:p>
      <w:r>
        <w:t xml:space="preserve">Every candidate case is a ledger row answering one question — expected credit minus matched credit equals the unresolved difference — stamped with the exact rule and version that produced it. Thresholds, windows, and tolerances are configuration rows, not code, so a new rule ships without a redeploy.</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700"/>
        <w:gridCol w:w="3560"/>
        <w:gridCol w:w="1700"/>
        <w:gridCol w:w="1400"/>
      </w:tblGrid>
      <w:tr>
        <w:trPr>
          <w:tblHeader/>
        </w:trPr>
        <w:tc>
          <w:tcPr>
            <w:tcW w:type="dxa" w:w="2700"/>
            <w:shd w:fill="0B4A36" w:color="auto" w:val="clear"/>
            <w:tcMar>
              <w:top w:type="dxa" w:w="80"/>
              <w:left w:type="dxa" w:w="120"/>
              <w:bottom w:type="dxa" w:w="80"/>
              <w:right w:type="dxa" w:w="120"/>
            </w:tcMar>
          </w:tcPr>
          <w:p>
            <w:pPr>
              <w:spacing w:after="0" w:line="260"/>
            </w:pPr>
            <w:r>
              <w:rPr>
                <w:b/>
                <w:bCs/>
                <w:color w:val="FFFFFF"/>
                <w:sz w:val="22"/>
                <w:szCs w:val="22"/>
              </w:rPr>
              <w:t xml:space="preserve">Rule</w:t>
            </w:r>
          </w:p>
        </w:tc>
        <w:tc>
          <w:tcPr>
            <w:tcW w:type="dxa" w:w="3560"/>
            <w:shd w:fill="0B4A36" w:color="auto" w:val="clear"/>
            <w:tcMar>
              <w:top w:type="dxa" w:w="80"/>
              <w:left w:type="dxa" w:w="120"/>
              <w:bottom w:type="dxa" w:w="80"/>
              <w:right w:type="dxa" w:w="120"/>
            </w:tcMar>
          </w:tcPr>
          <w:p>
            <w:pPr>
              <w:spacing w:after="0" w:line="260"/>
            </w:pPr>
            <w:r>
              <w:rPr>
                <w:b/>
                <w:bCs/>
                <w:color w:val="FFFFFF"/>
                <w:sz w:val="22"/>
                <w:szCs w:val="22"/>
              </w:rPr>
              <w:t xml:space="preserve">Reconciliation (join)</w:t>
            </w:r>
          </w:p>
        </w:tc>
        <w:tc>
          <w:tcPr>
            <w:tcW w:type="dxa" w:w="1700"/>
            <w:shd w:fill="0B4A36" w:color="auto" w:val="clear"/>
            <w:tcMar>
              <w:top w:type="dxa" w:w="80"/>
              <w:left w:type="dxa" w:w="120"/>
              <w:bottom w:type="dxa" w:w="80"/>
              <w:right w:type="dxa" w:w="120"/>
            </w:tcMar>
          </w:tcPr>
          <w:p>
            <w:pPr>
              <w:spacing w:after="0" w:line="260"/>
            </w:pPr>
            <w:r>
              <w:rPr>
                <w:b/>
                <w:bCs/>
                <w:color w:val="FFFFFF"/>
                <w:sz w:val="22"/>
                <w:szCs w:val="22"/>
              </w:rPr>
              <w:t xml:space="preserve">Amount</w:t>
            </w:r>
          </w:p>
        </w:tc>
        <w:tc>
          <w:tcPr>
            <w:tcW w:type="dxa" w:w="1400"/>
            <w:shd w:fill="0B4A36" w:color="auto" w:val="clear"/>
            <w:tcMar>
              <w:top w:type="dxa" w:w="80"/>
              <w:left w:type="dxa" w:w="120"/>
              <w:bottom w:type="dxa" w:w="80"/>
              <w:right w:type="dxa" w:w="120"/>
            </w:tcMar>
          </w:tcPr>
          <w:p>
            <w:pPr>
              <w:spacing w:after="0" w:line="260"/>
            </w:pPr>
            <w:r>
              <w:rPr>
                <w:b/>
                <w:bCs/>
                <w:color w:val="FFFFFF"/>
                <w:sz w:val="22"/>
                <w:szCs w:val="22"/>
              </w:rPr>
              <w:t xml:space="preserve">Deadline</w:t>
            </w:r>
          </w:p>
        </w:tc>
      </w:tr>
      <w:tr>
        <w:tc>
          <w:tcPr>
            <w:tcW w:type="dxa" w:w="2700"/>
            <w:tcMar>
              <w:top w:type="dxa" w:w="80"/>
              <w:left w:type="dxa" w:w="120"/>
              <w:bottom w:type="dxa" w:w="80"/>
              <w:right w:type="dxa" w:w="120"/>
            </w:tcMar>
          </w:tcPr>
          <w:p>
            <w:pPr>
              <w:spacing w:after="0" w:line="264"/>
            </w:pPr>
            <w:r>
              <w:rPr>
                <w:rFonts w:ascii="Consolas" w:cs="Consolas" w:eastAsia="Consolas" w:hAnsi="Consolas"/>
                <w:b/>
                <w:bCs/>
                <w:i w:val="false"/>
                <w:iCs w:val="false"/>
                <w:color w:val="1D6B4F"/>
                <w:sz w:val="20"/>
                <w:szCs w:val="20"/>
              </w:rPr>
              <w:t xml:space="preserve">FULL_DAMAGE_NO_MATCHED_CREDIT</w:t>
            </w:r>
          </w:p>
        </w:tc>
        <w:tc>
          <w:tcPr>
            <w:tcW w:type="dxa" w:w="3560"/>
            <w:tcMar>
              <w:top w:type="dxa" w:w="80"/>
              <w:left w:type="dxa" w:w="120"/>
              <w:bottom w:type="dxa" w:w="80"/>
              <w:right w:type="dxa" w:w="120"/>
            </w:tcMar>
          </w:tcPr>
          <w:p>
            <w:pPr>
              <w:spacing w:after="0" w:line="264"/>
            </w:pPr>
            <w:r>
              <w:rPr>
                <w:color w:val="141414"/>
                <w:sz w:val="22"/>
                <w:szCs w:val="22"/>
              </w:rPr>
              <w:t xml:space="preserve">stock op (warehouse damage) × credit on inventory+movement</w:t>
            </w:r>
          </w:p>
        </w:tc>
        <w:tc>
          <w:tcPr>
            <w:tcW w:type="dxa" w:w="1700"/>
            <w:tcMar>
              <w:top w:type="dxa" w:w="80"/>
              <w:left w:type="dxa" w:w="120"/>
              <w:bottom w:type="dxa" w:w="80"/>
              <w:right w:type="dxa" w:w="120"/>
            </w:tcMar>
          </w:tcPr>
          <w:p>
            <w:pPr>
              <w:spacing w:after="0" w:line="264"/>
            </w:pPr>
            <w:r>
              <w:rPr>
                <w:color w:val="141414"/>
                <w:sz w:val="22"/>
                <w:szCs w:val="22"/>
              </w:rPr>
              <w:t xml:space="preserve">qty × unit_ref</w:t>
            </w:r>
          </w:p>
        </w:tc>
        <w:tc>
          <w:tcPr>
            <w:tcW w:type="dxa" w:w="1400"/>
            <w:tcMar>
              <w:top w:type="dxa" w:w="80"/>
              <w:left w:type="dxa" w:w="120"/>
              <w:bottom w:type="dxa" w:w="80"/>
              <w:right w:type="dxa" w:w="120"/>
            </w:tcMar>
          </w:tcPr>
          <w:p>
            <w:pPr>
              <w:spacing w:after="0" w:line="264"/>
            </w:pPr>
            <w:r>
              <w:rPr>
                <w:color w:val="141414"/>
                <w:sz w:val="22"/>
                <w:szCs w:val="22"/>
              </w:rPr>
              <w:t xml:space="preserve">event +180d</w:t>
            </w:r>
          </w:p>
        </w:tc>
      </w:tr>
      <w:tr>
        <w:tc>
          <w:tcPr>
            <w:tcW w:type="dxa" w:w="2700"/>
            <w:shd w:fill="F2F6F4" w:color="auto" w:val="clear"/>
            <w:tcMar>
              <w:top w:type="dxa" w:w="80"/>
              <w:left w:type="dxa" w:w="120"/>
              <w:bottom w:type="dxa" w:w="80"/>
              <w:right w:type="dxa" w:w="120"/>
            </w:tcMar>
          </w:tcPr>
          <w:p>
            <w:pPr>
              <w:spacing w:after="0" w:line="264"/>
            </w:pPr>
            <w:r>
              <w:rPr>
                <w:rFonts w:ascii="Consolas" w:cs="Consolas" w:eastAsia="Consolas" w:hAnsi="Consolas"/>
                <w:b/>
                <w:bCs/>
                <w:i w:val="false"/>
                <w:iCs w:val="false"/>
                <w:color w:val="1D6B4F"/>
                <w:sz w:val="20"/>
                <w:szCs w:val="20"/>
              </w:rPr>
              <w:t xml:space="preserve">NEGATIVE_STOCK_AUDIT_UNRESOLVED</w:t>
            </w:r>
          </w:p>
        </w:tc>
        <w:tc>
          <w:tcPr>
            <w:tcW w:type="dxa" w:w="3560"/>
            <w:shd w:fill="F2F6F4" w:color="auto" w:val="clear"/>
            <w:tcMar>
              <w:top w:type="dxa" w:w="80"/>
              <w:left w:type="dxa" w:w="120"/>
              <w:bottom w:type="dxa" w:w="80"/>
              <w:right w:type="dxa" w:w="120"/>
            </w:tcMar>
          </w:tcPr>
          <w:p>
            <w:pPr>
              <w:spacing w:after="0" w:line="264"/>
            </w:pPr>
            <w:r>
              <w:rPr>
                <w:color w:val="141414"/>
                <w:sz w:val="22"/>
                <w:szCs w:val="22"/>
              </w:rPr>
              <w:t xml:space="preserve">negative adjustment × sales × returns × credit on sku</w:t>
            </w:r>
          </w:p>
        </w:tc>
        <w:tc>
          <w:tcPr>
            <w:tcW w:type="dxa" w:w="1700"/>
            <w:shd w:fill="F2F6F4" w:color="auto" w:val="clear"/>
            <w:tcMar>
              <w:top w:type="dxa" w:w="80"/>
              <w:left w:type="dxa" w:w="120"/>
              <w:bottom w:type="dxa" w:w="80"/>
              <w:right w:type="dxa" w:w="120"/>
            </w:tcMar>
          </w:tcPr>
          <w:p>
            <w:pPr>
              <w:spacing w:after="0" w:line="264"/>
            </w:pPr>
            <w:r>
              <w:rPr>
                <w:color w:val="141414"/>
                <w:sz w:val="22"/>
                <w:szCs w:val="22"/>
              </w:rPr>
              <w:t xml:space="preserve">adj − offsets</w:t>
            </w:r>
          </w:p>
        </w:tc>
        <w:tc>
          <w:tcPr>
            <w:tcW w:type="dxa" w:w="1400"/>
            <w:shd w:fill="F2F6F4" w:color="auto" w:val="clear"/>
            <w:tcMar>
              <w:top w:type="dxa" w:w="80"/>
              <w:left w:type="dxa" w:w="120"/>
              <w:bottom w:type="dxa" w:w="80"/>
              <w:right w:type="dxa" w:w="120"/>
            </w:tcMar>
          </w:tcPr>
          <w:p>
            <w:pPr>
              <w:spacing w:after="0" w:line="264"/>
            </w:pPr>
            <w:r>
              <w:rPr>
                <w:color w:val="141414"/>
                <w:sz w:val="22"/>
                <w:szCs w:val="22"/>
              </w:rPr>
              <w:t xml:space="preserve">event +60d</w:t>
            </w:r>
          </w:p>
        </w:tc>
      </w:tr>
      <w:tr>
        <w:tc>
          <w:tcPr>
            <w:tcW w:type="dxa" w:w="2700"/>
            <w:tcMar>
              <w:top w:type="dxa" w:w="80"/>
              <w:left w:type="dxa" w:w="120"/>
              <w:bottom w:type="dxa" w:w="80"/>
              <w:right w:type="dxa" w:w="120"/>
            </w:tcMar>
          </w:tcPr>
          <w:p>
            <w:pPr>
              <w:spacing w:after="0" w:line="264"/>
            </w:pPr>
            <w:r>
              <w:rPr>
                <w:rFonts w:ascii="Consolas" w:cs="Consolas" w:eastAsia="Consolas" w:hAnsi="Consolas"/>
                <w:b/>
                <w:bCs/>
                <w:i w:val="false"/>
                <w:iCs w:val="false"/>
                <w:color w:val="1D6B4F"/>
                <w:sz w:val="20"/>
                <w:szCs w:val="20"/>
              </w:rPr>
              <w:t xml:space="preserve">INBOUND_QUANTITY_DIFFERENCE</w:t>
            </w:r>
          </w:p>
        </w:tc>
        <w:tc>
          <w:tcPr>
            <w:tcW w:type="dxa" w:w="3560"/>
            <w:tcMar>
              <w:top w:type="dxa" w:w="80"/>
              <w:left w:type="dxa" w:w="120"/>
              <w:bottom w:type="dxa" w:w="80"/>
              <w:right w:type="dxa" w:w="120"/>
            </w:tcMar>
          </w:tcPr>
          <w:p>
            <w:pPr>
              <w:spacing w:after="0" w:line="264"/>
            </w:pPr>
            <w:r>
              <w:rPr>
                <w:color w:val="141414"/>
                <w:sz w:val="22"/>
                <w:szCs w:val="22"/>
              </w:rPr>
              <w:t xml:space="preserve">declared × check-in on shipment+sku, vs NF-e qty</w:t>
            </w:r>
          </w:p>
        </w:tc>
        <w:tc>
          <w:tcPr>
            <w:tcW w:type="dxa" w:w="1700"/>
            <w:tcMar>
              <w:top w:type="dxa" w:w="80"/>
              <w:left w:type="dxa" w:w="120"/>
              <w:bottom w:type="dxa" w:w="80"/>
              <w:right w:type="dxa" w:w="120"/>
            </w:tcMar>
          </w:tcPr>
          <w:p>
            <w:pPr>
              <w:spacing w:after="0" w:line="264"/>
            </w:pPr>
            <w:r>
              <w:rPr>
                <w:color w:val="141414"/>
                <w:sz w:val="22"/>
                <w:szCs w:val="22"/>
              </w:rPr>
              <w:t xml:space="preserve">delta × NF_unit</w:t>
            </w:r>
          </w:p>
        </w:tc>
        <w:tc>
          <w:tcPr>
            <w:tcW w:type="dxa" w:w="1400"/>
            <w:tcMar>
              <w:top w:type="dxa" w:w="80"/>
              <w:left w:type="dxa" w:w="120"/>
              <w:bottom w:type="dxa" w:w="80"/>
              <w:right w:type="dxa" w:w="120"/>
            </w:tcMar>
          </w:tcPr>
          <w:p>
            <w:pPr>
              <w:spacing w:after="0" w:line="264"/>
            </w:pPr>
            <w:r>
              <w:rPr>
                <w:color w:val="141414"/>
                <w:sz w:val="22"/>
                <w:szCs w:val="22"/>
              </w:rPr>
              <w:t xml:space="preserve">receipt +30d</w:t>
            </w:r>
          </w:p>
        </w:tc>
      </w:tr>
      <w:tr>
        <w:tc>
          <w:tcPr>
            <w:tcW w:type="dxa" w:w="2700"/>
            <w:shd w:fill="F2F6F4" w:color="auto" w:val="clear"/>
            <w:tcMar>
              <w:top w:type="dxa" w:w="80"/>
              <w:left w:type="dxa" w:w="120"/>
              <w:bottom w:type="dxa" w:w="80"/>
              <w:right w:type="dxa" w:w="120"/>
            </w:tcMar>
          </w:tcPr>
          <w:p>
            <w:pPr>
              <w:spacing w:after="0" w:line="264"/>
            </w:pPr>
            <w:r>
              <w:rPr>
                <w:rFonts w:ascii="Consolas" w:cs="Consolas" w:eastAsia="Consolas" w:hAnsi="Consolas"/>
                <w:b/>
                <w:bCs/>
                <w:i w:val="false"/>
                <w:iCs w:val="false"/>
                <w:color w:val="1D6B4F"/>
                <w:sz w:val="20"/>
                <w:szCs w:val="20"/>
              </w:rPr>
              <w:t xml:space="preserve">CLAIM_ACTION_DEADLINE</w:t>
            </w:r>
          </w:p>
        </w:tc>
        <w:tc>
          <w:tcPr>
            <w:tcW w:type="dxa" w:w="3560"/>
            <w:shd w:fill="F2F6F4" w:color="auto" w:val="clear"/>
            <w:tcMar>
              <w:top w:type="dxa" w:w="80"/>
              <w:left w:type="dxa" w:w="120"/>
              <w:bottom w:type="dxa" w:w="80"/>
              <w:right w:type="dxa" w:w="120"/>
            </w:tcMar>
          </w:tcPr>
          <w:p>
            <w:pPr>
              <w:spacing w:after="0" w:line="264"/>
            </w:pPr>
            <w:r>
              <w:rPr>
                <w:color w:val="141414"/>
                <w:sz w:val="22"/>
                <w:szCs w:val="22"/>
              </w:rPr>
              <w:t xml:space="preserve">claims: available_actions.expiration</w:t>
            </w:r>
          </w:p>
        </w:tc>
        <w:tc>
          <w:tcPr>
            <w:tcW w:type="dxa" w:w="1700"/>
            <w:shd w:fill="F2F6F4" w:color="auto" w:val="clear"/>
            <w:tcMar>
              <w:top w:type="dxa" w:w="80"/>
              <w:left w:type="dxa" w:w="120"/>
              <w:bottom w:type="dxa" w:w="80"/>
              <w:right w:type="dxa" w:w="120"/>
            </w:tcMar>
          </w:tcPr>
          <w:p>
            <w:pPr>
              <w:spacing w:after="0" w:line="264"/>
            </w:pPr>
            <w:r>
              <w:rPr>
                <w:color w:val="141414"/>
                <w:sz w:val="22"/>
                <w:szCs w:val="22"/>
              </w:rPr>
              <w:t xml:space="preserve">preventive</w:t>
            </w:r>
          </w:p>
        </w:tc>
        <w:tc>
          <w:tcPr>
            <w:tcW w:type="dxa" w:w="1400"/>
            <w:shd w:fill="F2F6F4" w:color="auto" w:val="clear"/>
            <w:tcMar>
              <w:top w:type="dxa" w:w="80"/>
              <w:left w:type="dxa" w:w="120"/>
              <w:bottom w:type="dxa" w:w="80"/>
              <w:right w:type="dxa" w:w="120"/>
            </w:tcMar>
          </w:tcPr>
          <w:p>
            <w:pPr>
              <w:spacing w:after="0" w:line="264"/>
            </w:pPr>
            <w:r>
              <w:rPr>
                <w:color w:val="141414"/>
                <w:sz w:val="22"/>
                <w:szCs w:val="22"/>
              </w:rPr>
              <w:t xml:space="preserve">expiry − now</w:t>
            </w:r>
          </w:p>
        </w:tc>
      </w:tr>
      <w:tr>
        <w:tc>
          <w:tcPr>
            <w:tcW w:type="dxa" w:w="2700"/>
            <w:tcMar>
              <w:top w:type="dxa" w:w="80"/>
              <w:left w:type="dxa" w:w="120"/>
              <w:bottom w:type="dxa" w:w="80"/>
              <w:right w:type="dxa" w:w="120"/>
            </w:tcMar>
          </w:tcPr>
          <w:p>
            <w:pPr>
              <w:spacing w:after="0" w:line="264"/>
            </w:pPr>
            <w:r>
              <w:rPr>
                <w:rFonts w:ascii="Consolas" w:cs="Consolas" w:eastAsia="Consolas" w:hAnsi="Consolas"/>
                <w:b/>
                <w:bCs/>
                <w:i w:val="false"/>
                <w:iCs w:val="false"/>
                <w:color w:val="1D6B4F"/>
                <w:sz w:val="20"/>
                <w:szCs w:val="20"/>
              </w:rPr>
              <w:t xml:space="preserve">RETURN_CONDITION_REVIEW</w:t>
            </w:r>
          </w:p>
        </w:tc>
        <w:tc>
          <w:tcPr>
            <w:tcW w:type="dxa" w:w="3560"/>
            <w:tcMar>
              <w:top w:type="dxa" w:w="80"/>
              <w:left w:type="dxa" w:w="120"/>
              <w:bottom w:type="dxa" w:w="80"/>
              <w:right w:type="dxa" w:w="120"/>
            </w:tcMar>
          </w:tcPr>
          <w:p>
            <w:pPr>
              <w:spacing w:after="0" w:line="264"/>
            </w:pPr>
            <w:r>
              <w:rPr>
                <w:color w:val="141414"/>
                <w:sz w:val="22"/>
                <w:szCs w:val="22"/>
              </w:rPr>
              <w:t xml:space="preserve">returns × refunds × restock on order/claim</w:t>
            </w:r>
          </w:p>
        </w:tc>
        <w:tc>
          <w:tcPr>
            <w:tcW w:type="dxa" w:w="1700"/>
            <w:tcMar>
              <w:top w:type="dxa" w:w="80"/>
              <w:left w:type="dxa" w:w="120"/>
              <w:bottom w:type="dxa" w:w="80"/>
              <w:right w:type="dxa" w:w="120"/>
            </w:tcMar>
          </w:tcPr>
          <w:p>
            <w:pPr>
              <w:spacing w:after="0" w:line="264"/>
            </w:pPr>
            <w:r>
              <w:rPr>
                <w:color w:val="141414"/>
                <w:sz w:val="22"/>
                <w:szCs w:val="22"/>
              </w:rPr>
              <w:t xml:space="preserve">refunded, not restocked</w:t>
            </w:r>
          </w:p>
        </w:tc>
        <w:tc>
          <w:tcPr>
            <w:tcW w:type="dxa" w:w="1400"/>
            <w:tcMar>
              <w:top w:type="dxa" w:w="80"/>
              <w:left w:type="dxa" w:w="120"/>
              <w:bottom w:type="dxa" w:w="80"/>
              <w:right w:type="dxa" w:w="120"/>
            </w:tcMar>
          </w:tcPr>
          <w:p>
            <w:pPr>
              <w:spacing w:after="0" w:line="264"/>
            </w:pPr>
            <w:r>
              <w:rPr>
                <w:color w:val="141414"/>
                <w:sz w:val="22"/>
                <w:szCs w:val="22"/>
              </w:rPr>
              <w:t xml:space="preserve">return +30d</w:t>
            </w:r>
          </w:p>
        </w:tc>
      </w:tr>
      <w:tr>
        <w:tc>
          <w:tcPr>
            <w:tcW w:type="dxa" w:w="2700"/>
            <w:shd w:fill="F2F6F4" w:color="auto" w:val="clear"/>
            <w:tcMar>
              <w:top w:type="dxa" w:w="80"/>
              <w:left w:type="dxa" w:w="120"/>
              <w:bottom w:type="dxa" w:w="80"/>
              <w:right w:type="dxa" w:w="120"/>
            </w:tcMar>
          </w:tcPr>
          <w:p>
            <w:pPr>
              <w:spacing w:after="0" w:line="264"/>
            </w:pPr>
            <w:r>
              <w:rPr>
                <w:rFonts w:ascii="Consolas" w:cs="Consolas" w:eastAsia="Consolas" w:hAnsi="Consolas"/>
                <w:b/>
                <w:bCs/>
                <w:i w:val="false"/>
                <w:iCs w:val="false"/>
                <w:color w:val="1D6B4F"/>
                <w:sz w:val="20"/>
                <w:szCs w:val="20"/>
              </w:rPr>
              <w:t xml:space="preserve">APPROVED_CREDIT_NOT_RECEIVED</w:t>
            </w:r>
          </w:p>
        </w:tc>
        <w:tc>
          <w:tcPr>
            <w:tcW w:type="dxa" w:w="3560"/>
            <w:shd w:fill="F2F6F4" w:color="auto" w:val="clear"/>
            <w:tcMar>
              <w:top w:type="dxa" w:w="80"/>
              <w:left w:type="dxa" w:w="120"/>
              <w:bottom w:type="dxa" w:w="80"/>
              <w:right w:type="dxa" w:w="120"/>
            </w:tcMar>
          </w:tcPr>
          <w:p>
            <w:pPr>
              <w:spacing w:after="0" w:line="264"/>
            </w:pPr>
            <w:r>
              <w:rPr>
                <w:color w:val="141414"/>
                <w:sz w:val="22"/>
                <w:szCs w:val="22"/>
              </w:rPr>
              <w:t xml:space="preserve">approved claims × MP/billing on claim_id</w:t>
            </w:r>
          </w:p>
        </w:tc>
        <w:tc>
          <w:tcPr>
            <w:tcW w:type="dxa" w:w="1700"/>
            <w:shd w:fill="F2F6F4" w:color="auto" w:val="clear"/>
            <w:tcMar>
              <w:top w:type="dxa" w:w="80"/>
              <w:left w:type="dxa" w:w="120"/>
              <w:bottom w:type="dxa" w:w="80"/>
              <w:right w:type="dxa" w:w="120"/>
            </w:tcMar>
          </w:tcPr>
          <w:p>
            <w:pPr>
              <w:spacing w:after="0" w:line="264"/>
            </w:pPr>
            <w:r>
              <w:rPr>
                <w:color w:val="141414"/>
                <w:sz w:val="22"/>
                <w:szCs w:val="22"/>
              </w:rPr>
              <w:t xml:space="preserve">approved − posted</w:t>
            </w:r>
          </w:p>
        </w:tc>
        <w:tc>
          <w:tcPr>
            <w:tcW w:type="dxa" w:w="1400"/>
            <w:shd w:fill="F2F6F4" w:color="auto" w:val="clear"/>
            <w:tcMar>
              <w:top w:type="dxa" w:w="80"/>
              <w:left w:type="dxa" w:w="120"/>
              <w:bottom w:type="dxa" w:w="80"/>
              <w:right w:type="dxa" w:w="120"/>
            </w:tcMar>
          </w:tcPr>
          <w:p>
            <w:pPr>
              <w:spacing w:after="0" w:line="264"/>
            </w:pPr>
            <w:r>
              <w:rPr>
                <w:color w:val="141414"/>
                <w:sz w:val="22"/>
                <w:szCs w:val="22"/>
              </w:rPr>
              <w:t xml:space="preserve">approval +90d</w:t>
            </w:r>
          </w:p>
        </w:tc>
      </w:tr>
      <w:tr>
        <w:tc>
          <w:tcPr>
            <w:tcW w:type="dxa" w:w="2700"/>
            <w:tcMar>
              <w:top w:type="dxa" w:w="80"/>
              <w:left w:type="dxa" w:w="120"/>
              <w:bottom w:type="dxa" w:w="80"/>
              <w:right w:type="dxa" w:w="120"/>
            </w:tcMar>
          </w:tcPr>
          <w:p>
            <w:pPr>
              <w:spacing w:after="0" w:line="264"/>
            </w:pPr>
            <w:r>
              <w:rPr>
                <w:rFonts w:ascii="Consolas" w:cs="Consolas" w:eastAsia="Consolas" w:hAnsi="Consolas"/>
                <w:b/>
                <w:bCs/>
                <w:i w:val="false"/>
                <w:iCs w:val="false"/>
                <w:color w:val="1D6B4F"/>
                <w:sz w:val="20"/>
                <w:szCs w:val="20"/>
              </w:rPr>
              <w:t xml:space="preserve">DUPLICATE_OR_UNMATCHED_DEDUCTION</w:t>
            </w:r>
          </w:p>
        </w:tc>
        <w:tc>
          <w:tcPr>
            <w:tcW w:type="dxa" w:w="3560"/>
            <w:tcMar>
              <w:top w:type="dxa" w:w="80"/>
              <w:left w:type="dxa" w:w="120"/>
              <w:bottom w:type="dxa" w:w="80"/>
              <w:right w:type="dxa" w:w="120"/>
            </w:tcMar>
          </w:tcPr>
          <w:p>
            <w:pPr>
              <w:spacing w:after="0" w:line="264"/>
            </w:pPr>
            <w:r>
              <w:rPr>
                <w:color w:val="141414"/>
                <w:sz w:val="22"/>
                <w:szCs w:val="22"/>
              </w:rPr>
              <w:t xml:space="preserve">billing × orders × inventory on order+fee_type</w:t>
            </w:r>
          </w:p>
        </w:tc>
        <w:tc>
          <w:tcPr>
            <w:tcW w:type="dxa" w:w="1700"/>
            <w:tcMar>
              <w:top w:type="dxa" w:w="80"/>
              <w:left w:type="dxa" w:w="120"/>
              <w:bottom w:type="dxa" w:w="80"/>
              <w:right w:type="dxa" w:w="120"/>
            </w:tcMar>
          </w:tcPr>
          <w:p>
            <w:pPr>
              <w:spacing w:after="0" w:line="264"/>
            </w:pPr>
            <w:r>
              <w:rPr>
                <w:color w:val="141414"/>
                <w:sz w:val="22"/>
                <w:szCs w:val="22"/>
              </w:rPr>
              <w:t xml:space="preserve">fee amount</w:t>
            </w:r>
          </w:p>
        </w:tc>
        <w:tc>
          <w:tcPr>
            <w:tcW w:type="dxa" w:w="1400"/>
            <w:tcMar>
              <w:top w:type="dxa" w:w="80"/>
              <w:left w:type="dxa" w:w="120"/>
              <w:bottom w:type="dxa" w:w="80"/>
              <w:right w:type="dxa" w:w="120"/>
            </w:tcMar>
          </w:tcPr>
          <w:p>
            <w:pPr>
              <w:spacing w:after="0" w:line="264"/>
            </w:pPr>
            <w:r>
              <w:rPr>
                <w:color w:val="141414"/>
                <w:sz w:val="22"/>
                <w:szCs w:val="22"/>
              </w:rPr>
              <w:t xml:space="preserve">charge +180d</w:t>
            </w:r>
          </w:p>
        </w:tc>
      </w:tr>
    </w:tbl>
    <w:p>
      <w:pPr>
        <w:spacing w:after="80"/>
      </w:pPr>
      <w:r>
        <w:t xml:space="preserve"/>
      </w:r>
    </w:p>
    <w:p>
      <w:r>
        <w:t xml:space="preserve">High-value discrepancy types to add as the pilot proves them: reimbursement valued below actual price/cost (often the single biggest leak), storage-fee overcharge on unsellable units, cubagem misclassification inflating freight, commission charged on freight/taxes, lost-in-carrier where only the buyer was refunded, and duplicate refunds.</w:t>
      </w:r>
    </w:p>
    <w:p>
      <w:pPr>
        <w:pStyle w:val="Heading3"/>
      </w:pPr>
      <w:r>
        <w:t xml:space="preserve">False-positive control is existential</w:t>
      </w:r>
    </w:p>
    <w:p>
      <w:r>
        <w:t xml:space="preserve">A wrong case burns the trust the whole pitch rests on. Six gates run in order: cool-off suppression (let the platform’s own auto-credit fire first), value floor + dedup, known-benign patterns, confidence tiers A/B/C, an evidence-completeness gate, and a human-review threshold. New rule-versions launch in shadow mode (compute, log, do not surface) until precision clears the bar; a version that breaches its false-positive budget is auto-demoted. Only Tier-A cases with complete evidence are ever eligible for pre-approved auto-submission. Fully-matched cases auto-close at zero human minutes — a direct north-star lever.</w:t>
      </w:r>
    </w:p>
    <w:p>
      <w:pPr>
        <w:pStyle w:val="Heading1"/>
      </w:pPr>
      <w:r>
        <w:t xml:space="preserve">16.  Data Model &amp; Reconciliation Ledger</w:t>
      </w:r>
    </w:p>
    <w:p>
      <w:r>
        <w:t xml:space="preserve">Two layers, one law: raw is append-only, canonical is derived, money is a ledger, and the LLM never writes a number. Every seller is a logical partition. Money is always integer cents in BRL. In the trust path nothing is ever updated — corrections are new rows.</w:t>
      </w:r>
    </w:p>
    <w:p>
      <w:pPr>
        <w:pStyle w:val="ListParagraph"/>
        <w:numPr>
          <w:ilvl w:val="0"/>
          <w:numId w:val="1"/>
        </w:numPr>
        <w:spacing w:after="90" w:line="340"/>
      </w:pPr>
      <w:r>
        <w:rPr>
          <w:b/>
          <w:bCs/>
        </w:rPr>
        <w:t xml:space="preserve">Layer 1 — immutable ingestion. </w:t>
      </w:r>
      <w:r>
        <w:t xml:space="preserve">Every webhook and poll lands verbatim in raw_event and is hash-chained per seller. No computed figure is trusted unless it traces to a raw_event.</w:t>
      </w:r>
    </w:p>
    <w:p>
      <w:pPr>
        <w:pStyle w:val="ListParagraph"/>
        <w:numPr>
          <w:ilvl w:val="0"/>
          <w:numId w:val="1"/>
        </w:numPr>
        <w:spacing w:after="90" w:line="340"/>
      </w:pPr>
      <w:r>
        <w:rPr>
          <w:b/>
          <w:bCs/>
        </w:rPr>
        <w:t xml:space="preserve">Layer 2 — canonical projections. </w:t>
      </w:r>
      <w:r>
        <w:t xml:space="preserve">Typed tables (inventory movement, order, shipment, claim, return, Mercado Pago movement), each carrying its source raw-event id.</w:t>
      </w:r>
    </w:p>
    <w:p>
      <w:pPr>
        <w:pStyle w:val="ListParagraph"/>
        <w:numPr>
          <w:ilvl w:val="0"/>
          <w:numId w:val="1"/>
        </w:numPr>
        <w:spacing w:after="90" w:line="340"/>
      </w:pPr>
      <w:r>
        <w:rPr>
          <w:b/>
          <w:bCs/>
        </w:rPr>
        <w:t xml:space="preserve">The NF-e store. </w:t>
      </w:r>
      <w:r>
        <w:t xml:space="preserve">The legal proof is the XML, not the DANFE; inbound NF-e quantity is ground truth for inbound-shortfall detection.</w:t>
      </w:r>
    </w:p>
    <w:p>
      <w:pPr>
        <w:pStyle w:val="ListParagraph"/>
        <w:numPr>
          <w:ilvl w:val="0"/>
          <w:numId w:val="1"/>
        </w:numPr>
        <w:spacing w:after="90" w:line="340"/>
      </w:pPr>
      <w:r>
        <w:rPr>
          <w:b/>
          <w:bCs/>
        </w:rPr>
        <w:t xml:space="preserve">The Case. </w:t>
      </w:r>
      <w:r>
        <w:t xml:space="preserve">A first-class object mirroring the full case record; no submission row exists without an authorization id.</w:t>
      </w:r>
    </w:p>
    <w:p>
      <w:r>
        <w:t xml:space="preserve">The reconciliation ledger is the money engine: ledger_entry holds expected, observed-credit, and residual cents; residual equals expected minus the sum of matched credits, and that residual is the recoverable claim. A pre-existing credit that already covers the expectation closes the case at zero residual — honouring “no fee for value already paid.” The credit-reconciliation record fires only when a real credit posts and is the sole trigger for a fee invoice.</w:t>
      </w:r>
    </w:p>
    <w:p>
      <w:pPr>
        <w:pStyle w:val="Heading1"/>
      </w:pPr>
      <w:r>
        <w:t xml:space="preserve">17.  AI Operating Layer &amp; Guardrails</w:t>
      </w:r>
    </w:p>
    <w:p>
      <w:r>
        <w:t xml:space="preserve">The rule is enforced by architecture, not by instruction: AI proposes, code computes, a human approves. A case_facts table, populated only by the rules engine, is the single grounding source the LLM may reference.</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3120"/>
        <w:gridCol w:w="3120"/>
        <w:gridCol w:w="3120"/>
      </w:tblGrid>
      <w:tr>
        <w:trPr>
          <w:tblHeader/>
        </w:trPr>
        <w:tc>
          <w:tcPr>
            <w:tcW w:type="dxa" w:w="3120"/>
            <w:shd w:fill="0B4A36" w:color="auto" w:val="clear"/>
            <w:tcMar>
              <w:top w:type="dxa" w:w="80"/>
              <w:left w:type="dxa" w:w="120"/>
              <w:bottom w:type="dxa" w:w="80"/>
              <w:right w:type="dxa" w:w="120"/>
            </w:tcMar>
          </w:tcPr>
          <w:p>
            <w:pPr>
              <w:spacing w:after="0" w:line="260"/>
            </w:pPr>
            <w:r>
              <w:rPr>
                <w:b/>
                <w:bCs/>
                <w:color w:val="FFFFFF"/>
                <w:sz w:val="22"/>
                <w:szCs w:val="22"/>
              </w:rPr>
              <w:t xml:space="preserve">Fully automated (code)</w:t>
            </w:r>
          </w:p>
        </w:tc>
        <w:tc>
          <w:tcPr>
            <w:tcW w:type="dxa" w:w="3120"/>
            <w:shd w:fill="0B4A36" w:color="auto" w:val="clear"/>
            <w:tcMar>
              <w:top w:type="dxa" w:w="80"/>
              <w:left w:type="dxa" w:w="120"/>
              <w:bottom w:type="dxa" w:w="80"/>
              <w:right w:type="dxa" w:w="120"/>
            </w:tcMar>
          </w:tcPr>
          <w:p>
            <w:pPr>
              <w:spacing w:after="0" w:line="260"/>
            </w:pPr>
            <w:r>
              <w:rPr>
                <w:b/>
                <w:bCs/>
                <w:color w:val="FFFFFF"/>
                <w:sz w:val="22"/>
                <w:szCs w:val="22"/>
              </w:rPr>
              <w:t xml:space="preserve">AI-assisted (Work)</w:t>
            </w:r>
          </w:p>
        </w:tc>
        <w:tc>
          <w:tcPr>
            <w:tcW w:type="dxa" w:w="3120"/>
            <w:shd w:fill="0B4A36" w:color="auto" w:val="clear"/>
            <w:tcMar>
              <w:top w:type="dxa" w:w="80"/>
              <w:left w:type="dxa" w:w="120"/>
              <w:bottom w:type="dxa" w:w="80"/>
              <w:right w:type="dxa" w:w="120"/>
            </w:tcMar>
          </w:tcPr>
          <w:p>
            <w:pPr>
              <w:spacing w:after="0" w:line="260"/>
            </w:pPr>
            <w:r>
              <w:rPr>
                <w:b/>
                <w:bCs/>
                <w:color w:val="FFFFFF"/>
                <w:sz w:val="22"/>
                <w:szCs w:val="22"/>
              </w:rPr>
              <w:t xml:space="preserve">Human-approved</w:t>
            </w:r>
          </w:p>
        </w:tc>
      </w:tr>
      <w:tr>
        <w:tc>
          <w:tcPr>
            <w:tcW w:type="dxa" w:w="3120"/>
            <w:tcMar>
              <w:top w:type="dxa" w:w="80"/>
              <w:left w:type="dxa" w:w="120"/>
              <w:bottom w:type="dxa" w:w="80"/>
              <w:right w:type="dxa" w:w="120"/>
            </w:tcMar>
          </w:tcPr>
          <w:p>
            <w:pPr>
              <w:spacing w:after="0" w:line="264"/>
            </w:pPr>
            <w:r>
              <w:rPr>
                <w:color w:val="141414"/>
                <w:sz w:val="22"/>
                <w:szCs w:val="22"/>
              </w:rPr>
              <w:t xml:space="preserve">Imports, normalization, matching</w:t>
            </w:r>
          </w:p>
        </w:tc>
        <w:tc>
          <w:tcPr>
            <w:tcW w:type="dxa" w:w="3120"/>
            <w:tcMar>
              <w:top w:type="dxa" w:w="80"/>
              <w:left w:type="dxa" w:w="120"/>
              <w:bottom w:type="dxa" w:w="80"/>
              <w:right w:type="dxa" w:w="120"/>
            </w:tcMar>
          </w:tcPr>
          <w:p>
            <w:pPr>
              <w:spacing w:after="0" w:line="264"/>
            </w:pPr>
            <w:r>
              <w:rPr>
                <w:color w:val="141414"/>
                <w:sz w:val="22"/>
                <w:szCs w:val="22"/>
              </w:rPr>
              <w:t xml:space="preserve">Document / NF-e interpretation*</w:t>
            </w:r>
          </w:p>
        </w:tc>
        <w:tc>
          <w:tcPr>
            <w:tcW w:type="dxa" w:w="3120"/>
            <w:tcMar>
              <w:top w:type="dxa" w:w="80"/>
              <w:left w:type="dxa" w:w="120"/>
              <w:bottom w:type="dxa" w:w="80"/>
              <w:right w:type="dxa" w:w="120"/>
            </w:tcMar>
          </w:tcPr>
          <w:p>
            <w:pPr>
              <w:spacing w:after="0" w:line="264"/>
            </w:pPr>
            <w:r>
              <w:rPr>
                <w:color w:val="141414"/>
                <w:sz w:val="22"/>
                <w:szCs w:val="22"/>
              </w:rPr>
              <w:t xml:space="preserve">Case eligibility</w:t>
            </w:r>
          </w:p>
        </w:tc>
      </w:tr>
      <w:tr>
        <w:tc>
          <w:tcPr>
            <w:tcW w:type="dxa" w:w="3120"/>
            <w:shd w:fill="F2F6F4" w:color="auto" w:val="clear"/>
            <w:tcMar>
              <w:top w:type="dxa" w:w="80"/>
              <w:left w:type="dxa" w:w="120"/>
              <w:bottom w:type="dxa" w:w="80"/>
              <w:right w:type="dxa" w:w="120"/>
            </w:tcMar>
          </w:tcPr>
          <w:p>
            <w:pPr>
              <w:spacing w:after="0" w:line="264"/>
            </w:pPr>
            <w:r>
              <w:rPr>
                <w:color w:val="141414"/>
                <w:sz w:val="22"/>
                <w:szCs w:val="22"/>
              </w:rPr>
              <w:t xml:space="preserve">Detection, deadline calc</w:t>
            </w:r>
          </w:p>
        </w:tc>
        <w:tc>
          <w:tcPr>
            <w:tcW w:type="dxa" w:w="3120"/>
            <w:shd w:fill="F2F6F4" w:color="auto" w:val="clear"/>
            <w:tcMar>
              <w:top w:type="dxa" w:w="80"/>
              <w:left w:type="dxa" w:w="120"/>
              <w:bottom w:type="dxa" w:w="80"/>
              <w:right w:type="dxa" w:w="120"/>
            </w:tcMar>
          </w:tcPr>
          <w:p>
            <w:pPr>
              <w:spacing w:after="0" w:line="264"/>
            </w:pPr>
            <w:r>
              <w:rPr>
                <w:color w:val="141414"/>
                <w:sz w:val="22"/>
                <w:szCs w:val="22"/>
              </w:rPr>
              <w:t xml:space="preserve">Evidence-checklist creation</w:t>
            </w:r>
          </w:p>
        </w:tc>
        <w:tc>
          <w:tcPr>
            <w:tcW w:type="dxa" w:w="3120"/>
            <w:shd w:fill="F2F6F4" w:color="auto" w:val="clear"/>
            <w:tcMar>
              <w:top w:type="dxa" w:w="80"/>
              <w:left w:type="dxa" w:w="120"/>
              <w:bottom w:type="dxa" w:w="80"/>
              <w:right w:type="dxa" w:w="120"/>
            </w:tcMar>
          </w:tcPr>
          <w:p>
            <w:pPr>
              <w:spacing w:after="0" w:line="264"/>
            </w:pPr>
            <w:r>
              <w:rPr>
                <w:color w:val="141414"/>
                <w:sz w:val="22"/>
                <w:szCs w:val="22"/>
              </w:rPr>
              <w:t xml:space="preserve">Monetary basis</w:t>
            </w:r>
          </w:p>
        </w:tc>
      </w:tr>
      <w:tr>
        <w:tc>
          <w:tcPr>
            <w:tcW w:type="dxa" w:w="3120"/>
            <w:tcMar>
              <w:top w:type="dxa" w:w="80"/>
              <w:left w:type="dxa" w:w="120"/>
              <w:bottom w:type="dxa" w:w="80"/>
              <w:right w:type="dxa" w:w="120"/>
            </w:tcMar>
          </w:tcPr>
          <w:p>
            <w:pPr>
              <w:spacing w:after="0" w:line="264"/>
            </w:pPr>
            <w:r>
              <w:rPr>
                <w:color w:val="141414"/>
                <w:sz w:val="22"/>
                <w:szCs w:val="22"/>
              </w:rPr>
              <w:t xml:space="preserve">Credit reconciliation</w:t>
            </w:r>
          </w:p>
        </w:tc>
        <w:tc>
          <w:tcPr>
            <w:tcW w:type="dxa" w:w="3120"/>
            <w:tcMar>
              <w:top w:type="dxa" w:w="80"/>
              <w:left w:type="dxa" w:w="120"/>
              <w:bottom w:type="dxa" w:w="80"/>
              <w:right w:type="dxa" w:w="120"/>
            </w:tcMar>
          </w:tcPr>
          <w:p>
            <w:pPr>
              <w:spacing w:after="0" w:line="264"/>
            </w:pPr>
            <w:r>
              <w:rPr>
                <w:color w:val="141414"/>
                <w:sz w:val="22"/>
                <w:szCs w:val="22"/>
              </w:rPr>
              <w:t xml:space="preserve">Portuguese explanation drafting</w:t>
            </w:r>
          </w:p>
        </w:tc>
        <w:tc>
          <w:tcPr>
            <w:tcW w:type="dxa" w:w="3120"/>
            <w:tcMar>
              <w:top w:type="dxa" w:w="80"/>
              <w:left w:type="dxa" w:w="120"/>
              <w:bottom w:type="dxa" w:w="80"/>
              <w:right w:type="dxa" w:w="120"/>
            </w:tcMar>
          </w:tcPr>
          <w:p>
            <w:pPr>
              <w:spacing w:after="0" w:line="264"/>
            </w:pPr>
            <w:r>
              <w:rPr>
                <w:color w:val="141414"/>
                <w:sz w:val="22"/>
                <w:szCs w:val="22"/>
              </w:rPr>
              <w:t xml:space="preserve">External submissions</w:t>
            </w:r>
          </w:p>
        </w:tc>
      </w:tr>
      <w:tr>
        <w:tc>
          <w:tcPr>
            <w:tcW w:type="dxa" w:w="3120"/>
            <w:shd w:fill="F2F6F4" w:color="auto" w:val="clear"/>
            <w:tcMar>
              <w:top w:type="dxa" w:w="80"/>
              <w:left w:type="dxa" w:w="120"/>
              <w:bottom w:type="dxa" w:w="80"/>
              <w:right w:type="dxa" w:w="120"/>
            </w:tcMar>
          </w:tcPr>
          <w:p>
            <w:pPr>
              <w:spacing w:after="0" w:line="264"/>
            </w:pPr>
            <w:r>
              <w:rPr>
                <w:color w:val="141414"/>
                <w:sz w:val="22"/>
                <w:szCs w:val="22"/>
              </w:rPr>
              <w:t xml:space="preserve">Prioritization, fee calculation</w:t>
            </w:r>
          </w:p>
        </w:tc>
        <w:tc>
          <w:tcPr>
            <w:tcW w:type="dxa" w:w="3120"/>
            <w:shd w:fill="F2F6F4" w:color="auto" w:val="clear"/>
            <w:tcMar>
              <w:top w:type="dxa" w:w="80"/>
              <w:left w:type="dxa" w:w="120"/>
              <w:bottom w:type="dxa" w:w="80"/>
              <w:right w:type="dxa" w:w="120"/>
            </w:tcMar>
          </w:tcPr>
          <w:p>
            <w:pPr>
              <w:spacing w:after="0" w:line="264"/>
            </w:pPr>
            <w:r>
              <w:rPr>
                <w:color w:val="141414"/>
                <w:sz w:val="22"/>
                <w:szCs w:val="22"/>
              </w:rPr>
              <w:t xml:space="preserve">Response summarization, reporting</w:t>
            </w:r>
          </w:p>
        </w:tc>
        <w:tc>
          <w:tcPr>
            <w:tcW w:type="dxa" w:w="3120"/>
            <w:shd w:fill="F2F6F4" w:color="auto" w:val="clear"/>
            <w:tcMar>
              <w:top w:type="dxa" w:w="80"/>
              <w:left w:type="dxa" w:w="120"/>
              <w:bottom w:type="dxa" w:w="80"/>
              <w:right w:type="dxa" w:w="120"/>
            </w:tcMar>
          </w:tcPr>
          <w:p>
            <w:pPr>
              <w:spacing w:after="0" w:line="264"/>
            </w:pPr>
            <w:r>
              <w:rPr>
                <w:color w:val="141414"/>
                <w:sz w:val="22"/>
                <w:szCs w:val="22"/>
              </w:rPr>
              <w:t xml:space="preserve">Seller comms, closure</w:t>
            </w:r>
          </w:p>
        </w:tc>
      </w:tr>
    </w:tbl>
    <w:p>
      <w:pPr>
        <w:spacing w:after="60"/>
      </w:pPr>
      <w:r>
        <w:t xml:space="preserve"/>
      </w:r>
    </w:p>
    <w:p>
      <w:r>
        <w:t xml:space="preserve">“No math from the model” is enforced two ways: templating (drafts contain slots that code fills from case_facts, so the model cannot see itself write a number) and a numeric linter (a validator scans every draft for currency, quantity, and date literals outside the allowlist; any hit auto-rejects and regenerates). The guardrail stack adds structured outputs, retrieval scoped to one case in one tenant, five human gates, a golden-set eval where numeric-leak rate must be zero, a full prompt/response audit, and zero-retention endpoints so no seller or buyer data ever trains public models. NF-e itself is parsed in code from the structured XML; the AI only touches degraded scans, and its output is a candidate with a confidence score, never the case number.</w:t>
      </w:r>
    </w:p>
    <w:p>
      <w:pPr>
        <w:pStyle w:val="Heading1"/>
      </w:pPr>
      <w:r>
        <w:t xml:space="preserve">18.  Integrations &amp; the Unsafe-Access Boundary</w:t>
      </w:r>
    </w:p>
    <w:p>
      <w:r>
        <w:t xml:space="preserve">Read-only, idempotent, per-seller ingestion. One connect screen runs two OAuth 2.0 handshakes (Mercado Livre, then Mercado Pago). Default scope is read plus offline access — never write at onboarding. Write is a separate per-seller consent requested only when a Managed Recovery contract is signed, and every write still passes the approval console. Webhooks are the trigger; polling is the safety net (a periodic sweep re-pulls near-deadline claims and detects missed notifications).</w:t>
      </w:r>
    </w:p>
    <w:p>
      <w:pPr>
        <w:pStyle w:val="Heading3"/>
      </w:pPr>
      <w:r>
        <w:t xml:space="preserve">The unsafe-access boundary — the crux of the business</w:t>
      </w:r>
    </w:p>
    <w:p>
      <w:pPr>
        <w:pStyle w:val="ListParagraph"/>
        <w:numPr>
          <w:ilvl w:val="0"/>
          <w:numId w:val="1"/>
        </w:numPr>
        <w:spacing w:after="90" w:line="340"/>
      </w:pPr>
      <w:r>
        <w:rPr>
          <w:b/>
          <w:bCs/>
        </w:rPr>
        <w:t xml:space="preserve">API-executable after human approval: </w:t>
      </w:r>
      <w:r>
        <w:t xml:space="preserve">claim messaging and evidence — send message, add shipping evidence, send attachments, open dispute.</w:t>
      </w:r>
    </w:p>
    <w:p>
      <w:pPr>
        <w:pStyle w:val="ListParagraph"/>
        <w:numPr>
          <w:ilvl w:val="0"/>
          <w:numId w:val="1"/>
        </w:numPr>
        <w:spacing w:after="90" w:line="340"/>
      </w:pPr>
      <w:r>
        <w:rPr>
          <w:b/>
          <w:bCs/>
        </w:rPr>
        <w:t xml:space="preserve">Manual / administrative only </w:t>
      </w:r>
      <w:r>
        <w:t xml:space="preserve">(VOLTA detects, quantifies, and prepares; a human files in the dashboard): accepting or declining resolutions, Full-inventory reimbursement filing, and final adjudication.</w:t>
      </w:r>
    </w:p>
    <w:p>
      <w:pPr>
        <w:pStyle w:val="ListParagraph"/>
        <w:numPr>
          <w:ilvl w:val="0"/>
          <w:numId w:val="1"/>
        </w:numPr>
        <w:spacing w:after="90" w:line="340"/>
      </w:pPr>
      <w:r>
        <w:rPr>
          <w:b/>
          <w:bCs/>
        </w:rPr>
        <w:t xml:space="preserve">Blocklisted: </w:t>
      </w:r>
      <w:r>
        <w:t xml:space="preserve">Mercado Pago’s refund endpoint moves money out — never used for recovery.</w:t>
      </w:r>
    </w:p>
    <w:p>
      <w:r>
        <w:t xml:space="preserve">No action executes under a seller’s identity without explicit authorization or a pre-approved operating rule. Confirm target sellers are not Model-6 (403 on claims endpoints), and verify current developer policy on programmatic claim submission before automating any filing.</w:t>
      </w:r>
    </w:p>
    <w:p>
      <w:pPr>
        <w:pStyle w:val="Heading1"/>
      </w:pPr>
      <w:r>
        <w:t xml:space="preserve">19.  Security, Compliance &amp; Trust (LGPD)</w:t>
      </w:r>
    </w:p>
    <w:p>
      <w:r>
        <w:t xml:space="preserve">Trust is the product — a seller is handing VOLTA a live pipe into the data about their money — so every control exists to kill the “can I trust you with this?” objection before value is even shown.</w:t>
      </w:r>
    </w:p>
    <w:p>
      <w:pPr>
        <w:pStyle w:val="ListParagraph"/>
        <w:numPr>
          <w:ilvl w:val="0"/>
          <w:numId w:val="1"/>
        </w:numPr>
        <w:spacing w:after="90" w:line="340"/>
      </w:pPr>
      <w:r>
        <w:rPr>
          <w:b/>
          <w:bCs/>
        </w:rPr>
        <w:t xml:space="preserve">Token vault: </w:t>
      </w:r>
      <w:r>
        <w:t xml:space="preserve">per-tenant envelope encryption; a narrow broker behind mutual TLS is the only holder of the decrypt key; access tokens are short-lived; one click revokes access and pauses jobs.</w:t>
      </w:r>
    </w:p>
    <w:p>
      <w:pPr>
        <w:pStyle w:val="ListParagraph"/>
        <w:numPr>
          <w:ilvl w:val="0"/>
          <w:numId w:val="1"/>
        </w:numPr>
        <w:spacing w:after="90" w:line="340"/>
      </w:pPr>
      <w:r>
        <w:rPr>
          <w:b/>
          <w:bCs/>
        </w:rPr>
        <w:t xml:space="preserve">Isolation: </w:t>
      </w:r>
      <w:r>
        <w:t xml:space="preserve">Row-Level Security on every table, a per-request tenant setting, a per-tenant storage prefix, proven by a cross-tenant fuzzer in CI.</w:t>
      </w:r>
    </w:p>
    <w:p>
      <w:pPr>
        <w:pStyle w:val="ListParagraph"/>
        <w:numPr>
          <w:ilvl w:val="0"/>
          <w:numId w:val="1"/>
        </w:numPr>
        <w:spacing w:after="90" w:line="340"/>
      </w:pPr>
      <w:r>
        <w:rPr>
          <w:b/>
          <w:bCs/>
        </w:rPr>
        <w:t xml:space="preserve">PII minimization: </w:t>
      </w:r>
      <w:r>
        <w:t xml:space="preserve">buyer identifiers become a pseudonymous reference at ingestion; reports and every LLM prompt see only that reference.</w:t>
      </w:r>
    </w:p>
    <w:p>
      <w:pPr>
        <w:pStyle w:val="ListParagraph"/>
        <w:numPr>
          <w:ilvl w:val="0"/>
          <w:numId w:val="1"/>
        </w:numPr>
        <w:spacing w:after="90" w:line="340"/>
      </w:pPr>
      <w:r>
        <w:rPr>
          <w:b/>
          <w:bCs/>
        </w:rPr>
        <w:t xml:space="preserve">Immutable audit + approval trail: </w:t>
      </w:r>
      <w:r>
        <w:t xml:space="preserve">append-only and hash-chained — simultaneously the LGPD accountability record and the dispute asset.</w:t>
      </w:r>
    </w:p>
    <w:p>
      <w:r>
        <w:t xml:space="preserve">LGPD posture: VOLTA is a controller of its own data and an operator when querying marketplace data on seller instruction (a signed data-processing agreement per client). Retention aligns to the five-year fiscal minimum, then hard purge. Cross-border AI or cloud use requires ANPD standard contractual clauses or in-region processing; LLM calls run under a zero-retention, no-training agreement behind a PII-redaction gateway. VOLTA performs administrative recovery support only — not legal representation, accounting opinions, or litigation.</w:t>
      </w:r>
    </w:p>
    <w:p>
      <w:pPr>
        <w:pStyle w:val="Heading3"/>
      </w:pPr>
      <w:r>
        <w:t xml:space="preserve">The guarantees VOLTA makes to a seller</w:t>
      </w:r>
    </w:p>
    <w:p>
      <w:pPr>
        <w:pStyle w:val="ListParagraph"/>
        <w:numPr>
          <w:ilvl w:val="0"/>
          <w:numId w:val="1"/>
        </w:numPr>
        <w:spacing w:after="90" w:line="340"/>
      </w:pPr>
      <w:r>
        <w:t xml:space="preserve">You connect through the official login — we never see your password.</w:t>
      </w:r>
    </w:p>
    <w:p>
      <w:pPr>
        <w:pStyle w:val="ListParagraph"/>
        <w:numPr>
          <w:ilvl w:val="0"/>
          <w:numId w:val="1"/>
        </w:numPr>
        <w:spacing w:after="90" w:line="340"/>
      </w:pPr>
      <w:r>
        <w:t xml:space="preserve">Read-only access. Nothing is sent without your case-by-case approval.</w:t>
      </w:r>
    </w:p>
    <w:p>
      <w:pPr>
        <w:pStyle w:val="ListParagraph"/>
        <w:numPr>
          <w:ilvl w:val="0"/>
          <w:numId w:val="1"/>
        </w:numPr>
        <w:spacing w:after="90" w:line="340"/>
      </w:pPr>
      <w:r>
        <w:t xml:space="preserve">Your data is isolated, encrypted, and processed in Brazil.</w:t>
      </w:r>
    </w:p>
    <w:p>
      <w:pPr>
        <w:pStyle w:val="ListParagraph"/>
        <w:numPr>
          <w:ilvl w:val="0"/>
          <w:numId w:val="1"/>
        </w:numPr>
        <w:spacing w:after="90" w:line="340"/>
      </w:pPr>
      <w:r>
        <w:t xml:space="preserve">One click revokes our access at any time; your data never trains public AI models.</w:t>
      </w:r>
    </w:p>
    <w:p>
      <w:pPr>
        <w:pStyle w:val="ListParagraph"/>
        <w:numPr>
          <w:ilvl w:val="0"/>
          <w:numId w:val="1"/>
        </w:numPr>
        <w:spacing w:after="90" w:line="340"/>
      </w:pPr>
      <w:r>
        <w:t xml:space="preserve">A complete audit trail; and you only pay on confirmed credit in your account.</w:t>
      </w:r>
    </w:p>
    <w:p>
      <w:pPr>
        <w:pStyle w:val="Heading1"/>
      </w:pPr>
      <w:r>
        <w:t xml:space="preserve">20.  Billing &amp; Collections Subsystem</w:t>
      </w:r>
    </w:p>
    <w:p>
      <w:r>
        <w:t xml:space="preserve">The fee is a small state machine that runs itself: DETECTED → SUBMITTED → CREDIT_CONFIRMED → FEE_COMPUTED → NFS-e ISSUED → CHARGED → PAID, with side-paths for reversal (clawback) and charge-failure retry. It integrates a fiscal API (to issue the NFS-e across Brazil’s municipal systems) and a payment processor (to debit the pre-authorized mandate). Every fee row is immutable and traces to the confirming Mercado Pago movement, the matched case, the rule-version, and the human approval — so any dispute is answered by replay, not argument. Because collection costs roughly zero human minutes, it is a direct contributor to the north-star metric.</w:t>
      </w:r>
    </w:p>
    <w:p>
      <w:pPr>
        <w:pStyle w:val="Heading1"/>
      </w:pPr>
      <w:r>
        <w:t xml:space="preserve">21.  The KISS Build Stack</w:t>
      </w:r>
    </w:p>
    <w:p>
      <w:r>
        <w:t xml:space="preserve">The whole system collapses to one Python process, one database, and a server-rendered UI — no microservices, no separate frontend build, no Kubernetes.</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200"/>
        <w:gridCol w:w="3760"/>
        <w:gridCol w:w="3400"/>
      </w:tblGrid>
      <w:tr>
        <w:trPr>
          <w:tblHeader/>
        </w:trPr>
        <w:tc>
          <w:tcPr>
            <w:tcW w:type="dxa" w:w="2200"/>
            <w:shd w:fill="0B4A36" w:color="auto" w:val="clear"/>
            <w:tcMar>
              <w:top w:type="dxa" w:w="80"/>
              <w:left w:type="dxa" w:w="120"/>
              <w:bottom w:type="dxa" w:w="80"/>
              <w:right w:type="dxa" w:w="120"/>
            </w:tcMar>
          </w:tcPr>
          <w:p>
            <w:pPr>
              <w:spacing w:after="0" w:line="260"/>
            </w:pPr>
            <w:r>
              <w:rPr>
                <w:b/>
                <w:bCs/>
                <w:color w:val="FFFFFF"/>
                <w:sz w:val="22"/>
                <w:szCs w:val="22"/>
              </w:rPr>
              <w:t xml:space="preserve">Layer</w:t>
            </w:r>
          </w:p>
        </w:tc>
        <w:tc>
          <w:tcPr>
            <w:tcW w:type="dxa" w:w="3760"/>
            <w:shd w:fill="0B4A36" w:color="auto" w:val="clear"/>
            <w:tcMar>
              <w:top w:type="dxa" w:w="80"/>
              <w:left w:type="dxa" w:w="120"/>
              <w:bottom w:type="dxa" w:w="80"/>
              <w:right w:type="dxa" w:w="120"/>
            </w:tcMar>
          </w:tcPr>
          <w:p>
            <w:pPr>
              <w:spacing w:after="0" w:line="260"/>
            </w:pPr>
            <w:r>
              <w:rPr>
                <w:b/>
                <w:bCs/>
                <w:color w:val="FFFFFF"/>
                <w:sz w:val="22"/>
                <w:szCs w:val="22"/>
              </w:rPr>
              <w:t xml:space="preserve">KISS choice</w:t>
            </w:r>
          </w:p>
        </w:tc>
        <w:tc>
          <w:tcPr>
            <w:tcW w:type="dxa" w:w="3400"/>
            <w:shd w:fill="0B4A36" w:color="auto" w:val="clear"/>
            <w:tcMar>
              <w:top w:type="dxa" w:w="80"/>
              <w:left w:type="dxa" w:w="120"/>
              <w:bottom w:type="dxa" w:w="80"/>
              <w:right w:type="dxa" w:w="120"/>
            </w:tcMar>
          </w:tcPr>
          <w:p>
            <w:pPr>
              <w:spacing w:after="0" w:line="260"/>
            </w:pPr>
            <w:r>
              <w:rPr>
                <w:b/>
                <w:bCs/>
                <w:color w:val="FFFFFF"/>
                <w:sz w:val="22"/>
                <w:szCs w:val="22"/>
              </w:rPr>
              <w:t xml:space="preserve">What to cut</w:t>
            </w:r>
          </w:p>
        </w:tc>
      </w:tr>
      <w:tr>
        <w:tc>
          <w:tcPr>
            <w:tcW w:type="dxa" w:w="2200"/>
            <w:tcMar>
              <w:top w:type="dxa" w:w="80"/>
              <w:left w:type="dxa" w:w="120"/>
              <w:bottom w:type="dxa" w:w="80"/>
              <w:right w:type="dxa" w:w="120"/>
            </w:tcMar>
          </w:tcPr>
          <w:p>
            <w:pPr>
              <w:spacing w:after="0" w:line="264"/>
            </w:pPr>
            <w:r>
              <w:rPr>
                <w:color w:val="141414"/>
                <w:sz w:val="22"/>
                <w:szCs w:val="22"/>
              </w:rPr>
              <w:t xml:space="preserve">Language + API</w:t>
            </w:r>
          </w:p>
        </w:tc>
        <w:tc>
          <w:tcPr>
            <w:tcW w:type="dxa" w:w="3760"/>
            <w:tcMar>
              <w:top w:type="dxa" w:w="80"/>
              <w:left w:type="dxa" w:w="120"/>
              <w:bottom w:type="dxa" w:w="80"/>
              <w:right w:type="dxa" w:w="120"/>
            </w:tcMar>
          </w:tcPr>
          <w:p>
            <w:pPr>
              <w:spacing w:after="0" w:line="264"/>
            </w:pPr>
            <w:r>
              <w:rPr>
                <w:color w:val="141414"/>
                <w:sz w:val="22"/>
                <w:szCs w:val="22"/>
              </w:rPr>
              <w:t xml:space="preserve">Python 3.12 + FastAPI, single process</w:t>
            </w:r>
          </w:p>
        </w:tc>
        <w:tc>
          <w:tcPr>
            <w:tcW w:type="dxa" w:w="3400"/>
            <w:tcMar>
              <w:top w:type="dxa" w:w="80"/>
              <w:left w:type="dxa" w:w="120"/>
              <w:bottom w:type="dxa" w:w="80"/>
              <w:right w:type="dxa" w:w="120"/>
            </w:tcMar>
          </w:tcPr>
          <w:p>
            <w:pPr>
              <w:spacing w:after="0" w:line="264"/>
            </w:pPr>
            <w:r>
              <w:rPr>
                <w:color w:val="141414"/>
                <w:sz w:val="22"/>
                <w:szCs w:val="22"/>
              </w:rPr>
              <w:t xml:space="preserve">Microservices</w:t>
            </w:r>
          </w:p>
        </w:tc>
      </w:tr>
      <w:tr>
        <w:tc>
          <w:tcPr>
            <w:tcW w:type="dxa" w:w="2200"/>
            <w:shd w:fill="F2F6F4" w:color="auto" w:val="clear"/>
            <w:tcMar>
              <w:top w:type="dxa" w:w="80"/>
              <w:left w:type="dxa" w:w="120"/>
              <w:bottom w:type="dxa" w:w="80"/>
              <w:right w:type="dxa" w:w="120"/>
            </w:tcMar>
          </w:tcPr>
          <w:p>
            <w:pPr>
              <w:spacing w:after="0" w:line="264"/>
            </w:pPr>
            <w:r>
              <w:rPr>
                <w:color w:val="141414"/>
                <w:sz w:val="22"/>
                <w:szCs w:val="22"/>
              </w:rPr>
              <w:t xml:space="preserve">Database</w:t>
            </w:r>
          </w:p>
        </w:tc>
        <w:tc>
          <w:tcPr>
            <w:tcW w:type="dxa" w:w="3760"/>
            <w:shd w:fill="F2F6F4" w:color="auto" w:val="clear"/>
            <w:tcMar>
              <w:top w:type="dxa" w:w="80"/>
              <w:left w:type="dxa" w:w="120"/>
              <w:bottom w:type="dxa" w:w="80"/>
              <w:right w:type="dxa" w:w="120"/>
            </w:tcMar>
          </w:tcPr>
          <w:p>
            <w:pPr>
              <w:spacing w:after="0" w:line="264"/>
            </w:pPr>
            <w:r>
              <w:rPr>
                <w:color w:val="141414"/>
                <w:sz w:val="22"/>
                <w:szCs w:val="22"/>
              </w:rPr>
              <w:t xml:space="preserve">PostgreSQL via Supabase (São Paulo)</w:t>
            </w:r>
          </w:p>
        </w:tc>
        <w:tc>
          <w:tcPr>
            <w:tcW w:type="dxa" w:w="3400"/>
            <w:shd w:fill="F2F6F4" w:color="auto" w:val="clear"/>
            <w:tcMar>
              <w:top w:type="dxa" w:w="80"/>
              <w:left w:type="dxa" w:w="120"/>
              <w:bottom w:type="dxa" w:w="80"/>
              <w:right w:type="dxa" w:w="120"/>
            </w:tcMar>
          </w:tcPr>
          <w:p>
            <w:pPr>
              <w:spacing w:after="0" w:line="264"/>
            </w:pPr>
            <w:r>
              <w:rPr>
                <w:color w:val="141414"/>
                <w:sz w:val="22"/>
                <w:szCs w:val="22"/>
              </w:rPr>
              <w:t xml:space="preserve">Self-managed DB; residency handled</w:t>
            </w:r>
          </w:p>
        </w:tc>
      </w:tr>
      <w:tr>
        <w:tc>
          <w:tcPr>
            <w:tcW w:type="dxa" w:w="2200"/>
            <w:tcMar>
              <w:top w:type="dxa" w:w="80"/>
              <w:left w:type="dxa" w:w="120"/>
              <w:bottom w:type="dxa" w:w="80"/>
              <w:right w:type="dxa" w:w="120"/>
            </w:tcMar>
          </w:tcPr>
          <w:p>
            <w:pPr>
              <w:spacing w:after="0" w:line="264"/>
            </w:pPr>
            <w:r>
              <w:rPr>
                <w:color w:val="141414"/>
                <w:sz w:val="22"/>
                <w:szCs w:val="22"/>
              </w:rPr>
              <w:t xml:space="preserve">Storage</w:t>
            </w:r>
          </w:p>
        </w:tc>
        <w:tc>
          <w:tcPr>
            <w:tcW w:type="dxa" w:w="3760"/>
            <w:tcMar>
              <w:top w:type="dxa" w:w="80"/>
              <w:left w:type="dxa" w:w="120"/>
              <w:bottom w:type="dxa" w:w="80"/>
              <w:right w:type="dxa" w:w="120"/>
            </w:tcMar>
          </w:tcPr>
          <w:p>
            <w:pPr>
              <w:spacing w:after="0" w:line="264"/>
            </w:pPr>
            <w:r>
              <w:rPr>
                <w:color w:val="141414"/>
                <w:sz w:val="22"/>
                <w:szCs w:val="22"/>
              </w:rPr>
              <w:t xml:space="preserve">Supabase Storage</w:t>
            </w:r>
          </w:p>
        </w:tc>
        <w:tc>
          <w:tcPr>
            <w:tcW w:type="dxa" w:w="3400"/>
            <w:tcMar>
              <w:top w:type="dxa" w:w="80"/>
              <w:left w:type="dxa" w:w="120"/>
              <w:bottom w:type="dxa" w:w="80"/>
              <w:right w:type="dxa" w:w="120"/>
            </w:tcMar>
          </w:tcPr>
          <w:p>
            <w:pPr>
              <w:spacing w:after="0" w:line="264"/>
            </w:pPr>
            <w:r>
              <w:rPr>
                <w:color w:val="141414"/>
                <w:sz w:val="22"/>
                <w:szCs w:val="22"/>
              </w:rPr>
              <w:t xml:space="preserve">—</w:t>
            </w:r>
          </w:p>
        </w:tc>
      </w:tr>
      <w:tr>
        <w:tc>
          <w:tcPr>
            <w:tcW w:type="dxa" w:w="2200"/>
            <w:shd w:fill="F2F6F4" w:color="auto" w:val="clear"/>
            <w:tcMar>
              <w:top w:type="dxa" w:w="80"/>
              <w:left w:type="dxa" w:w="120"/>
              <w:bottom w:type="dxa" w:w="80"/>
              <w:right w:type="dxa" w:w="120"/>
            </w:tcMar>
          </w:tcPr>
          <w:p>
            <w:pPr>
              <w:spacing w:after="0" w:line="264"/>
            </w:pPr>
            <w:r>
              <w:rPr>
                <w:color w:val="141414"/>
                <w:sz w:val="22"/>
                <w:szCs w:val="22"/>
              </w:rPr>
              <w:t xml:space="preserve">Background jobs</w:t>
            </w:r>
          </w:p>
        </w:tc>
        <w:tc>
          <w:tcPr>
            <w:tcW w:type="dxa" w:w="3760"/>
            <w:shd w:fill="F2F6F4" w:color="auto" w:val="clear"/>
            <w:tcMar>
              <w:top w:type="dxa" w:w="80"/>
              <w:left w:type="dxa" w:w="120"/>
              <w:bottom w:type="dxa" w:w="80"/>
              <w:right w:type="dxa" w:w="120"/>
            </w:tcMar>
          </w:tcPr>
          <w:p>
            <w:pPr>
              <w:spacing w:after="0" w:line="264"/>
            </w:pPr>
            <w:r>
              <w:rPr>
                <w:color w:val="141414"/>
                <w:sz w:val="22"/>
                <w:szCs w:val="22"/>
              </w:rPr>
              <w:t xml:space="preserve">APScheduler in-process</w:t>
            </w:r>
          </w:p>
        </w:tc>
        <w:tc>
          <w:tcPr>
            <w:tcW w:type="dxa" w:w="3400"/>
            <w:shd w:fill="F2F6F4" w:color="auto" w:val="clear"/>
            <w:tcMar>
              <w:top w:type="dxa" w:w="80"/>
              <w:left w:type="dxa" w:w="120"/>
              <w:bottom w:type="dxa" w:w="80"/>
              <w:right w:type="dxa" w:w="120"/>
            </w:tcMar>
          </w:tcPr>
          <w:p>
            <w:pPr>
              <w:spacing w:after="0" w:line="264"/>
            </w:pPr>
            <w:r>
              <w:rPr>
                <w:color w:val="141414"/>
                <w:sz w:val="22"/>
                <w:szCs w:val="22"/>
              </w:rPr>
              <w:t xml:space="preserve">Redis / queue until webhooks (Phase 2)</w:t>
            </w:r>
          </w:p>
        </w:tc>
      </w:tr>
      <w:tr>
        <w:tc>
          <w:tcPr>
            <w:tcW w:type="dxa" w:w="2200"/>
            <w:tcMar>
              <w:top w:type="dxa" w:w="80"/>
              <w:left w:type="dxa" w:w="120"/>
              <w:bottom w:type="dxa" w:w="80"/>
              <w:right w:type="dxa" w:w="120"/>
            </w:tcMar>
          </w:tcPr>
          <w:p>
            <w:pPr>
              <w:spacing w:after="0" w:line="264"/>
            </w:pPr>
            <w:r>
              <w:rPr>
                <w:color w:val="141414"/>
                <w:sz w:val="22"/>
                <w:szCs w:val="22"/>
              </w:rPr>
              <w:t xml:space="preserve">Operator workbench</w:t>
            </w:r>
          </w:p>
        </w:tc>
        <w:tc>
          <w:tcPr>
            <w:tcW w:type="dxa" w:w="3760"/>
            <w:tcMar>
              <w:top w:type="dxa" w:w="80"/>
              <w:left w:type="dxa" w:w="120"/>
              <w:bottom w:type="dxa" w:w="80"/>
              <w:right w:type="dxa" w:w="120"/>
            </w:tcMar>
          </w:tcPr>
          <w:p>
            <w:pPr>
              <w:spacing w:after="0" w:line="264"/>
            </w:pPr>
            <w:r>
              <w:rPr>
                <w:color w:val="141414"/>
                <w:sz w:val="22"/>
                <w:szCs w:val="22"/>
              </w:rPr>
              <w:t xml:space="preserve">FastAPI + HTMX + Jinja + Tailwind (CDN)</w:t>
            </w:r>
          </w:p>
        </w:tc>
        <w:tc>
          <w:tcPr>
            <w:tcW w:type="dxa" w:w="3400"/>
            <w:tcMar>
              <w:top w:type="dxa" w:w="80"/>
              <w:left w:type="dxa" w:w="120"/>
              <w:bottom w:type="dxa" w:w="80"/>
              <w:right w:type="dxa" w:w="120"/>
            </w:tcMar>
          </w:tcPr>
          <w:p>
            <w:pPr>
              <w:spacing w:after="0" w:line="264"/>
            </w:pPr>
            <w:r>
              <w:rPr>
                <w:color w:val="141414"/>
                <w:sz w:val="22"/>
                <w:szCs w:val="22"/>
              </w:rPr>
              <w:t xml:space="preserve">The entire separate frontend + build step</w:t>
            </w:r>
          </w:p>
        </w:tc>
      </w:tr>
      <w:tr>
        <w:tc>
          <w:tcPr>
            <w:tcW w:type="dxa" w:w="2200"/>
            <w:shd w:fill="F2F6F4" w:color="auto" w:val="clear"/>
            <w:tcMar>
              <w:top w:type="dxa" w:w="80"/>
              <w:left w:type="dxa" w:w="120"/>
              <w:bottom w:type="dxa" w:w="80"/>
              <w:right w:type="dxa" w:w="120"/>
            </w:tcMar>
          </w:tcPr>
          <w:p>
            <w:pPr>
              <w:spacing w:after="0" w:line="264"/>
            </w:pPr>
            <w:r>
              <w:rPr>
                <w:color w:val="141414"/>
                <w:sz w:val="22"/>
                <w:szCs w:val="22"/>
              </w:rPr>
              <w:t xml:space="preserve">LLM</w:t>
            </w:r>
          </w:p>
        </w:tc>
        <w:tc>
          <w:tcPr>
            <w:tcW w:type="dxa" w:w="3760"/>
            <w:shd w:fill="F2F6F4" w:color="auto" w:val="clear"/>
            <w:tcMar>
              <w:top w:type="dxa" w:w="80"/>
              <w:left w:type="dxa" w:w="120"/>
              <w:bottom w:type="dxa" w:w="80"/>
              <w:right w:type="dxa" w:w="120"/>
            </w:tcMar>
          </w:tcPr>
          <w:p>
            <w:pPr>
              <w:spacing w:after="0" w:line="264"/>
            </w:pPr>
            <w:r>
              <w:rPr>
                <w:color w:val="141414"/>
                <w:sz w:val="22"/>
                <w:szCs w:val="22"/>
              </w:rPr>
              <w:t xml:space="preserve">Anthropic API, structured outputs</w:t>
            </w:r>
          </w:p>
        </w:tc>
        <w:tc>
          <w:tcPr>
            <w:tcW w:type="dxa" w:w="3400"/>
            <w:shd w:fill="F2F6F4" w:color="auto" w:val="clear"/>
            <w:tcMar>
              <w:top w:type="dxa" w:w="80"/>
              <w:left w:type="dxa" w:w="120"/>
              <w:bottom w:type="dxa" w:w="80"/>
              <w:right w:type="dxa" w:w="120"/>
            </w:tcMar>
          </w:tcPr>
          <w:p>
            <w:pPr>
              <w:spacing w:after="0" w:line="264"/>
            </w:pPr>
            <w:r>
              <w:rPr>
                <w:color w:val="141414"/>
                <w:sz w:val="22"/>
                <w:szCs w:val="22"/>
              </w:rPr>
              <w:t xml:space="preserve">—</w:t>
            </w:r>
          </w:p>
        </w:tc>
      </w:tr>
      <w:tr>
        <w:tc>
          <w:tcPr>
            <w:tcW w:type="dxa" w:w="2200"/>
            <w:tcMar>
              <w:top w:type="dxa" w:w="80"/>
              <w:left w:type="dxa" w:w="120"/>
              <w:bottom w:type="dxa" w:w="80"/>
              <w:right w:type="dxa" w:w="120"/>
            </w:tcMar>
          </w:tcPr>
          <w:p>
            <w:pPr>
              <w:spacing w:after="0" w:line="264"/>
            </w:pPr>
            <w:r>
              <w:rPr>
                <w:color w:val="141414"/>
                <w:sz w:val="22"/>
                <w:szCs w:val="22"/>
              </w:rPr>
              <w:t xml:space="preserve">Deploy</w:t>
            </w:r>
          </w:p>
        </w:tc>
        <w:tc>
          <w:tcPr>
            <w:tcW w:type="dxa" w:w="3760"/>
            <w:tcMar>
              <w:top w:type="dxa" w:w="80"/>
              <w:left w:type="dxa" w:w="120"/>
              <w:bottom w:type="dxa" w:w="80"/>
              <w:right w:type="dxa" w:w="120"/>
            </w:tcMar>
          </w:tcPr>
          <w:p>
            <w:pPr>
              <w:spacing w:after="0" w:line="264"/>
            </w:pPr>
            <w:r>
              <w:rPr>
                <w:color w:val="141414"/>
                <w:sz w:val="22"/>
                <w:szCs w:val="22"/>
              </w:rPr>
              <w:t xml:space="preserve">One container on Fly.io or Render (GRU)</w:t>
            </w:r>
          </w:p>
        </w:tc>
        <w:tc>
          <w:tcPr>
            <w:tcW w:type="dxa" w:w="3400"/>
            <w:tcMar>
              <w:top w:type="dxa" w:w="80"/>
              <w:left w:type="dxa" w:w="120"/>
              <w:bottom w:type="dxa" w:w="80"/>
              <w:right w:type="dxa" w:w="120"/>
            </w:tcMar>
          </w:tcPr>
          <w:p>
            <w:pPr>
              <w:spacing w:after="0" w:line="264"/>
            </w:pPr>
            <w:r>
              <w:rPr>
                <w:color w:val="141414"/>
                <w:sz w:val="22"/>
                <w:szCs w:val="22"/>
              </w:rPr>
              <w:t xml:space="preserve">Everything else</w:t>
            </w:r>
          </w:p>
        </w:tc>
      </w:tr>
      <w:tr>
        <w:tc>
          <w:tcPr>
            <w:tcW w:type="dxa" w:w="2200"/>
            <w:shd w:fill="F2F6F4" w:color="auto" w:val="clear"/>
            <w:tcMar>
              <w:top w:type="dxa" w:w="80"/>
              <w:left w:type="dxa" w:w="120"/>
              <w:bottom w:type="dxa" w:w="80"/>
              <w:right w:type="dxa" w:w="120"/>
            </w:tcMar>
          </w:tcPr>
          <w:p>
            <w:pPr>
              <w:spacing w:after="0" w:line="264"/>
            </w:pPr>
            <w:r>
              <w:rPr>
                <w:color w:val="141414"/>
                <w:sz w:val="22"/>
                <w:szCs w:val="22"/>
              </w:rPr>
              <w:t xml:space="preserve">Fiscal + payments</w:t>
            </w:r>
          </w:p>
        </w:tc>
        <w:tc>
          <w:tcPr>
            <w:tcW w:type="dxa" w:w="3760"/>
            <w:shd w:fill="F2F6F4" w:color="auto" w:val="clear"/>
            <w:tcMar>
              <w:top w:type="dxa" w:w="80"/>
              <w:left w:type="dxa" w:w="120"/>
              <w:bottom w:type="dxa" w:w="80"/>
              <w:right w:type="dxa" w:w="120"/>
            </w:tcMar>
          </w:tcPr>
          <w:p>
            <w:pPr>
              <w:spacing w:after="0" w:line="264"/>
            </w:pPr>
            <w:r>
              <w:rPr>
                <w:color w:val="141414"/>
                <w:sz w:val="22"/>
                <w:szCs w:val="22"/>
              </w:rPr>
              <w:t xml:space="preserve">Focus NFe / PlugNotas + Asaas / MP</w:t>
            </w:r>
          </w:p>
        </w:tc>
        <w:tc>
          <w:tcPr>
            <w:tcW w:type="dxa" w:w="3400"/>
            <w:shd w:fill="F2F6F4" w:color="auto" w:val="clear"/>
            <w:tcMar>
              <w:top w:type="dxa" w:w="80"/>
              <w:left w:type="dxa" w:w="120"/>
              <w:bottom w:type="dxa" w:w="80"/>
              <w:right w:type="dxa" w:w="120"/>
            </w:tcMar>
          </w:tcPr>
          <w:p>
            <w:pPr>
              <w:spacing w:after="0" w:line="264"/>
            </w:pPr>
            <w:r>
              <w:rPr>
                <w:color w:val="141414"/>
                <w:sz w:val="22"/>
                <w:szCs w:val="22"/>
              </w:rPr>
              <w:t xml:space="preserve">Deferred until the first fee is collected</w:t>
            </w:r>
          </w:p>
        </w:tc>
      </w:tr>
    </w:tbl>
    <w:p>
      <w:pPr>
        <w:spacing w:after="60"/>
      </w:pPr>
      <w:r>
        <w:t xml:space="preserve"/>
      </w:r>
    </w:p>
    <w:tbl>
      <w:tblPr>
        <w:tblW w:type="dxa" w:w="9360"/>
        <w:tblBorders>
          <w:top w:val="single" w:color="BcD8CC" w:sz="6"/>
          <w:left w:val="single" w:color="0A6E4C" w:sz="24"/>
          <w:bottom w:val="single" w:color="BCD8CC" w:sz="6"/>
          <w:right w:val="single" w:color="BCD8CC" w:sz="6"/>
          <w:insideH w:val="none"/>
          <w:insideV w:val="none"/>
        </w:tblBorders>
      </w:tblPr>
      <w:tblGrid>
        <w:gridCol w:w="9360"/>
      </w:tblGrid>
      <w:tr>
        <w:tc>
          <w:tcPr>
            <w:tcW w:type="dxa" w:w="9360"/>
            <w:shd w:fill="E9F2ED" w:color="auto" w:val="clear"/>
            <w:tcMar>
              <w:top w:type="dxa" w:w="130"/>
              <w:left w:type="dxa" w:w="180"/>
              <w:bottom w:type="dxa" w:w="130"/>
              <w:right w:type="dxa" w:w="180"/>
            </w:tcMar>
          </w:tcPr>
          <w:p>
            <w:r>
              <w:rPr>
                <w:b/>
                <w:bCs/>
                <w:color w:val="0B4A36"/>
              </w:rPr>
              <w:t xml:space="preserve">Two things KISS must never skip.  </w:t>
            </w:r>
            <w:r>
              <w:t xml:space="preserve">(1) Money computed in code, stored as integer centavos — the LLM never writes a number. (2) A human approval gate plus an append-only audit log. Skip either and you do not have a simpler VOLTA; you have a liability.</w:t>
            </w:r>
          </w:p>
        </w:tc>
      </w:tr>
    </w:tbl>
    <w:p>
      <w:r>
        <w:t xml:space="preserve">Honest velocity: a runnable skeleton (data model, two rules, the reconciliation ledger, the HTMX workbench, the LLM drafter with the numeric linter, the audit log) against realistic fixtures can be written quickly. A pilotable Phase-1 codebase is a focused few-day build. But “fully operational,” recovering real money, is gated by things code cannot produce: a registered Mercado Livre developer app, a real seller, live Mercado Pago access, CNPJ-backed fiscal and payment accounts, and legal sign-off. The software is the fast part; the accounts, approvals, real data, and legal are the slow part — and proving value first is the correct sequence.</w:t>
      </w:r>
    </w:p>
    <w:p>
      <w:pPr>
        <w:pStyle w:val="Heading1"/>
      </w:pPr>
      <w:r>
        <w:t xml:space="preserve">22.  Build Roadmap &amp; Phasing</w:t>
      </w:r>
    </w:p>
    <w:p>
      <w:r>
        <w:t xml:space="preserve">Prove the economics by hand before writing a schema; let the first real cases decide which rules deserve code; automate ingestion and arithmetic, never accountability. Each phase ships only after the prior one moved the north-star metric. The phases are deliberately thin and time-boxed — the discipline is to build the smallest thing that could move the metric, ship it, and let real usage pull the next feature, so the product reaches paying use in weeks rather than quarters.</w:t>
      </w:r>
    </w:p>
    <w:tbl>
      <w:tblPr>
        <w:tblW w:type="dxa" w:w="9360"/>
        <w:tblBorders>
          <w:top w:val="single" w:color="C9D6D0" w:sz="4"/>
          <w:left w:val="single" w:color="C9D6D0" w:sz="4"/>
          <w:bottom w:val="single" w:color="C9D6D0" w:sz="4"/>
          <w:right w:val="single" w:color="C9D6D0" w:sz="4"/>
          <w:insideH w:val="single" w:color="C9D6D0" w:sz="4"/>
          <w:insideV w:val="single" w:color="C9D6D0" w:sz="4"/>
        </w:tblBorders>
      </w:tblPr>
      <w:tblGrid>
        <w:gridCol w:w="2100"/>
        <w:gridCol w:w="1900"/>
        <w:gridCol w:w="3160"/>
        <w:gridCol w:w="2200"/>
      </w:tblGrid>
      <w:tr>
        <w:trPr>
          <w:tblHeader/>
        </w:trPr>
        <w:tc>
          <w:tcPr>
            <w:tcW w:type="dxa" w:w="2100"/>
            <w:shd w:fill="0B4A36" w:color="auto" w:val="clear"/>
            <w:tcMar>
              <w:top w:type="dxa" w:w="80"/>
              <w:left w:type="dxa" w:w="120"/>
              <w:bottom w:type="dxa" w:w="80"/>
              <w:right w:type="dxa" w:w="120"/>
            </w:tcMar>
          </w:tcPr>
          <w:p>
            <w:pPr>
              <w:spacing w:after="0" w:line="260"/>
            </w:pPr>
            <w:r>
              <w:rPr>
                <w:b/>
                <w:bCs/>
                <w:color w:val="FFFFFF"/>
                <w:sz w:val="22"/>
                <w:szCs w:val="22"/>
              </w:rPr>
              <w:t xml:space="preserve">Phase</w:t>
            </w:r>
          </w:p>
        </w:tc>
        <w:tc>
          <w:tcPr>
            <w:tcW w:type="dxa" w:w="1900"/>
            <w:shd w:fill="0B4A36" w:color="auto" w:val="clear"/>
            <w:tcMar>
              <w:top w:type="dxa" w:w="80"/>
              <w:left w:type="dxa" w:w="120"/>
              <w:bottom w:type="dxa" w:w="80"/>
              <w:right w:type="dxa" w:w="120"/>
            </w:tcMar>
          </w:tcPr>
          <w:p>
            <w:pPr>
              <w:spacing w:after="0" w:line="260"/>
            </w:pPr>
            <w:r>
              <w:rPr>
                <w:b/>
                <w:bCs/>
                <w:color w:val="FFFFFF"/>
                <w:sz w:val="22"/>
                <w:szCs w:val="22"/>
              </w:rPr>
              <w:t xml:space="preserve">Goal</w:t>
            </w:r>
          </w:p>
        </w:tc>
        <w:tc>
          <w:tcPr>
            <w:tcW w:type="dxa" w:w="3160"/>
            <w:shd w:fill="0B4A36" w:color="auto" w:val="clear"/>
            <w:tcMar>
              <w:top w:type="dxa" w:w="80"/>
              <w:left w:type="dxa" w:w="120"/>
              <w:bottom w:type="dxa" w:w="80"/>
              <w:right w:type="dxa" w:w="120"/>
            </w:tcMar>
          </w:tcPr>
          <w:p>
            <w:pPr>
              <w:spacing w:after="0" w:line="260"/>
            </w:pPr>
            <w:r>
              <w:rPr>
                <w:b/>
                <w:bCs/>
                <w:color w:val="FFFFFF"/>
                <w:sz w:val="22"/>
                <w:szCs w:val="22"/>
              </w:rPr>
              <w:t xml:space="preserve">Build (thinnest)</w:t>
            </w:r>
          </w:p>
        </w:tc>
        <w:tc>
          <w:tcPr>
            <w:tcW w:type="dxa" w:w="2200"/>
            <w:shd w:fill="0B4A36" w:color="auto" w:val="clear"/>
            <w:tcMar>
              <w:top w:type="dxa" w:w="80"/>
              <w:left w:type="dxa" w:w="120"/>
              <w:bottom w:type="dxa" w:w="80"/>
              <w:right w:type="dxa" w:w="120"/>
            </w:tcMar>
          </w:tcPr>
          <w:p>
            <w:pPr>
              <w:spacing w:after="0" w:line="260"/>
            </w:pPr>
            <w:r>
              <w:rPr>
                <w:b/>
                <w:bCs/>
                <w:color w:val="FFFFFF"/>
                <w:sz w:val="22"/>
                <w:szCs w:val="22"/>
              </w:rPr>
              <w:t xml:space="preserve">Exit gate</w:t>
            </w:r>
          </w:p>
        </w:tc>
      </w:tr>
      <w:tr>
        <w:tc>
          <w:tcPr>
            <w:tcW w:type="dxa" w:w="2100"/>
            <w:tcMar>
              <w:top w:type="dxa" w:w="80"/>
              <w:left w:type="dxa" w:w="120"/>
              <w:bottom w:type="dxa" w:w="80"/>
              <w:right w:type="dxa" w:w="120"/>
            </w:tcMar>
          </w:tcPr>
          <w:p>
            <w:pPr>
              <w:spacing w:after="0" w:line="264"/>
            </w:pPr>
            <w:r>
              <w:rPr>
                <w:b/>
                <w:bCs/>
                <w:i w:val="false"/>
                <w:iCs w:val="false"/>
                <w:color w:val="141414"/>
                <w:sz w:val="22"/>
                <w:szCs w:val="22"/>
              </w:rPr>
              <w:t xml:space="preserve">0 · Pilot · 45d · R$15–25k</w:t>
            </w:r>
          </w:p>
        </w:tc>
        <w:tc>
          <w:tcPr>
            <w:tcW w:type="dxa" w:w="1900"/>
            <w:tcMar>
              <w:top w:type="dxa" w:w="80"/>
              <w:left w:type="dxa" w:w="120"/>
              <w:bottom w:type="dxa" w:w="80"/>
              <w:right w:type="dxa" w:w="120"/>
            </w:tcMar>
          </w:tcPr>
          <w:p>
            <w:pPr>
              <w:spacing w:after="0" w:line="264"/>
            </w:pPr>
            <w:r>
              <w:rPr>
                <w:color w:val="141414"/>
                <w:sz w:val="22"/>
                <w:szCs w:val="22"/>
              </w:rPr>
              <w:t xml:space="preserve">Does the money exist?</w:t>
            </w:r>
          </w:p>
        </w:tc>
        <w:tc>
          <w:tcPr>
            <w:tcW w:type="dxa" w:w="3160"/>
            <w:tcMar>
              <w:top w:type="dxa" w:w="80"/>
              <w:left w:type="dxa" w:w="120"/>
              <w:bottom w:type="dxa" w:w="80"/>
              <w:right w:type="dxa" w:w="120"/>
            </w:tcMar>
          </w:tcPr>
          <w:p>
            <w:pPr>
              <w:spacing w:after="0" w:line="264"/>
            </w:pPr>
            <w:r>
              <w:rPr>
                <w:color w:val="141414"/>
                <w:sz w:val="22"/>
                <w:szCs w:val="22"/>
              </w:rPr>
              <w:t xml:space="preserve">Throwaway OAuth scripts, 5 sellers, 2 rules in notebooks, a spreadsheet case store, AI drafts, founder files manually</w:t>
            </w:r>
          </w:p>
        </w:tc>
        <w:tc>
          <w:tcPr>
            <w:tcW w:type="dxa" w:w="2200"/>
            <w:tcMar>
              <w:top w:type="dxa" w:w="80"/>
              <w:left w:type="dxa" w:w="120"/>
              <w:bottom w:type="dxa" w:w="80"/>
              <w:right w:type="dxa" w:w="120"/>
            </w:tcMar>
          </w:tcPr>
          <w:p>
            <w:pPr>
              <w:spacing w:after="0" w:line="264"/>
            </w:pPr>
            <w:r>
              <w:rPr>
                <w:color w:val="141414"/>
                <w:sz w:val="22"/>
                <w:szCs w:val="22"/>
              </w:rPr>
              <w:t xml:space="preserve">≥3 signed · ≥10 submitted · ≥1 confirmed · case types repeat · prep &lt;20 min</w:t>
            </w:r>
          </w:p>
        </w:tc>
      </w:tr>
      <w:tr>
        <w:tc>
          <w:tcPr>
            <w:tcW w:type="dxa" w:w="21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1 · Thin Workbench · ~60d · R$40–70k</w:t>
            </w:r>
          </w:p>
        </w:tc>
        <w:tc>
          <w:tcPr>
            <w:tcW w:type="dxa" w:w="1900"/>
            <w:shd w:fill="F2F6F4" w:color="auto" w:val="clear"/>
            <w:tcMar>
              <w:top w:type="dxa" w:w="80"/>
              <w:left w:type="dxa" w:w="120"/>
              <w:bottom w:type="dxa" w:w="80"/>
              <w:right w:type="dxa" w:w="120"/>
            </w:tcMar>
          </w:tcPr>
          <w:p>
            <w:pPr>
              <w:spacing w:after="0" w:line="264"/>
            </w:pPr>
            <w:r>
              <w:rPr>
                <w:color w:val="141414"/>
                <w:sz w:val="22"/>
                <w:szCs w:val="22"/>
              </w:rPr>
              <w:t xml:space="preserve">Beat the spreadsheet</w:t>
            </w:r>
          </w:p>
        </w:tc>
        <w:tc>
          <w:tcPr>
            <w:tcW w:type="dxa" w:w="3160"/>
            <w:shd w:fill="F2F6F4" w:color="auto" w:val="clear"/>
            <w:tcMar>
              <w:top w:type="dxa" w:w="80"/>
              <w:left w:type="dxa" w:w="120"/>
              <w:bottom w:type="dxa" w:w="80"/>
              <w:right w:type="dxa" w:w="120"/>
            </w:tcMar>
          </w:tcPr>
          <w:p>
            <w:pPr>
              <w:spacing w:after="0" w:line="264"/>
            </w:pPr>
            <w:r>
              <w:rPr>
                <w:color w:val="141414"/>
                <w:sz w:val="22"/>
                <w:szCs w:val="22"/>
              </w:rPr>
              <w:t xml:space="preserve">FastAPI + Postgres + storage; the 2 proven rules; 4 screens (Queue, Case Detail, Approval, Audit Log)</w:t>
            </w:r>
          </w:p>
        </w:tc>
        <w:tc>
          <w:tcPr>
            <w:tcW w:type="dxa" w:w="2200"/>
            <w:shd w:fill="F2F6F4" w:color="auto" w:val="clear"/>
            <w:tcMar>
              <w:top w:type="dxa" w:w="80"/>
              <w:left w:type="dxa" w:w="120"/>
              <w:bottom w:type="dxa" w:w="80"/>
              <w:right w:type="dxa" w:w="120"/>
            </w:tcMar>
          </w:tcPr>
          <w:p>
            <w:pPr>
              <w:spacing w:after="0" w:line="264"/>
            </w:pPr>
            <w:r>
              <w:rPr>
                <w:color w:val="141414"/>
                <w:sz w:val="22"/>
                <w:szCs w:val="22"/>
              </w:rPr>
              <w:t xml:space="preserve">credits/human-hour ~2× the pilot · 3+ paying clients · prep &lt;10 min</w:t>
            </w:r>
          </w:p>
        </w:tc>
      </w:tr>
      <w:tr>
        <w:tc>
          <w:tcPr>
            <w:tcW w:type="dxa" w:w="2100"/>
            <w:tcMar>
              <w:top w:type="dxa" w:w="80"/>
              <w:left w:type="dxa" w:w="120"/>
              <w:bottom w:type="dxa" w:w="80"/>
              <w:right w:type="dxa" w:w="120"/>
            </w:tcMar>
          </w:tcPr>
          <w:p>
            <w:pPr>
              <w:spacing w:after="0" w:line="264"/>
            </w:pPr>
            <w:r>
              <w:rPr>
                <w:b/>
                <w:bCs/>
                <w:i w:val="false"/>
                <w:iCs w:val="false"/>
                <w:color w:val="141414"/>
                <w:sz w:val="22"/>
                <w:szCs w:val="22"/>
              </w:rPr>
              <w:t xml:space="preserve">2 · Continuous Protection · ~90d · R$60–100k</w:t>
            </w:r>
          </w:p>
        </w:tc>
        <w:tc>
          <w:tcPr>
            <w:tcW w:type="dxa" w:w="1900"/>
            <w:tcMar>
              <w:top w:type="dxa" w:w="80"/>
              <w:left w:type="dxa" w:w="120"/>
              <w:bottom w:type="dxa" w:w="80"/>
              <w:right w:type="dxa" w:w="120"/>
            </w:tcMar>
          </w:tcPr>
          <w:p>
            <w:pPr>
              <w:spacing w:after="0" w:line="264"/>
            </w:pPr>
            <w:r>
              <w:rPr>
                <w:color w:val="141414"/>
                <w:sz w:val="22"/>
                <w:szCs w:val="22"/>
              </w:rPr>
              <w:t xml:space="preserve">Always-on; catch the window</w:t>
            </w:r>
          </w:p>
        </w:tc>
        <w:tc>
          <w:tcPr>
            <w:tcW w:type="dxa" w:w="3160"/>
            <w:tcMar>
              <w:top w:type="dxa" w:w="80"/>
              <w:left w:type="dxa" w:w="120"/>
              <w:bottom w:type="dxa" w:w="80"/>
              <w:right w:type="dxa" w:w="120"/>
            </w:tcMar>
          </w:tcPr>
          <w:p>
            <w:pPr>
              <w:spacing w:after="0" w:line="264"/>
            </w:pPr>
            <w:r>
              <w:rPr>
                <w:color w:val="141414"/>
                <w:sz w:val="22"/>
                <w:szCs w:val="22"/>
              </w:rPr>
              <w:t xml:space="preserve">Webhooks + queue; deadline monitor; +2 rules; monthly statements; fee/NFS-e automation. Ships Product C</w:t>
            </w:r>
          </w:p>
        </w:tc>
        <w:tc>
          <w:tcPr>
            <w:tcW w:type="dxa" w:w="2200"/>
            <w:tcMar>
              <w:top w:type="dxa" w:w="80"/>
              <w:left w:type="dxa" w:w="120"/>
              <w:bottom w:type="dxa" w:w="80"/>
              <w:right w:type="dxa" w:w="120"/>
            </w:tcMar>
          </w:tcPr>
          <w:p>
            <w:pPr>
              <w:spacing w:after="0" w:line="264"/>
            </w:pPr>
            <w:r>
              <w:rPr>
                <w:color w:val="141414"/>
                <w:sz w:val="22"/>
                <w:szCs w:val="22"/>
              </w:rPr>
              <w:t xml:space="preserve">false-positive rate &lt;5% · deadline-miss ≈0 · 10+ clients · MRR covers ops</w:t>
            </w:r>
          </w:p>
        </w:tc>
      </w:tr>
      <w:tr>
        <w:tc>
          <w:tcPr>
            <w:tcW w:type="dxa" w:w="2100"/>
            <w:shd w:fill="F2F6F4" w:color="auto" w:val="clear"/>
            <w:tcMar>
              <w:top w:type="dxa" w:w="80"/>
              <w:left w:type="dxa" w:w="120"/>
              <w:bottom w:type="dxa" w:w="80"/>
              <w:right w:type="dxa" w:w="120"/>
            </w:tcMar>
          </w:tcPr>
          <w:p>
            <w:pPr>
              <w:spacing w:after="0" w:line="264"/>
            </w:pPr>
            <w:r>
              <w:rPr>
                <w:b/>
                <w:bCs/>
                <w:i w:val="false"/>
                <w:iCs w:val="false"/>
                <w:color w:val="141414"/>
                <w:sz w:val="22"/>
                <w:szCs w:val="22"/>
              </w:rPr>
              <w:t xml:space="preserve">3 · White-Label Platform · ~120d · R$150k+</w:t>
            </w:r>
          </w:p>
        </w:tc>
        <w:tc>
          <w:tcPr>
            <w:tcW w:type="dxa" w:w="1900"/>
            <w:shd w:fill="F2F6F4" w:color="auto" w:val="clear"/>
            <w:tcMar>
              <w:top w:type="dxa" w:w="80"/>
              <w:left w:type="dxa" w:w="120"/>
              <w:bottom w:type="dxa" w:w="80"/>
              <w:right w:type="dxa" w:w="120"/>
            </w:tcMar>
          </w:tcPr>
          <w:p>
            <w:pPr>
              <w:spacing w:after="0" w:line="264"/>
            </w:pPr>
            <w:r>
              <w:rPr>
                <w:color w:val="141414"/>
                <w:sz w:val="22"/>
                <w:szCs w:val="22"/>
              </w:rPr>
              <w:t xml:space="preserve">Scale through partners</w:t>
            </w:r>
          </w:p>
        </w:tc>
        <w:tc>
          <w:tcPr>
            <w:tcW w:type="dxa" w:w="3160"/>
            <w:shd w:fill="F2F6F4" w:color="auto" w:val="clear"/>
            <w:tcMar>
              <w:top w:type="dxa" w:w="80"/>
              <w:left w:type="dxa" w:w="120"/>
              <w:bottom w:type="dxa" w:w="80"/>
              <w:right w:type="dxa" w:w="120"/>
            </w:tcMar>
          </w:tcPr>
          <w:p>
            <w:pPr>
              <w:spacing w:after="0" w:line="264"/>
            </w:pPr>
            <w:r>
              <w:rPr>
                <w:color w:val="141414"/>
                <w:sz w:val="22"/>
                <w:szCs w:val="22"/>
              </w:rPr>
              <w:t xml:space="preserve">Multi-tenant partner portal + revenue-share reporting; remaining rules; heavier evidence automation</w:t>
            </w:r>
          </w:p>
        </w:tc>
        <w:tc>
          <w:tcPr>
            <w:tcW w:type="dxa" w:w="2200"/>
            <w:shd w:fill="F2F6F4" w:color="auto" w:val="clear"/>
            <w:tcMar>
              <w:top w:type="dxa" w:w="80"/>
              <w:left w:type="dxa" w:w="120"/>
              <w:bottom w:type="dxa" w:w="80"/>
              <w:right w:type="dxa" w:w="120"/>
            </w:tcMar>
          </w:tcPr>
          <w:p>
            <w:pPr>
              <w:spacing w:after="0" w:line="264"/>
            </w:pPr>
            <w:r>
              <w:rPr>
                <w:color w:val="141414"/>
                <w:sz w:val="22"/>
                <w:szCs w:val="22"/>
              </w:rPr>
              <w:t xml:space="preserve">2+ signed partners · partner-sourced recoveries exceed direct</w:t>
            </w:r>
          </w:p>
        </w:tc>
      </w:tr>
    </w:tbl>
    <w:p>
      <w:r>
        <w:br w:type="page"/>
      </w:r>
    </w:p>
    <w:p>
      <w:pPr>
        <w:spacing w:after="40" w:before="200"/>
      </w:pPr>
      <w:r>
        <w:rPr>
          <w:b/>
          <w:bCs/>
          <w:caps/>
          <w:color w:val="0A6E4C"/>
          <w:sz w:val="22"/>
          <w:szCs w:val="22"/>
        </w:rPr>
        <w:t xml:space="preserve">Part III</w:t>
      </w:r>
    </w:p>
    <w:p>
      <w:pPr>
        <w:pBdr>
          <w:bottom w:val="single" w:color="0B4A36" w:sz="18" w:space="4"/>
        </w:pBdr>
        <w:spacing w:after="60"/>
      </w:pPr>
      <w:r>
        <w:rPr>
          <w:b/>
          <w:bCs/>
          <w:color w:val="0B4A36"/>
          <w:sz w:val="46"/>
          <w:szCs w:val="46"/>
        </w:rPr>
        <w:t xml:space="preserve">Recommendation &amp; Reference</w:t>
      </w:r>
    </w:p>
    <w:p>
      <w:pPr>
        <w:spacing w:after="120"/>
      </w:pPr>
      <w:r>
        <w:t xml:space="preserve"/>
      </w:r>
    </w:p>
    <w:p>
      <w:pPr>
        <w:pStyle w:val="Heading1"/>
      </w:pPr>
      <w:r>
        <w:t xml:space="preserve">23.  Recommendation — How I Would Build It</w:t>
      </w:r>
    </w:p>
    <w:p>
      <w:pPr>
        <w:spacing w:after="110" w:line="340"/>
        <w:ind w:left="360" w:hanging="360"/>
      </w:pPr>
      <w:r>
        <w:rPr>
          <w:b/>
          <w:bCs/>
          <w:color w:val="0A6E4C"/>
        </w:rPr>
        <w:t xml:space="preserve">1.  </w:t>
      </w:r>
      <w:r>
        <w:rPr>
          <w:b/>
          <w:bCs/>
        </w:rPr>
        <w:t xml:space="preserve">Yes — build the system, not the chatbot. </w:t>
      </w:r>
      <w:r>
        <w:t xml:space="preserve">The workbench (deterministic engine + append-only case/evidence ledger + operator console) is the moat; the LLM is an assistant that must never compute a number. That invariant is what makes the success-fee model safe.</w:t>
      </w:r>
    </w:p>
    <w:p>
      <w:pPr>
        <w:spacing w:after="110" w:line="340"/>
        <w:ind w:left="360" w:hanging="360"/>
      </w:pPr>
      <w:r>
        <w:rPr>
          <w:b/>
          <w:bCs/>
          <w:color w:val="0A6E4C"/>
        </w:rPr>
        <w:t xml:space="preserve">2.  </w:t>
      </w:r>
      <w:r>
        <w:rPr>
          <w:b/>
          <w:bCs/>
        </w:rPr>
        <w:t xml:space="preserve">But earn the right to build it. </w:t>
      </w:r>
      <w:r>
        <w:t xml:space="preserve">Run Phase 0 first — scripts, sheets, and a human — on five real sellers, and treat the controlled submit-vs-hold A/B as the go / no-go. It costs about R$15–25k and answers the only question that matters.</w:t>
      </w:r>
    </w:p>
    <w:p>
      <w:pPr>
        <w:spacing w:after="110" w:line="340"/>
        <w:ind w:left="360" w:hanging="360"/>
      </w:pPr>
      <w:r>
        <w:rPr>
          <w:b/>
          <w:bCs/>
          <w:color w:val="0A6E4C"/>
        </w:rPr>
        <w:t xml:space="preserve">3.  </w:t>
      </w:r>
      <w:r>
        <w:rPr>
          <w:b/>
          <w:bCs/>
        </w:rPr>
        <w:t xml:space="preserve">Make the event spine the first thing you build in Phase 1. </w:t>
      </w:r>
      <w:r>
        <w:t xml:space="preserve">Append-only and hash-chained. Audit, LGPD, dispute defence, and replayability all follow from it.</w:t>
      </w:r>
    </w:p>
    <w:p>
      <w:pPr>
        <w:spacing w:after="110" w:line="340"/>
        <w:ind w:left="360" w:hanging="360"/>
      </w:pPr>
      <w:r>
        <w:rPr>
          <w:b/>
          <w:bCs/>
          <w:color w:val="0A6E4C"/>
        </w:rPr>
        <w:t xml:space="preserve">4.  </w:t>
      </w:r>
      <w:r>
        <w:rPr>
          <w:b/>
          <w:bCs/>
        </w:rPr>
        <w:t xml:space="preserve">Reconcile both pools from one OAuth. </w:t>
      </w:r>
      <w:r>
        <w:t xml:space="preserve">Mercado Livre Full and Mercado Pago. The payments layer is VOLTA’s edge over the FBA analog and the natural hedge if the logistics pool shrinks.</w:t>
      </w:r>
    </w:p>
    <w:p>
      <w:pPr>
        <w:spacing w:after="110" w:line="340"/>
        <w:ind w:left="360" w:hanging="360"/>
      </w:pPr>
      <w:r>
        <w:rPr>
          <w:b/>
          <w:bCs/>
          <w:color w:val="0A6E4C"/>
        </w:rPr>
        <w:t xml:space="preserve">5.  </w:t>
      </w:r>
      <w:r>
        <w:rPr>
          <w:b/>
          <w:bCs/>
        </w:rPr>
        <w:t xml:space="preserve">Design for the north star, not for impressiveness. </w:t>
      </w:r>
      <w:r>
        <w:t xml:space="preserve">Confirmed client credits per human operating hour is the one number. If it does not rise with volume after 45 days, redesign — do not push harder.</w:t>
      </w:r>
    </w:p>
    <w:p>
      <w:r>
        <w:t xml:space="preserve">The prize, if the pilot passes, is real: the first credible automated recovery layer for Mercado Livre sellers, expandable into an always-on protection service, then a multi-marketplace recovery platform, then a white-label rail others build on. The discipline in this plan is simply that each of those rungs is earned by the one below it paying for itself first.</w:t>
      </w:r>
    </w:p>
    <w:p>
      <w:pPr>
        <w:pStyle w:val="Heading1"/>
      </w:pPr>
      <w:r>
        <w:t xml:space="preserve">24.  Appendix</w:t>
      </w:r>
    </w:p>
    <w:p>
      <w:pPr>
        <w:pStyle w:val="Heading3"/>
      </w:pPr>
      <w:r>
        <w:t xml:space="preserve">A. Platform / API notes (verify before building the write path)</w:t>
      </w:r>
    </w:p>
    <w:p>
      <w:pPr>
        <w:pStyle w:val="ListParagraph"/>
        <w:numPr>
          <w:ilvl w:val="0"/>
          <w:numId w:val="1"/>
        </w:numPr>
        <w:spacing w:after="90" w:line="340"/>
      </w:pPr>
      <w:r>
        <w:t xml:space="preserve">Full stock movements are the key detection surface (a searchable operations history with a default 15-day window; pushed via a stock-fulfillment webhook topic).</w:t>
      </w:r>
    </w:p>
    <w:p>
      <w:pPr>
        <w:pStyle w:val="ListParagraph"/>
        <w:numPr>
          <w:ilvl w:val="0"/>
          <w:numId w:val="1"/>
        </w:numPr>
        <w:spacing w:after="90" w:line="340"/>
      </w:pPr>
      <w:r>
        <w:t xml:space="preserve">Claims carry available_actions with a mandatory flag and an expiration; API actions are messaging and evidence only — refund acceptance and final adjudication are dashboard-only. Model-6 sellers receive 403 on these endpoints.</w:t>
      </w:r>
    </w:p>
    <w:p>
      <w:pPr>
        <w:pStyle w:val="ListParagraph"/>
        <w:numPr>
          <w:ilvl w:val="0"/>
          <w:numId w:val="1"/>
        </w:numPr>
        <w:spacing w:after="90" w:line="340"/>
      </w:pPr>
      <w:r>
        <w:t xml:space="preserve">Mercado Pago provides a Release report and an Account-Money report (schedulable). Its refund endpoint requires an idempotency key and is blocklisted for VOLTA.</w:t>
      </w:r>
    </w:p>
    <w:p>
      <w:pPr>
        <w:pStyle w:val="ListParagraph"/>
        <w:numPr>
          <w:ilvl w:val="0"/>
          <w:numId w:val="1"/>
        </w:numPr>
        <w:spacing w:after="90" w:line="340"/>
      </w:pPr>
      <w:r>
        <w:t xml:space="preserve">OAuth 2.0 authorization code; access token ~6h; refresh rotates; rate limit ~1,500 requests/min per seller.</w:t>
      </w:r>
    </w:p>
    <w:p>
      <w:pPr>
        <w:pStyle w:val="Heading3"/>
      </w:pPr>
      <w:r>
        <w:t xml:space="preserve">B. Assumptions to verify with primary sources and Brazilian advisors</w:t>
      </w:r>
    </w:p>
    <w:p>
      <w:pPr>
        <w:pStyle w:val="ListParagraph"/>
        <w:numPr>
          <w:ilvl w:val="0"/>
          <w:numId w:val="1"/>
        </w:numPr>
        <w:spacing w:after="90" w:line="340"/>
      </w:pPr>
      <w:r>
        <w:t xml:space="preserve">The ~1–3% recoverable-of-revenue figure, for Mercado Livre specifically (the pilot).</w:t>
      </w:r>
    </w:p>
    <w:p>
      <w:pPr>
        <w:pStyle w:val="ListParagraph"/>
        <w:numPr>
          <w:ilvl w:val="0"/>
          <w:numId w:val="1"/>
        </w:numPr>
        <w:spacing w:after="90" w:line="340"/>
      </w:pPr>
      <w:r>
        <w:t xml:space="preserve">Developer-policy permission for third-party, seller-authorized recovery workflows and any limit on programmatic claim submission.</w:t>
      </w:r>
    </w:p>
    <w:p>
      <w:pPr>
        <w:pStyle w:val="ListParagraph"/>
        <w:numPr>
          <w:ilvl w:val="0"/>
          <w:numId w:val="1"/>
        </w:numPr>
        <w:spacing w:after="90" w:line="340"/>
      </w:pPr>
      <w:r>
        <w:t xml:space="preserve">LGPD cross-border basis (ANPD standard clauses) and the legality/tax treatment of contingency service fees (NFS-e, ISS, retentions) — with counsel and an accountant.</w:t>
      </w:r>
    </w:p>
    <w:p>
      <w:pPr>
        <w:pStyle w:val="ListParagraph"/>
        <w:numPr>
          <w:ilvl w:val="0"/>
          <w:numId w:val="1"/>
        </w:numPr>
        <w:spacing w:after="90" w:line="340"/>
      </w:pPr>
      <w:r>
        <w:t xml:space="preserve">Pix Automático / mandate mechanics with a Brazilian payments provider.</w:t>
      </w:r>
    </w:p>
    <w:p>
      <w:pPr>
        <w:pStyle w:val="Heading3"/>
      </w:pPr>
      <w:r>
        <w:t xml:space="preserve">C. Glossary</w:t>
      </w:r>
    </w:p>
    <w:p>
      <w:pPr>
        <w:pStyle w:val="ListParagraph"/>
        <w:numPr>
          <w:ilvl w:val="0"/>
          <w:numId w:val="1"/>
        </w:numPr>
        <w:spacing w:after="90" w:line="340"/>
      </w:pPr>
      <w:r>
        <w:rPr>
          <w:b/>
          <w:bCs/>
        </w:rPr>
        <w:t xml:space="preserve">Full / Mercado Envios Full — </w:t>
      </w:r>
      <w:r>
        <w:t xml:space="preserve">Mercado Livre’s fulfilment (warehousing + shipping) programme, the FBA analog.</w:t>
      </w:r>
    </w:p>
    <w:p>
      <w:pPr>
        <w:pStyle w:val="ListParagraph"/>
        <w:numPr>
          <w:ilvl w:val="0"/>
          <w:numId w:val="1"/>
        </w:numPr>
        <w:spacing w:after="90" w:line="340"/>
      </w:pPr>
      <w:r>
        <w:rPr>
          <w:b/>
          <w:bCs/>
        </w:rPr>
        <w:t xml:space="preserve">Mercado Pago — </w:t>
      </w:r>
      <w:r>
        <w:t xml:space="preserve">Mercado Livre’s payments arm; the source of the financial movement reports VOLTA reconciles against.</w:t>
      </w:r>
    </w:p>
    <w:p>
      <w:pPr>
        <w:pStyle w:val="ListParagraph"/>
        <w:numPr>
          <w:ilvl w:val="0"/>
          <w:numId w:val="1"/>
        </w:numPr>
        <w:spacing w:after="90" w:line="340"/>
      </w:pPr>
      <w:r>
        <w:rPr>
          <w:b/>
          <w:bCs/>
        </w:rPr>
        <w:t xml:space="preserve">NF-e / DANFE — </w:t>
      </w:r>
      <w:r>
        <w:t xml:space="preserve">the Brazilian electronic invoice; the XML is the legal document, the DANFE is only its printout.</w:t>
      </w:r>
    </w:p>
    <w:p>
      <w:pPr>
        <w:pStyle w:val="ListParagraph"/>
        <w:numPr>
          <w:ilvl w:val="0"/>
          <w:numId w:val="1"/>
        </w:numPr>
        <w:spacing w:after="90" w:line="340"/>
      </w:pPr>
      <w:r>
        <w:rPr>
          <w:b/>
          <w:bCs/>
        </w:rPr>
        <w:t xml:space="preserve">NFS-e — </w:t>
      </w:r>
      <w:r>
        <w:t xml:space="preserve">the municipal electronic service invoice VOLTA issues for its own fee.</w:t>
      </w:r>
    </w:p>
    <w:p>
      <w:pPr>
        <w:pStyle w:val="ListParagraph"/>
        <w:numPr>
          <w:ilvl w:val="0"/>
          <w:numId w:val="1"/>
        </w:numPr>
        <w:spacing w:after="90" w:line="340"/>
      </w:pPr>
      <w:r>
        <w:rPr>
          <w:b/>
          <w:bCs/>
        </w:rPr>
        <w:t xml:space="preserve">Model-6 seller — </w:t>
      </w:r>
      <w:r>
        <w:t xml:space="preserve">an account tier that receives 403 on the claims/returns API endpoints VOLTA needs.</w:t>
      </w:r>
    </w:p>
    <w:p>
      <w:pPr>
        <w:pStyle w:val="ListParagraph"/>
        <w:numPr>
          <w:ilvl w:val="0"/>
          <w:numId w:val="1"/>
        </w:numPr>
        <w:spacing w:after="90" w:line="340"/>
      </w:pPr>
      <w:r>
        <w:rPr>
          <w:b/>
          <w:bCs/>
        </w:rPr>
        <w:t xml:space="preserve">Cubagem — </w:t>
      </w:r>
      <w:r>
        <w:t xml:space="preserve">dimensional-weight classification that sets freight tiers; a common overcharge source.</w:t>
      </w:r>
    </w:p>
    <w:p>
      <w:pPr>
        <w:pStyle w:val="ListParagraph"/>
        <w:numPr>
          <w:ilvl w:val="0"/>
          <w:numId w:val="1"/>
        </w:numPr>
        <w:spacing w:after="90" w:line="340"/>
      </w:pPr>
      <w:r>
        <w:rPr>
          <w:b/>
          <w:bCs/>
        </w:rPr>
        <w:t xml:space="preserve">Ressarcimento / compensação — </w:t>
      </w:r>
      <w:r>
        <w:t xml:space="preserve">the platform’s reimbursement for lost, damaged, or delayed inventory.</w:t>
      </w:r>
    </w:p>
    <w:p>
      <w:pPr>
        <w:pStyle w:val="ListParagraph"/>
        <w:numPr>
          <w:ilvl w:val="0"/>
          <w:numId w:val="1"/>
        </w:numPr>
        <w:spacing w:after="90" w:line="340"/>
      </w:pPr>
      <w:r>
        <w:rPr>
          <w:b/>
          <w:bCs/>
        </w:rPr>
        <w:t xml:space="preserve">LGPD / ANPD — </w:t>
      </w:r>
      <w:r>
        <w:t xml:space="preserve">Brazil’s data-protection law and its enforcement authority.</w:t>
      </w:r>
    </w:p>
    <w:p>
      <w:pPr>
        <w:pStyle w:val="ListParagraph"/>
        <w:numPr>
          <w:ilvl w:val="0"/>
          <w:numId w:val="1"/>
        </w:numPr>
        <w:spacing w:after="90" w:line="340"/>
      </w:pPr>
      <w:r>
        <w:rPr>
          <w:b/>
          <w:bCs/>
        </w:rPr>
        <w:t xml:space="preserve">PRV — </w:t>
      </w:r>
      <w:r>
        <w:t xml:space="preserve">VOLTA’s triage priority score: value × confidence × deadline-urgency.</w:t>
      </w:r>
    </w:p>
    <w:p>
      <w:pPr>
        <w:pStyle w:val="ListParagraph"/>
        <w:numPr>
          <w:ilvl w:val="0"/>
          <w:numId w:val="1"/>
        </w:numPr>
        <w:spacing w:after="90" w:line="340"/>
      </w:pPr>
      <w:r>
        <w:rPr>
          <w:b/>
          <w:bCs/>
        </w:rPr>
        <w:t xml:space="preserve">North star — </w:t>
      </w:r>
      <w:r>
        <w:t xml:space="preserve">confirmed client credits per human operating hour.</w:t>
      </w:r>
    </w:p>
    <w:p>
      <w:pPr>
        <w:spacing w:after="120"/>
      </w:pPr>
      <w:r>
        <w:t xml:space="preserve"/>
      </w:r>
    </w:p>
    <w:p>
      <w:pPr>
        <w:pBdr>
          <w:bottom w:val="single" w:color="C9D6D0" w:sz="8" w:space="1"/>
        </w:pBdr>
        <w:spacing w:after="160" w:before="60"/>
      </w:pPr>
      <w:r>
        <w:t xml:space="preserve"/>
      </w:r>
    </w:p>
    <w:p>
      <w:pPr>
        <w:spacing w:line="320"/>
      </w:pP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0" w:sz="4" w:space="6"/>
      </w:pBdr>
      <w:spacing w:after="0" w:before="0"/>
      <w:jc w:val="center"/>
    </w:pPr>
    <w:r>
      <w:rPr>
        <w:color w:val="5B6B66"/>
        <w:sz w:val="17"/>
        <w:szCs w:val="17"/>
      </w:rPr>
      <w:t xml:space="preserve">VOLTA  ·  Business Plan &amp; Technology Overview  ·  Confidential  ·  </w:t>
    </w:r>
    <w:r>
      <w:rPr>
        <w:color w:val="5B6B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4"/>
        <w:sz w:val="26"/>
        <w:szCs w:val="26"/>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B4A36"/>
      <w:sz w:val="40"/>
      <w:szCs w:val="40"/>
    </w:rPr>
  </w:style>
  <w:style w:type="paragraph" w:styleId="Heading2">
    <w:name w:val="Heading 2"/>
    <w:basedOn w:val="Normal"/>
    <w:next w:val="Normal"/>
    <w:qFormat/>
    <w:pPr>
      <w:keepNext/>
      <w:spacing w:after="100" w:before="260"/>
      <w:outlineLvl w:val="1"/>
    </w:pPr>
    <w:rPr>
      <w:rFonts w:ascii="Calibri" w:cs="Calibri" w:eastAsia="Calibri" w:hAnsi="Calibri"/>
      <w:b/>
      <w:bCs/>
      <w:color w:val="0A6E4C"/>
      <w:sz w:val="30"/>
      <w:szCs w:val="30"/>
    </w:rPr>
  </w:style>
  <w:style w:type="paragraph" w:styleId="Heading3">
    <w:name w:val="Heading 3"/>
    <w:basedOn w:val="Normal"/>
    <w:next w:val="Normal"/>
    <w:qFormat/>
    <w:pPr>
      <w:keepNext/>
      <w:spacing w:after="80" w:before="200"/>
      <w:outlineLvl w:val="2"/>
    </w:pPr>
    <w:rPr>
      <w:rFonts w:ascii="Calibri" w:cs="Calibri" w:eastAsia="Calibri" w:hAnsi="Calibri"/>
      <w:b/>
      <w:bCs/>
      <w:color w:val="14141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VOLTA — Business Plan &amp; Technology Overview</dc:title>
  <dc:creator>VOLTA</dc:creator>
  <dc:description>Business plan and technology overview for VOLTA, a managed Mercado Livre recovery service.</dc:description>
  <cp:lastModifiedBy>Un-named</cp:lastModifiedBy>
  <cp:revision>1</cp:revision>
  <dcterms:created xsi:type="dcterms:W3CDTF">2026-07-23T00:10:58.185Z</dcterms:created>
  <dcterms:modified xsi:type="dcterms:W3CDTF">2026-07-23T00:10:58.186Z</dcterms:modified>
</cp:coreProperties>
</file>

<file path=docProps/custom.xml><?xml version="1.0" encoding="utf-8"?>
<Properties xmlns="http://schemas.openxmlformats.org/officeDocument/2006/custom-properties" xmlns:vt="http://schemas.openxmlformats.org/officeDocument/2006/docPropsVTypes"/>
</file>