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rFonts w:ascii="Calibri" w:cs="Calibri" w:eastAsia="Calibri" w:hAnsi="Calibri"/>
          <w:b/>
          <w:bCs/>
          <w:color w:val="0B5E55"/>
          <w:sz w:val="88"/>
          <w:szCs w:val="88"/>
        </w:rPr>
        <w:t xml:space="preserve">LÍQUIDO</w:t>
      </w:r>
    </w:p>
    <w:p>
      <w:pPr>
        <w:spacing w:after="120"/>
        <w:jc w:val="center"/>
      </w:pPr>
      <w:r>
        <w:rPr>
          <w:rFonts w:ascii="Calibri" w:cs="Calibri" w:eastAsia="Calibri" w:hAnsi="Calibri"/>
          <w:color w:val="595959"/>
          <w:sz w:val="30"/>
          <w:szCs w:val="30"/>
        </w:rPr>
        <w:t xml:space="preserve">Fechamento de pagamentos de creators para agências</w:t>
      </w:r>
    </w:p>
    <w:p>
      <w:pPr>
        <w:spacing w:after="900"/>
        <w:jc w:val="center"/>
      </w:pPr>
      <w:r>
        <w:rPr>
          <w:rFonts w:ascii="Calibri" w:cs="Calibri" w:eastAsia="Calibri" w:hAnsi="Calibri"/>
          <w:i/>
          <w:iCs/>
          <w:color w:val="595959"/>
          <w:sz w:val="24"/>
          <w:szCs w:val="24"/>
        </w:rPr>
        <w:t xml:space="preserve">The business and the build — the HELL YES version</w:t>
      </w:r>
    </w:p>
    <w:p>
      <w:pPr>
        <w:spacing w:after="80"/>
        <w:jc w:val="center"/>
      </w:pPr>
      <w:r>
        <w:rPr>
          <w:rFonts w:ascii="Calibri" w:cs="Calibri" w:eastAsia="Calibri" w:hAnsi="Calibri"/>
          <w:sz w:val="22"/>
          <w:szCs w:val="22"/>
        </w:rPr>
        <w:t xml:space="preserve">Business &amp; Tech Overview — v1</w:t>
      </w:r>
    </w:p>
    <w:p>
      <w:pPr>
        <w:jc w:val="center"/>
      </w:pPr>
      <w:r>
        <w:rPr>
          <w:rFonts w:ascii="Calibri" w:cs="Calibri" w:eastAsia="Calibri" w:hAnsi="Calibri"/>
          <w:color w:val="595959"/>
          <w:sz w:val="22"/>
          <w:szCs w:val="22"/>
        </w:rPr>
        <w:t xml:space="preserve">July 2026 · Confidential</w:t>
      </w:r>
    </w:p>
    <w:p>
      <w:r>
        <w:br w:type="page"/>
      </w:r>
    </w:p>
    <w:p>
      <w:pPr>
        <w:pStyle w:val="Heading1"/>
        <w:spacing w:after="160" w:before="320"/>
      </w:pPr>
      <w:r>
        <w:rPr>
          <w:rFonts w:ascii="Calibri" w:cs="Calibri" w:eastAsia="Calibri" w:hAnsi="Calibri"/>
          <w:b/>
          <w:bCs/>
          <w:color w:val="0B5E55"/>
          <w:sz w:val="30"/>
          <w:szCs w:val="30"/>
        </w:rPr>
        <w:t xml:space="preserve">1. THE BUSINESS IN ONE PAGE</w:t>
      </w:r>
    </w:p>
    <w:p>
      <w:pPr>
        <w:spacing w:after="140" w:before="0" w:line="264"/>
      </w:pPr>
      <w:r>
        <w:rPr>
          <w:rFonts w:ascii="Calibri" w:cs="Calibri" w:eastAsia="Calibri" w:hAnsi="Calibri"/>
          <w:b/>
          <w:bCs/>
          <w:i w:val="false"/>
          <w:iCs w:val="false"/>
          <w:sz w:val="21"/>
          <w:szCs w:val="21"/>
        </w:rPr>
        <w:t xml:space="preserve">What it is. </w:t>
      </w:r>
      <w:r>
        <w:rPr>
          <w:rFonts w:ascii="Calibri" w:cs="Calibri" w:eastAsia="Calibri" w:hAnsi="Calibri"/>
          <w:sz w:val="21"/>
          <w:szCs w:val="21"/>
        </w:rPr>
        <w:t xml:space="preserve">Brazilian influence and talent agencies receive one lump payment from a brand and must split it into 80–300 individual payments to creators and talent. Every payment legally requires a nota fiscal from the creator, and the agency must withhold tax at source (IRRF, ISS, and in some cases the CSLL/PIS/COFINS composite) before paying. Today one person in the financeiro spends up to two weeks a month chasing notas on WhatsApp, building a spreadsheet, and hoping the contador catches the retention errors.</w:t>
      </w:r>
    </w:p>
    <w:p>
      <w:pPr>
        <w:spacing w:after="140" w:before="0" w:line="264"/>
      </w:pPr>
      <w:r>
        <w:rPr>
          <w:rFonts w:ascii="Calibri" w:cs="Calibri" w:eastAsia="Calibri" w:hAnsi="Calibri"/>
          <w:sz w:val="21"/>
          <w:szCs w:val="21"/>
        </w:rPr>
        <w:t xml:space="preserve">LÍQUIDO replaces that. Creators register once through a link. The system tells each creator exactly what job they are being paid for and what nota to issue. </w:t>
      </w:r>
      <w:r>
        <w:rPr>
          <w:rFonts w:ascii="Calibri" w:cs="Calibri" w:eastAsia="Calibri" w:hAnsi="Calibri"/>
          <w:b/>
          <w:bCs/>
          <w:i w:val="false"/>
          <w:iCs w:val="false"/>
          <w:sz w:val="21"/>
          <w:szCs w:val="21"/>
        </w:rPr>
        <w:t xml:space="preserve">It will not release a payment until that creator’s nota fiscal is valid.</w:t>
      </w:r>
      <w:r>
        <w:rPr>
          <w:rFonts w:ascii="Calibri" w:cs="Calibri" w:eastAsia="Calibri" w:hAnsi="Calibri"/>
          <w:sz w:val="21"/>
          <w:szCs w:val="21"/>
        </w:rPr>
        <w:t xml:space="preserve"> It computes the withholding from rules the agency’s own contador signed off, and executes the whole batch by Pix from an account in the agency’s own name. The creator sees a clean statement: bruto, comissão, retenções, líquido, date. The agency closes the month in one afternoon.</w:t>
      </w:r>
    </w:p>
    <w:p>
      <w:pPr>
        <w:pBdr>
          <w:left w:val="single" w:color="0B5E55" w:sz="24"/>
        </w:pBdr>
        <w:shd w:fill="E7F3F1" w:val="clear"/>
        <w:spacing w:after="200" w:before="60" w:line="264"/>
        <w:ind w:left="200" w:right="200"/>
      </w:pPr>
      <w:r>
        <w:rPr>
          <w:rFonts w:ascii="Calibri" w:cs="Calibri" w:eastAsia="Calibri" w:hAnsi="Calibri"/>
          <w:b/>
          <w:bCs/>
          <w:i w:val="false"/>
          <w:iCs w:val="false"/>
          <w:sz w:val="21"/>
          <w:szCs w:val="21"/>
        </w:rPr>
        <w:t xml:space="preserve">The day-one product is a ledger with a gate: </w:t>
      </w:r>
      <w:r>
        <w:rPr>
          <w:rFonts w:ascii="Calibri" w:cs="Calibri" w:eastAsia="Calibri" w:hAnsi="Calibri"/>
          <w:sz w:val="21"/>
          <w:szCs w:val="21"/>
        </w:rPr>
        <w:t xml:space="preserve">every job sits in a row, the row cannot be paid until a valid nota fiscal is attached, and one button settles all green rows by Pix with the tax already withheld. Everything else is decoration.</w:t>
      </w:r>
    </w:p>
    <w:p>
      <w:pPr>
        <w:spacing w:after="140" w:before="0" w:line="264"/>
      </w:pPr>
      <w:r>
        <w:rPr>
          <w:rFonts w:ascii="Calibri" w:cs="Calibri" w:eastAsia="Calibri" w:hAnsi="Calibri"/>
          <w:b/>
          <w:bCs/>
          <w:i w:val="false"/>
          <w:iCs w:val="false"/>
          <w:sz w:val="21"/>
          <w:szCs w:val="21"/>
        </w:rPr>
        <w:t xml:space="preserve">The price. </w:t>
      </w:r>
      <w:r>
        <w:rPr>
          <w:rFonts w:ascii="Calibri" w:cs="Calibri" w:eastAsia="Calibri" w:hAnsi="Calibri"/>
          <w:sz w:val="21"/>
          <w:szCs w:val="21"/>
        </w:rPr>
        <w:t xml:space="preserve">Flat monthly fee by settled volume — no percentage. Base R$ 2.900 (up to R$ 150.000/month settled), Pro R$ 5.900 (R$ 150.000–400.000). Sold on capacity, not hours:</w:t>
      </w:r>
    </w:p>
    <w:p>
      <w:pPr>
        <w:spacing w:after="140" w:before="0" w:line="264"/>
      </w:pPr>
      <w:r>
        <w:rPr>
          <w:rFonts w:ascii="Calibri" w:cs="Calibri" w:eastAsia="Calibri" w:hAnsi="Calibri"/>
          <w:b w:val="false"/>
          <w:bCs w:val="false"/>
          <w:i/>
          <w:iCs/>
          <w:sz w:val="21"/>
          <w:szCs w:val="21"/>
        </w:rPr>
        <w:t xml:space="preserve">"Hoje seu financeiro trava em 150 creators. Com isso você chega em 400 sem contratar ninguém."</w:t>
      </w:r>
    </w:p>
    <w:p>
      <w:pPr>
        <w:spacing w:after="140" w:before="0" w:line="264"/>
      </w:pPr>
      <w:r>
        <w:rPr>
          <w:rFonts w:ascii="Calibri" w:cs="Calibri" w:eastAsia="Calibri" w:hAnsi="Calibri"/>
          <w:b/>
          <w:bCs/>
          <w:i w:val="false"/>
          <w:iCs w:val="false"/>
          <w:sz w:val="21"/>
          <w:szCs w:val="21"/>
        </w:rPr>
        <w:t xml:space="preserve">The pitch that opens the door. </w:t>
      </w:r>
      <w:r>
        <w:rPr>
          <w:rFonts w:ascii="Calibri" w:cs="Calibri" w:eastAsia="Calibri" w:hAnsi="Calibri"/>
          <w:sz w:val="21"/>
          <w:szCs w:val="21"/>
        </w:rPr>
        <w:t xml:space="preserve">"Quantas horas seu financeiro passou atrás de nota fiscal mês passado?" — followed by: </w:t>
      </w:r>
      <w:r>
        <w:rPr>
          <w:rFonts w:ascii="Calibri" w:cs="Calibri" w:eastAsia="Calibri" w:hAnsi="Calibri"/>
          <w:b w:val="false"/>
          <w:bCs w:val="false"/>
          <w:i/>
          <w:iCs/>
          <w:sz w:val="21"/>
          <w:szCs w:val="21"/>
        </w:rPr>
        <w:t xml:space="preserve">"Eu rodo seu próximo fechamento de graça."</w:t>
      </w:r>
      <w:r>
        <w:rPr>
          <w:rFonts w:ascii="Calibri" w:cs="Calibri" w:eastAsia="Calibri" w:hAnsi="Calibri"/>
          <w:sz w:val="21"/>
          <w:szCs w:val="21"/>
        </w:rPr>
        <w:t xml:space="preserve"> First cycle free, founder price locked for 12 months.</w:t>
      </w:r>
    </w:p>
    <w:p>
      <w:pPr>
        <w:spacing w:after="140" w:before="0" w:line="264"/>
      </w:pPr>
      <w:r>
        <w:rPr>
          <w:rFonts w:ascii="Calibri" w:cs="Calibri" w:eastAsia="Calibri" w:hAnsi="Calibri"/>
          <w:b/>
          <w:bCs/>
          <w:i w:val="false"/>
          <w:iCs w:val="false"/>
          <w:sz w:val="21"/>
          <w:szCs w:val="21"/>
        </w:rPr>
        <w:t xml:space="preserve">The money. </w:t>
      </w:r>
      <w:r>
        <w:rPr>
          <w:rFonts w:ascii="Calibri" w:cs="Calibri" w:eastAsia="Calibri" w:hAnsi="Calibri"/>
          <w:sz w:val="21"/>
          <w:szCs w:val="21"/>
        </w:rPr>
        <w:t xml:space="preserve">12 agencies at the Pro band ≈ R$ 70.800 MRR → approximately </w:t>
      </w:r>
      <w:r>
        <w:rPr>
          <w:rFonts w:ascii="Calibri" w:cs="Calibri" w:eastAsia="Calibri" w:hAnsi="Calibri"/>
          <w:b/>
          <w:bCs/>
          <w:i w:val="false"/>
          <w:iCs w:val="false"/>
          <w:sz w:val="21"/>
          <w:szCs w:val="21"/>
        </w:rPr>
        <w:t xml:space="preserve">R$ 44.900/month personal net</w:t>
      </w:r>
      <w:r>
        <w:rPr>
          <w:rFonts w:ascii="Calibri" w:cs="Calibri" w:eastAsia="Calibri" w:hAnsi="Calibri"/>
          <w:sz w:val="21"/>
          <w:szCs w:val="21"/>
        </w:rPr>
        <w:t xml:space="preserve">, clearing the R$ 40.000 floor with 12 customers. Floor is 11 agencies. Ceiling ≈ R$ 85–100k/month around 25–30 agencies, limited by onboarding throughput — customer count, never transaction volume.</w:t>
      </w:r>
    </w:p>
    <w:p>
      <w:pPr>
        <w:spacing w:after="140" w:before="0" w:line="264"/>
      </w:pPr>
      <w:r>
        <w:rPr>
          <w:rFonts w:ascii="Calibri" w:cs="Calibri" w:eastAsia="Calibri" w:hAnsi="Calibri"/>
          <w:b/>
          <w:bCs/>
          <w:i w:val="false"/>
          <w:iCs w:val="false"/>
          <w:sz w:val="21"/>
          <w:szCs w:val="21"/>
        </w:rPr>
        <w:t xml:space="preserve">The status, honestly. </w:t>
      </w:r>
      <w:r>
        <w:rPr>
          <w:rFonts w:ascii="Calibri" w:cs="Calibri" w:eastAsia="Calibri" w:hAnsi="Calibri"/>
          <w:sz w:val="21"/>
          <w:szCs w:val="21"/>
        </w:rPr>
        <w:t xml:space="preserve">No real buyer has said yes to any number yet. Before anything is built there is a 10-day, ~R$ 300 test (§9) with four stop conditions. If three of five agencies answer "just give us an export file," the business is dead and the file gets closed — cheaply.</w:t>
      </w:r>
    </w:p>
    <w:p>
      <w:r>
        <w:br w:type="page"/>
      </w:r>
    </w:p>
    <w:p>
      <w:pPr>
        <w:pStyle w:val="Heading1"/>
        <w:spacing w:after="160" w:before="320"/>
      </w:pPr>
      <w:r>
        <w:rPr>
          <w:rFonts w:ascii="Calibri" w:cs="Calibri" w:eastAsia="Calibri" w:hAnsi="Calibri"/>
          <w:b/>
          <w:bCs/>
          <w:color w:val="0B5E55"/>
          <w:sz w:val="30"/>
          <w:szCs w:val="30"/>
        </w:rPr>
        <w:t xml:space="preserve">2. WHY THIS BUSINESS — THE DERIVATION</w:t>
      </w:r>
    </w:p>
    <w:p>
      <w:pPr>
        <w:spacing w:after="140" w:before="0" w:line="264"/>
      </w:pPr>
      <w:r>
        <w:rPr>
          <w:rFonts w:ascii="Calibri" w:cs="Calibri" w:eastAsia="Calibri" w:hAnsi="Calibri"/>
          <w:sz w:val="21"/>
          <w:szCs w:val="21"/>
        </w:rPr>
        <w:t xml:space="preserve">This candidate was not brainstormed. It is what remained after three predecessors were killed by verified evidence, and the two rules extracted from those kills now define what any business for this founder must look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Killed idea</w:t>
            </w:r>
          </w:p>
        </w:tc>
        <w:tc>
          <w:tcPr>
            <w:tcW w:type="dxa" w:w="7040"/>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Cause of death</w:t>
            </w:r>
          </w:p>
        </w:tc>
      </w:tr>
      <w:tr>
        <w:trPr>
          <w:tblHeader w:val="false"/>
        </w:trPr>
        <w:tc>
          <w:tcPr>
            <w:tcW w:type="dxa" w:w="1986"/>
            <w:tcMar>
              <w:top w:type="dxa" w:w="70"/>
              <w:left w:type="dxa" w:w="110"/>
              <w:bottom w:type="dxa" w:w="70"/>
              <w:right w:type="dxa" w:w="110"/>
            </w:tcMar>
          </w:tcPr>
          <w:p>
            <w:pPr>
              <w:spacing w:after="0" w:line="240"/>
            </w:pPr>
            <w:r>
              <w:rPr>
                <w:rFonts w:ascii="Calibri" w:cs="Calibri" w:eastAsia="Calibri" w:hAnsi="Calibri"/>
                <w:sz w:val="21"/>
                <w:szCs w:val="21"/>
              </w:rPr>
              <w:t xml:space="preserve">FioCerto (shade-match for mega-hair suppliers)</w:t>
            </w:r>
          </w:p>
        </w:tc>
        <w:tc>
          <w:tcPr>
            <w:tcW w:type="dxa" w:w="7040"/>
            <w:tcMar>
              <w:top w:type="dxa" w:w="70"/>
              <w:left w:type="dxa" w:w="110"/>
              <w:bottom w:type="dxa" w:w="70"/>
              <w:right w:type="dxa" w:w="110"/>
            </w:tcMar>
          </w:tcPr>
          <w:p>
            <w:pPr>
              <w:spacing w:after="0" w:line="240"/>
            </w:pPr>
            <w:r>
              <w:rPr>
                <w:rFonts w:ascii="Calibri" w:cs="Calibri" w:eastAsia="Calibri" w:hAnsi="Calibri"/>
                <w:sz w:val="21"/>
                <w:szCs w:val="21"/>
              </w:rPr>
              <w:t xml:space="preserve">Buyer was a micro-empresa. Brazilian SMB software anchors at R$ 50–500/month; the price needed was 9× the most expensive plan those buyers actually pay.</w:t>
            </w:r>
          </w:p>
        </w:tc>
      </w:tr>
      <w:tr>
        <w:trPr>
          <w:tblHeader w:val="false"/>
        </w:trPr>
        <w:tc>
          <w:tcPr>
            <w:tcW w:type="dxa" w:w="1986"/>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Janela (image-rights window registry)</w:t>
            </w:r>
          </w:p>
        </w:tc>
        <w:tc>
          <w:tcPr>
            <w:tcW w:type="dxa" w:w="7040"/>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No recurring money flow. Real awards R$ 7.000–39.000, rare, insurable, contractually shiftable. The revealed market solution is an Excel filter. XR/FADEL already ship the product globally.</w:t>
            </w:r>
          </w:p>
        </w:tc>
      </w:tr>
      <w:tr>
        <w:trPr>
          <w:tblHeader w:val="false"/>
        </w:trPr>
        <w:tc>
          <w:tcPr>
            <w:tcW w:type="dxa" w:w="1986"/>
            <w:tcMar>
              <w:top w:type="dxa" w:w="70"/>
              <w:left w:type="dxa" w:w="110"/>
              <w:bottom w:type="dxa" w:w="70"/>
              <w:right w:type="dxa" w:w="110"/>
            </w:tcMar>
          </w:tcPr>
          <w:p>
            <w:pPr>
              <w:spacing w:after="0" w:line="240"/>
            </w:pPr>
            <w:r>
              <w:rPr>
                <w:rFonts w:ascii="Calibri" w:cs="Calibri" w:eastAsia="Calibri" w:hAnsi="Calibri"/>
                <w:sz w:val="21"/>
                <w:szCs w:val="21"/>
              </w:rPr>
              <w:t xml:space="preserve">Aval (consent registry for beauty networks)</w:t>
            </w:r>
          </w:p>
        </w:tc>
        <w:tc>
          <w:tcPr>
            <w:tcW w:type="dxa" w:w="7040"/>
            <w:tcMar>
              <w:top w:type="dxa" w:w="70"/>
              <w:left w:type="dxa" w:w="110"/>
              <w:bottom w:type="dxa" w:w="70"/>
              <w:right w:type="dxa" w:w="110"/>
            </w:tcMar>
          </w:tcPr>
          <w:p>
            <w:pPr>
              <w:spacing w:after="0" w:line="240"/>
            </w:pPr>
            <w:r>
              <w:rPr>
                <w:rFonts w:ascii="Calibri" w:cs="Calibri" w:eastAsia="Calibri" w:hAnsi="Calibri"/>
                <w:sz w:val="21"/>
                <w:szCs w:val="21"/>
              </w:rPr>
              <w:t xml:space="preserve">Total ANPD fines against private companies in all of Brazil, ever: R$ 14.400. The gate was owned by the buyer (switchable off). A signed sheet of paper defeats the claim it protected against.</w:t>
            </w:r>
          </w:p>
        </w:tc>
      </w:tr>
    </w:tbl>
    <w:p>
      <w:pPr>
        <w:spacing w:after="100"/>
      </w:pPr>
    </w:p>
    <w:p>
      <w:pPr>
        <w:pStyle w:val="Heading2"/>
        <w:spacing w:after="120" w:before="220"/>
      </w:pPr>
      <w:r>
        <w:rPr>
          <w:rFonts w:ascii="Calibri" w:cs="Calibri" w:eastAsia="Calibri" w:hAnsi="Calibri"/>
          <w:b/>
          <w:bCs/>
          <w:color w:val="1F3B38"/>
          <w:sz w:val="24"/>
          <w:szCs w:val="24"/>
        </w:rPr>
        <w:t xml:space="preserve">The two filters every candidate must pass</w:t>
      </w:r>
    </w:p>
    <w:p>
      <w:pPr>
        <w:pStyle w:val="ListParagraph"/>
        <w:numPr>
          <w:ilvl w:val="0"/>
          <w:numId w:val="2"/>
        </w:numPr>
        <w:spacing w:after="90" w:before="0" w:line="264"/>
      </w:pPr>
      <w:r>
        <w:rPr>
          <w:rFonts w:ascii="Calibri" w:cs="Calibri" w:eastAsia="Calibri" w:hAnsi="Calibri"/>
          <w:b/>
          <w:bCs/>
          <w:i w:val="false"/>
          <w:iCs w:val="false"/>
          <w:sz w:val="21"/>
          <w:szCs w:val="21"/>
        </w:rPr>
        <w:t xml:space="preserve">FILTER 1 — the ARPU floor. </w:t>
      </w:r>
      <w:r>
        <w:rPr>
          <w:rFonts w:ascii="Calibri" w:cs="Calibri" w:eastAsia="Calibri" w:hAnsi="Calibri"/>
          <w:sz w:val="21"/>
          <w:szCs w:val="21"/>
        </w:rPr>
        <w:t xml:space="preserve">R$ 40.000/month personal net with no volume sales motion requires ARPU above R$ 3.000/month, which in Brazil means an institutional buyer with a real budget line — never an owner’s pocket.</w:t>
      </w:r>
    </w:p>
    <w:p>
      <w:pPr>
        <w:pStyle w:val="ListParagraph"/>
        <w:numPr>
          <w:ilvl w:val="0"/>
          <w:numId w:val="2"/>
        </w:numPr>
        <w:spacing w:after="90" w:before="0" w:line="264"/>
      </w:pPr>
      <w:r>
        <w:rPr>
          <w:rFonts w:ascii="Calibri" w:cs="Calibri" w:eastAsia="Calibri" w:hAnsi="Calibri"/>
          <w:b/>
          <w:bCs/>
          <w:i w:val="false"/>
          <w:iCs w:val="false"/>
          <w:sz w:val="21"/>
          <w:szCs w:val="21"/>
        </w:rPr>
        <w:t xml:space="preserve">FILTER 2 — the payments rail. </w:t>
      </w:r>
      <w:r>
        <w:rPr>
          <w:rFonts w:ascii="Calibri" w:cs="Calibri" w:eastAsia="Calibri" w:hAnsi="Calibri"/>
          <w:sz w:val="21"/>
          <w:szCs w:val="21"/>
        </w:rPr>
        <w:t xml:space="preserve">Software that does not touch money gets cut. It must be a rail (money moves through it), a gate (payment cannot release until it says yes), a calculation of record (it computes an amount both sides accept), or a measured leak (it recovers countable losses). Protection against rare, probabilistic, insurable losses always loses to a spreadsheet.</w:t>
      </w:r>
    </w:p>
    <w:p>
      <w:pPr>
        <w:spacing w:after="140" w:before="0" w:line="264"/>
      </w:pPr>
      <w:r>
        <w:rPr>
          <w:rFonts w:ascii="Calibri" w:cs="Calibri" w:eastAsia="Calibri" w:hAnsi="Calibri"/>
          <w:sz w:val="21"/>
          <w:szCs w:val="21"/>
        </w:rPr>
        <w:t xml:space="preserve">LÍQUIDO passes Filter 1 (agency decision-maker, R$ 2.900–14.900/month) and passes Filter 2 twice: as a </w:t>
      </w:r>
      <w:r>
        <w:rPr>
          <w:rFonts w:ascii="Calibri" w:cs="Calibri" w:eastAsia="Calibri" w:hAnsi="Calibri"/>
          <w:b/>
          <w:bCs/>
          <w:i w:val="false"/>
          <w:iCs w:val="false"/>
          <w:sz w:val="21"/>
          <w:szCs w:val="21"/>
        </w:rPr>
        <w:t xml:space="preserve">gate</w:t>
      </w:r>
      <w:r>
        <w:rPr>
          <w:rFonts w:ascii="Calibri" w:cs="Calibri" w:eastAsia="Calibri" w:hAnsi="Calibri"/>
          <w:sz w:val="21"/>
          <w:szCs w:val="21"/>
        </w:rPr>
        <w:t xml:space="preserve"> — no nota fiscal, no payment, enforced by the Receita via deductibility, not by the buyer’s goodwill — and as a </w:t>
      </w:r>
      <w:r>
        <w:rPr>
          <w:rFonts w:ascii="Calibri" w:cs="Calibri" w:eastAsia="Calibri" w:hAnsi="Calibri"/>
          <w:b/>
          <w:bCs/>
          <w:i w:val="false"/>
          <w:iCs w:val="false"/>
          <w:sz w:val="21"/>
          <w:szCs w:val="21"/>
        </w:rPr>
        <w:t xml:space="preserve">calculation of record</w:t>
      </w:r>
      <w:r>
        <w:rPr>
          <w:rFonts w:ascii="Calibri" w:cs="Calibri" w:eastAsia="Calibri" w:hAnsi="Calibri"/>
          <w:sz w:val="21"/>
          <w:szCs w:val="21"/>
        </w:rPr>
        <w:t xml:space="preserve"> — the retention amount is booked by the agency as retido, by the creator as antecipado, and tested by the fisco if either is audited.</w:t>
      </w:r>
    </w:p>
    <w:p>
      <w:pPr>
        <w:pBdr>
          <w:left w:val="single" w:color="0B5E55" w:sz="24"/>
        </w:pBdr>
        <w:shd w:fill="E7F3F1" w:val="clear"/>
        <w:spacing w:after="200" w:before="60" w:line="264"/>
        <w:ind w:left="200" w:right="200"/>
      </w:pPr>
      <w:r>
        <w:rPr>
          <w:rFonts w:ascii="Calibri" w:cs="Calibri" w:eastAsia="Calibri" w:hAnsi="Calibri"/>
          <w:b/>
          <w:bCs/>
          <w:i w:val="false"/>
          <w:iCs w:val="false"/>
          <w:sz w:val="21"/>
          <w:szCs w:val="21"/>
        </w:rPr>
        <w:t xml:space="preserve">The founder-fit fact that broke the tie: </w:t>
      </w:r>
      <w:r>
        <w:rPr>
          <w:rFonts w:ascii="Calibri" w:cs="Calibri" w:eastAsia="Calibri" w:hAnsi="Calibri"/>
          <w:sz w:val="21"/>
          <w:szCs w:val="21"/>
        </w:rPr>
        <w:t xml:space="preserve">of five surviving candidates, this is the only one where the founder’s modeling and luxury-events background puts her personally inside the buyer’s room. Access cannot be manufactured; pricing and product can be redesigned.</w:t>
      </w:r>
    </w:p>
    <w:p>
      <w:r>
        <w:br w:type="page"/>
      </w:r>
    </w:p>
    <w:p>
      <w:pPr>
        <w:pStyle w:val="Heading1"/>
        <w:spacing w:after="160" w:before="320"/>
      </w:pPr>
      <w:r>
        <w:rPr>
          <w:rFonts w:ascii="Calibri" w:cs="Calibri" w:eastAsia="Calibri" w:hAnsi="Calibri"/>
          <w:b/>
          <w:bCs/>
          <w:color w:val="0B5E55"/>
          <w:sz w:val="30"/>
          <w:szCs w:val="30"/>
        </w:rPr>
        <w:t xml:space="preserve">3. THE PROBLEM, FROM INSIDE THE AGENCY</w:t>
      </w:r>
    </w:p>
    <w:p>
      <w:pPr>
        <w:spacing w:after="140" w:before="0" w:line="264"/>
      </w:pPr>
      <w:r>
        <w:rPr>
          <w:rFonts w:ascii="Calibri" w:cs="Calibri" w:eastAsia="Calibri" w:hAnsi="Calibri"/>
          <w:sz w:val="21"/>
          <w:szCs w:val="21"/>
        </w:rPr>
        <w:t xml:space="preserve">A mid-size influence agency runs 100–300 creator payments per month. Each one requires:</w:t>
      </w:r>
    </w:p>
    <w:p>
      <w:pPr>
        <w:pStyle w:val="ListParagraph"/>
        <w:numPr>
          <w:ilvl w:val="0"/>
          <w:numId w:val="3"/>
        </w:numPr>
        <w:spacing w:after="90" w:before="0" w:line="264"/>
      </w:pPr>
      <w:r>
        <w:rPr>
          <w:rFonts w:ascii="Calibri" w:cs="Calibri" w:eastAsia="Calibri" w:hAnsi="Calibri"/>
          <w:sz w:val="21"/>
          <w:szCs w:val="21"/>
        </w:rPr>
        <w:t xml:space="preserve">A nota fiscal from the creator, with the right CNPJ, value and service code — or the agency cannot deduct the expense.</w:t>
      </w:r>
    </w:p>
    <w:p>
      <w:pPr>
        <w:pStyle w:val="ListParagraph"/>
        <w:numPr>
          <w:ilvl w:val="0"/>
          <w:numId w:val="3"/>
        </w:numPr>
        <w:spacing w:after="90" w:before="0" w:line="264"/>
      </w:pPr>
      <w:r>
        <w:rPr>
          <w:rFonts w:ascii="Calibri" w:cs="Calibri" w:eastAsia="Calibri" w:hAnsi="Calibri"/>
          <w:sz w:val="21"/>
          <w:szCs w:val="21"/>
        </w:rPr>
        <w:t xml:space="preserve">Tax withheld at source. The amount depends on the creator’s regime (MEI / PJ Simples / PJ presumido), the service code, and the município.</w:t>
      </w:r>
    </w:p>
    <w:p>
      <w:pPr>
        <w:pStyle w:val="ListParagraph"/>
        <w:numPr>
          <w:ilvl w:val="0"/>
          <w:numId w:val="3"/>
        </w:numPr>
        <w:spacing w:after="90" w:before="0" w:line="264"/>
      </w:pPr>
      <w:r>
        <w:rPr>
          <w:rFonts w:ascii="Calibri" w:cs="Calibri" w:eastAsia="Calibri" w:hAnsi="Calibri"/>
          <w:sz w:val="21"/>
          <w:szCs w:val="21"/>
        </w:rPr>
        <w:t xml:space="preserve">A comprovante de retenção the creator needs for their own taxes.</w:t>
      </w:r>
    </w:p>
    <w:p>
      <w:pPr>
        <w:pStyle w:val="ListParagraph"/>
        <w:numPr>
          <w:ilvl w:val="0"/>
          <w:numId w:val="3"/>
        </w:numPr>
        <w:spacing w:after="90" w:before="0" w:line="264"/>
      </w:pPr>
      <w:r>
        <w:rPr>
          <w:rFonts w:ascii="Calibri" w:cs="Calibri" w:eastAsia="Calibri" w:hAnsi="Calibri"/>
          <w:sz w:val="21"/>
          <w:szCs w:val="21"/>
        </w:rPr>
        <w:t xml:space="preserve">The actual Pix, on the agreed date, with the agency’s commission already deducted.</w:t>
      </w:r>
    </w:p>
    <w:p>
      <w:pPr>
        <w:spacing w:after="140" w:before="0" w:line="264"/>
      </w:pPr>
      <w:r>
        <w:rPr>
          <w:rFonts w:ascii="Calibri" w:cs="Calibri" w:eastAsia="Calibri" w:hAnsi="Calibri"/>
          <w:b/>
          <w:bCs/>
          <w:i w:val="false"/>
          <w:iCs w:val="false"/>
          <w:sz w:val="21"/>
          <w:szCs w:val="21"/>
        </w:rPr>
        <w:t xml:space="preserve">How it works today: </w:t>
      </w:r>
      <w:r>
        <w:rPr>
          <w:rFonts w:ascii="Calibri" w:cs="Calibri" w:eastAsia="Calibri" w:hAnsi="Calibri"/>
          <w:sz w:val="21"/>
          <w:szCs w:val="21"/>
        </w:rPr>
        <w:t xml:space="preserve">one person, WhatsApp, a spreadsheet only they understand, and a contador who finds the retention errors after the fact. Creators discover their líquido when the money lands, which is why agency bookers get personally accused of skimming every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Hoje</w:t>
            </w:r>
          </w:p>
        </w:tc>
        <w:tc>
          <w:tcPr>
            <w:tcW w:type="dxa" w:w="4513"/>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Com LÍQUIDO</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Duas semanas de uma pessoa, todo mês</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Uma tarde</w:t>
            </w:r>
          </w:p>
        </w:tc>
      </w:tr>
      <w:tr>
        <w:trPr>
          <w:tblHeader w:val="false"/>
        </w:trPr>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150 conversas soltas no WhatsApp</w:t>
            </w:r>
          </w:p>
        </w:tc>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Um quadro: verde, amarelo, vermelho</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Planilha que só uma pessoa entende</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Um arquivo pro contador</w:t>
            </w:r>
          </w:p>
        </w:tc>
      </w:tr>
      <w:tr>
        <w:trPr>
          <w:tblHeader w:val="false"/>
        </w:trPr>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Contador achando erro de retenção depois</w:t>
            </w:r>
          </w:p>
        </w:tc>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Retenção calculada igual, sempre</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Creator perguntando "cadê meu pagamento?"</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Creator vê o próprio extrato</w:t>
            </w:r>
          </w:p>
        </w:tc>
      </w:tr>
      <w:tr>
        <w:trPr>
          <w:tblHeader w:val="false"/>
        </w:trPr>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Crescer o casting = contratar mais gente</w:t>
            </w:r>
          </w:p>
        </w:tc>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Dobra o casting sem contratar ninguém</w:t>
            </w:r>
          </w:p>
        </w:tc>
      </w:tr>
    </w:tbl>
    <w:p>
      <w:pPr>
        <w:spacing w:after="100"/>
      </w:pPr>
    </w:p>
    <w:p>
      <w:pPr>
        <w:spacing w:after="140" w:before="0" w:line="264"/>
      </w:pPr>
      <w:r>
        <w:rPr>
          <w:rFonts w:ascii="Calibri" w:cs="Calibri" w:eastAsia="Calibri" w:hAnsi="Calibri"/>
          <w:b/>
          <w:bCs/>
          <w:i w:val="false"/>
          <w:iCs w:val="false"/>
          <w:sz w:val="21"/>
          <w:szCs w:val="21"/>
        </w:rPr>
        <w:t xml:space="preserve">Where the ~80 monthly hours actually go</w:t>
      </w:r>
      <w:r>
        <w:rPr>
          <w:rFonts w:ascii="Calibri" w:cs="Calibri" w:eastAsia="Calibri" w:hAnsi="Calibri"/>
          <w:sz w:val="21"/>
          <w:szCs w:val="21"/>
        </w:rPr>
        <w:t xml:space="preserve"> (and what v0 recovers): sending requests (~5h, automated), chasing the 40 creators who didn’t send (~40h, cut to ~10h by the one-click pendentes broadcast), validating notas (~15h, automated), computing retention (~10h, automated), executing payments (~10h, one click). </w:t>
      </w:r>
      <w:r>
        <w:rPr>
          <w:rFonts w:ascii="Calibri" w:cs="Calibri" w:eastAsia="Calibri" w:hAnsi="Calibri"/>
          <w:b/>
          <w:bCs/>
          <w:i w:val="false"/>
          <w:iCs w:val="false"/>
          <w:sz w:val="21"/>
          <w:szCs w:val="21"/>
        </w:rPr>
        <w:t xml:space="preserve">v0 recovers roughly 70 of 80 hours.</w:t>
      </w:r>
    </w:p>
    <w:p>
      <w:r>
        <w:br w:type="page"/>
      </w:r>
    </w:p>
    <w:p>
      <w:pPr>
        <w:pStyle w:val="Heading1"/>
        <w:spacing w:after="160" w:before="320"/>
      </w:pPr>
      <w:r>
        <w:rPr>
          <w:rFonts w:ascii="Calibri" w:cs="Calibri" w:eastAsia="Calibri" w:hAnsi="Calibri"/>
          <w:b/>
          <w:bCs/>
          <w:color w:val="0B5E55"/>
          <w:sz w:val="30"/>
          <w:szCs w:val="30"/>
        </w:rPr>
        <w:t xml:space="preserve">4. THE DAY-ONE PRODUCT (V0)</w:t>
      </w:r>
    </w:p>
    <w:p>
      <w:pPr>
        <w:pStyle w:val="Heading2"/>
        <w:spacing w:after="120" w:before="220"/>
      </w:pPr>
      <w:r>
        <w:rPr>
          <w:rFonts w:ascii="Calibri" w:cs="Calibri" w:eastAsia="Calibri" w:hAnsi="Calibri"/>
          <w:b/>
          <w:bCs/>
          <w:color w:val="1F3B38"/>
          <w:sz w:val="24"/>
          <w:szCs w:val="24"/>
        </w:rPr>
        <w:t xml:space="preserve">The magic moment — this is the demo</w:t>
      </w:r>
    </w:p>
    <w:p>
      <w:pPr>
        <w:spacing w:after="140" w:before="0" w:line="264"/>
      </w:pPr>
      <w:r>
        <w:rPr>
          <w:rFonts w:ascii="Calibri" w:cs="Calibri" w:eastAsia="Calibri" w:hAnsi="Calibri"/>
          <w:sz w:val="21"/>
          <w:szCs w:val="21"/>
        </w:rPr>
        <w:t xml:space="preserve">The financeiro imports the month’s jobs from a spreadsheet. Within a minute, 150 creators receive a message:</w:t>
      </w:r>
    </w:p>
    <w:p>
      <w:pPr>
        <w:pBdr>
          <w:left w:val="single" w:color="0B5E55" w:sz="24"/>
        </w:pBdr>
        <w:shd w:fill="E7F3F1" w:val="clear"/>
        <w:spacing w:after="200" w:before="60" w:line="264"/>
        <w:ind w:left="200" w:right="200"/>
      </w:pPr>
      <w:r>
        <w:rPr>
          <w:rFonts w:ascii="Calibri" w:cs="Calibri" w:eastAsia="Calibri" w:hAnsi="Calibri"/>
          <w:b w:val="false"/>
          <w:bCs w:val="false"/>
          <w:i/>
          <w:iCs/>
          <w:sz w:val="21"/>
          <w:szCs w:val="21"/>
        </w:rPr>
        <w:t xml:space="preserve">Oi Marina! A [Agência] vai te pagar R$ 4.000 pelo job da [Marca] — campanha de outubro. Pra liberar o pagamento, precisamos da sua nota fiscal. Emitir agora: [link]</w:t>
      </w:r>
    </w:p>
    <w:p>
      <w:pPr>
        <w:spacing w:after="140" w:before="0" w:line="264"/>
      </w:pPr>
      <w:r>
        <w:rPr>
          <w:rFonts w:ascii="Calibri" w:cs="Calibri" w:eastAsia="Calibri" w:hAnsi="Calibri"/>
          <w:sz w:val="21"/>
          <w:szCs w:val="21"/>
        </w:rPr>
        <w:t xml:space="preserve">Creators send their notas. The board fills up green. The financeiro clicks </w:t>
      </w:r>
      <w:r>
        <w:rPr>
          <w:rFonts w:ascii="Calibri" w:cs="Calibri" w:eastAsia="Calibri" w:hAnsi="Calibri"/>
          <w:b/>
          <w:bCs/>
          <w:i w:val="false"/>
          <w:iCs w:val="false"/>
          <w:sz w:val="21"/>
          <w:szCs w:val="21"/>
        </w:rPr>
        <w:t xml:space="preserve">Pagar todos</w:t>
      </w:r>
      <w:r>
        <w:rPr>
          <w:rFonts w:ascii="Calibri" w:cs="Calibri" w:eastAsia="Calibri" w:hAnsi="Calibri"/>
          <w:sz w:val="21"/>
          <w:szCs w:val="21"/>
        </w:rPr>
        <w:t xml:space="preserve">. Everyone gets paid by Pix, everyone gets a statement, the contador gets one export file. </w:t>
      </w:r>
      <w:r>
        <w:rPr>
          <w:rFonts w:ascii="Calibri" w:cs="Calibri" w:eastAsia="Calibri" w:hAnsi="Calibri"/>
          <w:b/>
          <w:bCs/>
          <w:i w:val="false"/>
          <w:iCs w:val="false"/>
          <w:sz w:val="21"/>
          <w:szCs w:val="21"/>
        </w:rPr>
        <w:t xml:space="preserve">Two weeks becomes one afternoon. No slides needed.</w:t>
      </w:r>
    </w:p>
    <w:p>
      <w:pPr>
        <w:pStyle w:val="Heading2"/>
        <w:spacing w:after="120" w:before="220"/>
      </w:pPr>
      <w:r>
        <w:rPr>
          <w:rFonts w:ascii="Calibri" w:cs="Calibri" w:eastAsia="Calibri" w:hAnsi="Calibri"/>
          <w:b/>
          <w:bCs/>
          <w:color w:val="1F3B38"/>
          <w:sz w:val="24"/>
          <w:szCs w:val="24"/>
        </w:rPr>
        <w:t xml:space="preserve">What v0 does — six things, nothing else</w:t>
      </w:r>
    </w:p>
    <w:p>
      <w:pPr>
        <w:pStyle w:val="ListParagraph"/>
        <w:numPr>
          <w:ilvl w:val="0"/>
          <w:numId w:val="4"/>
        </w:numPr>
        <w:spacing w:after="90" w:before="0" w:line="264"/>
      </w:pPr>
      <w:r>
        <w:rPr>
          <w:rFonts w:ascii="Calibri" w:cs="Calibri" w:eastAsia="Calibri" w:hAnsi="Calibri"/>
          <w:sz w:val="21"/>
          <w:szCs w:val="21"/>
        </w:rPr>
        <w:t xml:space="preserve">Agency uploads a CSV of the month’s jobs (creator, valor bruto, comissão %, marca, data).</w:t>
      </w:r>
    </w:p>
    <w:p>
      <w:pPr>
        <w:pStyle w:val="ListParagraph"/>
        <w:numPr>
          <w:ilvl w:val="0"/>
          <w:numId w:val="4"/>
        </w:numPr>
        <w:spacing w:after="90" w:before="0" w:line="264"/>
      </w:pPr>
      <w:r>
        <w:rPr>
          <w:rFonts w:ascii="Calibri" w:cs="Calibri" w:eastAsia="Calibri" w:hAnsi="Calibri"/>
          <w:sz w:val="21"/>
          <w:szCs w:val="21"/>
        </w:rPr>
        <w:t xml:space="preserve">System generates one magic link per creator — no app, no login, no password.</w:t>
      </w:r>
    </w:p>
    <w:p>
      <w:pPr>
        <w:pStyle w:val="ListParagraph"/>
        <w:numPr>
          <w:ilvl w:val="0"/>
          <w:numId w:val="4"/>
        </w:numPr>
        <w:spacing w:after="90" w:before="0" w:line="264"/>
      </w:pPr>
      <w:r>
        <w:rPr>
          <w:rFonts w:ascii="Calibri" w:cs="Calibri" w:eastAsia="Calibri" w:hAnsi="Calibri"/>
          <w:sz w:val="21"/>
          <w:szCs w:val="21"/>
        </w:rPr>
        <w:t xml:space="preserve">Creator opens the link, sees their job, uploads their nota fiscal.</w:t>
      </w:r>
    </w:p>
    <w:p>
      <w:pPr>
        <w:pStyle w:val="ListParagraph"/>
        <w:numPr>
          <w:ilvl w:val="0"/>
          <w:numId w:val="4"/>
        </w:numPr>
        <w:spacing w:after="90" w:before="0" w:line="264"/>
      </w:pPr>
      <w:r>
        <w:rPr>
          <w:rFonts w:ascii="Calibri" w:cs="Calibri" w:eastAsia="Calibri" w:hAnsi="Calibri"/>
          <w:sz w:val="21"/>
          <w:szCs w:val="21"/>
        </w:rPr>
        <w:t xml:space="preserve">System validates the nota — CNPJ, valor, código de serviço. Green or red, with the rejection reason in plain Portuguese.</w:t>
      </w:r>
    </w:p>
    <w:p>
      <w:pPr>
        <w:pStyle w:val="ListParagraph"/>
        <w:numPr>
          <w:ilvl w:val="0"/>
          <w:numId w:val="4"/>
        </w:numPr>
        <w:spacing w:after="90" w:before="0" w:line="264"/>
      </w:pPr>
      <w:r>
        <w:rPr>
          <w:rFonts w:ascii="Calibri" w:cs="Calibri" w:eastAsia="Calibri" w:hAnsi="Calibri"/>
          <w:sz w:val="21"/>
          <w:szCs w:val="21"/>
        </w:rPr>
        <w:t xml:space="preserve">Agency clicks </w:t>
      </w:r>
      <w:r>
        <w:rPr>
          <w:rFonts w:ascii="Calibri" w:cs="Calibri" w:eastAsia="Calibri" w:hAnsi="Calibri"/>
          <w:b/>
          <w:bCs/>
          <w:i w:val="false"/>
          <w:iCs w:val="false"/>
          <w:sz w:val="21"/>
          <w:szCs w:val="21"/>
        </w:rPr>
        <w:t xml:space="preserve">Pagar</w:t>
      </w:r>
      <w:r>
        <w:rPr>
          <w:rFonts w:ascii="Calibri" w:cs="Calibri" w:eastAsia="Calibri" w:hAnsi="Calibri"/>
          <w:sz w:val="21"/>
          <w:szCs w:val="21"/>
        </w:rPr>
        <w:t xml:space="preserve"> — Pix fires from the agency’s own Asaas account at every green row, retention already deducted.</w:t>
      </w:r>
    </w:p>
    <w:p>
      <w:pPr>
        <w:pStyle w:val="ListParagraph"/>
        <w:numPr>
          <w:ilvl w:val="0"/>
          <w:numId w:val="4"/>
        </w:numPr>
        <w:spacing w:after="90" w:before="0" w:line="264"/>
      </w:pPr>
      <w:r>
        <w:rPr>
          <w:rFonts w:ascii="Calibri" w:cs="Calibri" w:eastAsia="Calibri" w:hAnsi="Calibri"/>
          <w:sz w:val="21"/>
          <w:szCs w:val="21"/>
        </w:rPr>
        <w:t xml:space="preserve">Creator’s link now shows the statement: bruto, comissão da agência, retenções, líquido, data.</w:t>
      </w:r>
    </w:p>
    <w:p>
      <w:pPr>
        <w:pStyle w:val="Heading2"/>
        <w:spacing w:after="120" w:before="220"/>
      </w:pPr>
      <w:r>
        <w:rPr>
          <w:rFonts w:ascii="Calibri" w:cs="Calibri" w:eastAsia="Calibri" w:hAnsi="Calibri"/>
          <w:b/>
          <w:bCs/>
          <w:color w:val="1F3B38"/>
          <w:sz w:val="24"/>
          <w:szCs w:val="24"/>
        </w:rPr>
        <w:t xml:space="preserve">In v0 vs. cut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In v0</w:t>
            </w:r>
          </w:p>
        </w:tc>
        <w:tc>
          <w:tcPr>
            <w:tcW w:type="dxa" w:w="4513"/>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Cut (to v2 or never)</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Creator onboarding by link (one time, ever)</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Auto-issuing NFS-e for MEI creators — v2</w:t>
            </w:r>
          </w:p>
        </w:tc>
      </w:tr>
      <w:tr>
        <w:trPr>
          <w:tblHeader w:val="false"/>
        </w:trPr>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Job ledger + CSV import</w:t>
            </w:r>
          </w:p>
        </w:tc>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National tax engine — per-agency rules only (§10)</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Retention engine from contador-signed rules</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Creator app or login — a read-only link suffices</w:t>
            </w:r>
          </w:p>
        </w:tc>
      </w:tr>
      <w:tr>
        <w:trPr>
          <w:tblHeader w:val="false"/>
        </w:trPr>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NF upload + validation + gate</w:t>
            </w:r>
          </w:p>
        </w:tc>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Dashboards, charts, reports</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Batch Pix payout via Asaas + auto-retry</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WhatsApp Cloud API auto-chase — v2 (spec already owned)</w:t>
            </w:r>
          </w:p>
        </w:tc>
      </w:tr>
      <w:tr>
        <w:trPr>
          <w:tblHeader w:val="false"/>
        </w:trPr>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One-click "copiar lista dos pendentes" broadcast text</w:t>
            </w:r>
          </w:p>
        </w:tc>
        <w:tc>
          <w:tcPr>
            <w:tcW w:type="dxa" w:w="451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Antecipação / credit to creators — never (§11)</w:t>
            </w:r>
          </w:p>
        </w:tc>
      </w:tr>
      <w:tr>
        <w:trPr>
          <w:tblHeader w:val="false"/>
        </w:trPr>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Creator statement page + contador export (CSV)</w:t>
            </w:r>
          </w:p>
        </w:tc>
        <w:tc>
          <w:tcPr>
            <w:tcW w:type="dxa" w:w="4513"/>
            <w:tcMar>
              <w:top w:type="dxa" w:w="70"/>
              <w:left w:type="dxa" w:w="110"/>
              <w:bottom w:type="dxa" w:w="70"/>
              <w:right w:type="dxa" w:w="110"/>
            </w:tcMar>
          </w:tcPr>
          <w:p>
            <w:pPr>
              <w:spacing w:after="0" w:line="240"/>
            </w:pPr>
            <w:r>
              <w:rPr>
                <w:rFonts w:ascii="Calibri" w:cs="Calibri" w:eastAsia="Calibri" w:hAnsi="Calibri"/>
                <w:sz w:val="21"/>
                <w:szCs w:val="21"/>
              </w:rPr>
              <w:t xml:space="preserve">Marketplace, discovery, campaign management — never (§11)</w:t>
            </w:r>
          </w:p>
        </w:tc>
      </w:tr>
    </w:tbl>
    <w:p>
      <w:pPr>
        <w:spacing w:after="100"/>
      </w:pPr>
    </w:p>
    <w:p>
      <w:pPr>
        <w:pBdr>
          <w:left w:val="single" w:color="0B5E55" w:sz="24"/>
        </w:pBdr>
        <w:shd w:fill="E7F3F1" w:val="clear"/>
        <w:spacing w:after="200" w:before="60" w:line="264"/>
        <w:ind w:left="200" w:right="200"/>
      </w:pPr>
      <w:r>
        <w:rPr>
          <w:rFonts w:ascii="Calibri" w:cs="Calibri" w:eastAsia="Calibri" w:hAnsi="Calibri"/>
          <w:b/>
          <w:bCs/>
          <w:i w:val="false"/>
          <w:iCs w:val="false"/>
          <w:sz w:val="21"/>
          <w:szCs w:val="21"/>
        </w:rPr>
        <w:t xml:space="preserve">The KISS rule that governs every build decision: </w:t>
      </w:r>
      <w:r>
        <w:rPr>
          <w:rFonts w:ascii="Calibri" w:cs="Calibri" w:eastAsia="Calibri" w:hAnsi="Calibri"/>
          <w:sz w:val="21"/>
          <w:szCs w:val="21"/>
        </w:rPr>
        <w:t xml:space="preserve">if the financeiro has to touch anything per-creator after the CSV upload, it is the wrong build. And the exception queue belongs to the creator — a missing or invalid nota means that creator does not get paid and chases it themselves.</w:t>
      </w:r>
    </w:p>
    <w:p>
      <w:r>
        <w:br w:type="page"/>
      </w:r>
    </w:p>
    <w:p>
      <w:pPr>
        <w:pStyle w:val="Heading1"/>
        <w:spacing w:after="160" w:before="320"/>
      </w:pPr>
      <w:r>
        <w:rPr>
          <w:rFonts w:ascii="Calibri" w:cs="Calibri" w:eastAsia="Calibri" w:hAnsi="Calibri"/>
          <w:b/>
          <w:bCs/>
          <w:color w:val="0B5E55"/>
          <w:sz w:val="30"/>
          <w:szCs w:val="30"/>
        </w:rPr>
        <w:t xml:space="preserve">5. WHY IT IS DEFENSIBLE</w:t>
      </w:r>
    </w:p>
    <w:p>
      <w:pPr>
        <w:pStyle w:val="Heading2"/>
        <w:spacing w:after="120" w:before="220"/>
      </w:pPr>
      <w:r>
        <w:rPr>
          <w:rFonts w:ascii="Calibri" w:cs="Calibri" w:eastAsia="Calibri" w:hAnsi="Calibri"/>
          <w:b/>
          <w:bCs/>
          <w:color w:val="1F3B38"/>
          <w:sz w:val="24"/>
          <w:szCs w:val="24"/>
        </w:rPr>
        <w:t xml:space="preserve">The gate the buyer cannot switch off</w:t>
      </w:r>
    </w:p>
    <w:p>
      <w:pPr>
        <w:spacing w:after="140" w:before="0" w:line="264"/>
      </w:pPr>
      <w:r>
        <w:rPr>
          <w:rFonts w:ascii="Calibri" w:cs="Calibri" w:eastAsia="Calibri" w:hAnsi="Calibri"/>
          <w:sz w:val="21"/>
          <w:szCs w:val="21"/>
        </w:rPr>
        <w:t xml:space="preserve">Aval died because its gate was the buyer’s own preference. LÍQUIDO’s gate is not: an agency that pays a creator PJ without a nota fiscal </w:t>
      </w:r>
      <w:r>
        <w:rPr>
          <w:rFonts w:ascii="Calibri" w:cs="Calibri" w:eastAsia="Calibri" w:hAnsi="Calibri"/>
          <w:b/>
          <w:bCs/>
          <w:i w:val="false"/>
          <w:iCs w:val="false"/>
          <w:sz w:val="21"/>
          <w:szCs w:val="21"/>
        </w:rPr>
        <w:t xml:space="preserve">cannot deduct the expense</w:t>
      </w:r>
      <w:r>
        <w:rPr>
          <w:rFonts w:ascii="Calibri" w:cs="Calibri" w:eastAsia="Calibri" w:hAnsi="Calibri"/>
          <w:sz w:val="21"/>
          <w:szCs w:val="21"/>
        </w:rPr>
        <w:t xml:space="preserve">. The enforcement sits with the Receita Federal — a third party holding money — not with the customer’s goodwill. "No valid NF, no payment" is a rule the agency’s own contador wants enforced in code.</w:t>
      </w:r>
    </w:p>
    <w:p>
      <w:pPr>
        <w:pStyle w:val="Heading2"/>
        <w:spacing w:after="120" w:before="220"/>
      </w:pPr>
      <w:r>
        <w:rPr>
          <w:rFonts w:ascii="Calibri" w:cs="Calibri" w:eastAsia="Calibri" w:hAnsi="Calibri"/>
          <w:b/>
          <w:bCs/>
          <w:color w:val="1F3B38"/>
          <w:sz w:val="24"/>
          <w:szCs w:val="24"/>
        </w:rPr>
        <w:t xml:space="preserve">The calculation of record</w:t>
      </w:r>
    </w:p>
    <w:p>
      <w:pPr>
        <w:spacing w:after="140" w:before="0" w:line="264"/>
      </w:pPr>
      <w:r>
        <w:rPr>
          <w:rFonts w:ascii="Calibri" w:cs="Calibri" w:eastAsia="Calibri" w:hAnsi="Calibri"/>
          <w:sz w:val="21"/>
          <w:szCs w:val="21"/>
        </w:rPr>
        <w:t xml:space="preserve">The retention LÍQUIDO computes is accepted by both sides: the agency books it as tax withheld, the creator books it as tax prepaid, and it is the number the fisco tests if either side is audited. An invoice between two parties can be argued; a tax computation relied on by three parties (including the government) cannot be casually replaced.</w:t>
      </w:r>
    </w:p>
    <w:p>
      <w:pPr>
        <w:pStyle w:val="Heading2"/>
        <w:spacing w:after="120" w:before="220"/>
      </w:pPr>
      <w:r>
        <w:rPr>
          <w:rFonts w:ascii="Calibri" w:cs="Calibri" w:eastAsia="Calibri" w:hAnsi="Calibri"/>
          <w:b/>
          <w:bCs/>
          <w:color w:val="1F3B38"/>
          <w:sz w:val="24"/>
          <w:szCs w:val="24"/>
        </w:rPr>
        <w:t xml:space="preserve">The real moat — honestly stated</w:t>
      </w:r>
    </w:p>
    <w:p>
      <w:pPr>
        <w:spacing w:after="140" w:before="0" w:line="264"/>
      </w:pPr>
      <w:r>
        <w:rPr>
          <w:rFonts w:ascii="Calibri" w:cs="Calibri" w:eastAsia="Calibri" w:hAnsi="Calibri"/>
          <w:sz w:val="21"/>
          <w:szCs w:val="21"/>
        </w:rPr>
        <w:t xml:space="preserve">The Pix rail itself is thin: an agency could export a file and pay from its own bank. The non-substitutable asset is on the </w:t>
      </w:r>
      <w:r>
        <w:rPr>
          <w:rFonts w:ascii="Calibri" w:cs="Calibri" w:eastAsia="Calibri" w:hAnsi="Calibri"/>
          <w:b/>
          <w:bCs/>
          <w:i w:val="false"/>
          <w:iCs w:val="false"/>
          <w:sz w:val="21"/>
          <w:szCs w:val="21"/>
        </w:rPr>
        <w:t xml:space="preserve">creator side</w:t>
      </w:r>
      <w:r>
        <w:rPr>
          <w:rFonts w:ascii="Calibri" w:cs="Calibri" w:eastAsia="Calibri" w:hAnsi="Calibri"/>
          <w:sz w:val="21"/>
          <w:szCs w:val="21"/>
        </w:rPr>
        <w:t xml:space="preserve">: hundreds of creators onboarded once — verified CNPJ, regime, service code, município, chave Pix, signed authorization — who finally see a clean statement and get paid on time. Switching away means re-onboarding the entire roster, and the creators themselves resist. Every month of operation deepens this.</w:t>
      </w:r>
    </w:p>
    <w:p>
      <w:pPr>
        <w:pStyle w:val="Heading2"/>
        <w:spacing w:after="120" w:before="220"/>
      </w:pPr>
      <w:r>
        <w:rPr>
          <w:rFonts w:ascii="Calibri" w:cs="Calibri" w:eastAsia="Calibri" w:hAnsi="Calibri"/>
          <w:b/>
          <w:bCs/>
          <w:color w:val="1F3B38"/>
          <w:sz w:val="24"/>
          <w:szCs w:val="24"/>
        </w:rPr>
        <w:t xml:space="preserve">Competition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694"/>
        <w:gridCol w:w="2347"/>
      </w:tblGrid>
      <w:tr>
        <w:trPr>
          <w:tblHeader/>
        </w:trPr>
        <w:tc>
          <w:tcPr>
            <w:tcW w:type="dxa" w:w="1986"/>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Player</w:t>
            </w:r>
          </w:p>
        </w:tc>
        <w:tc>
          <w:tcPr>
            <w:tcW w:type="dxa" w:w="4694"/>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What they do</w:t>
            </w:r>
          </w:p>
        </w:tc>
        <w:tc>
          <w:tcPr>
            <w:tcW w:type="dxa" w:w="2347"/>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Status vs. LÍQUIDO</w:t>
            </w:r>
          </w:p>
        </w:tc>
      </w:tr>
      <w:tr>
        <w:trPr>
          <w:tblHeader w:val="false"/>
        </w:trPr>
        <w:tc>
          <w:tcPr>
            <w:tcW w:type="dxa" w:w="1986"/>
            <w:tcMar>
              <w:top w:type="dxa" w:w="70"/>
              <w:left w:type="dxa" w:w="110"/>
              <w:bottom w:type="dxa" w:w="70"/>
              <w:right w:type="dxa" w:w="110"/>
            </w:tcMar>
          </w:tcPr>
          <w:p>
            <w:pPr>
              <w:spacing w:after="0" w:line="240"/>
            </w:pPr>
            <w:r>
              <w:rPr>
                <w:rFonts w:ascii="Calibri" w:cs="Calibri" w:eastAsia="Calibri" w:hAnsi="Calibri"/>
                <w:sz w:val="21"/>
                <w:szCs w:val="21"/>
              </w:rPr>
              <w:t xml:space="preserve">Pora</w:t>
            </w:r>
          </w:p>
        </w:tc>
        <w:tc>
          <w:tcPr>
            <w:tcW w:type="dxa" w:w="4694"/>
            <w:tcMar>
              <w:top w:type="dxa" w:w="70"/>
              <w:left w:type="dxa" w:w="110"/>
              <w:bottom w:type="dxa" w:w="70"/>
              <w:right w:type="dxa" w:w="110"/>
            </w:tcMar>
          </w:tcPr>
          <w:p>
            <w:pPr>
              <w:spacing w:after="0" w:line="240"/>
            </w:pPr>
            <w:r>
              <w:rPr>
                <w:rFonts w:ascii="Calibri" w:cs="Calibri" w:eastAsia="Calibri" w:hAnsi="Calibri"/>
                <w:sz w:val="21"/>
                <w:szCs w:val="21"/>
              </w:rPr>
              <w:t xml:space="preserve">Batch payout for influencer payments; differentiator is antecipação (credit)</w:t>
            </w:r>
          </w:p>
        </w:tc>
        <w:tc>
          <w:tcPr>
            <w:tcW w:type="dxa" w:w="2347"/>
            <w:tcMar>
              <w:top w:type="dxa" w:w="70"/>
              <w:left w:type="dxa" w:w="110"/>
              <w:bottom w:type="dxa" w:w="70"/>
              <w:right w:type="dxa" w:w="110"/>
            </w:tcMar>
          </w:tcPr>
          <w:p>
            <w:pPr>
              <w:spacing w:after="0" w:line="240"/>
            </w:pPr>
            <w:r>
              <w:rPr>
                <w:rFonts w:ascii="Calibri" w:cs="Calibri" w:eastAsia="Calibri" w:hAnsi="Calibri"/>
                <w:sz w:val="21"/>
                <w:szCs w:val="21"/>
              </w:rPr>
              <w:t xml:space="preserve">Pilot scale — ~R$ 650k transacted total, one named customer. A peer, not an incumbent.</w:t>
            </w:r>
          </w:p>
        </w:tc>
      </w:tr>
      <w:tr>
        <w:trPr>
          <w:tblHeader w:val="false"/>
        </w:trPr>
        <w:tc>
          <w:tcPr>
            <w:tcW w:type="dxa" w:w="1986"/>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Veeras</w:t>
            </w:r>
          </w:p>
        </w:tc>
        <w:tc>
          <w:tcPr>
            <w:tcW w:type="dxa" w:w="4694"/>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Publishes "Escrow + Pix — 0–3%" for influencer payments</w:t>
            </w:r>
          </w:p>
        </w:tc>
        <w:tc>
          <w:tcPr>
            <w:tcW w:type="dxa" w:w="2347"/>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Validates the price band. No evidenced retention engine.</w:t>
            </w:r>
          </w:p>
        </w:tc>
      </w:tr>
      <w:tr>
        <w:trPr>
          <w:tblHeader w:val="false"/>
        </w:trPr>
        <w:tc>
          <w:tcPr>
            <w:tcW w:type="dxa" w:w="1986"/>
            <w:tcMar>
              <w:top w:type="dxa" w:w="70"/>
              <w:left w:type="dxa" w:w="110"/>
              <w:bottom w:type="dxa" w:w="70"/>
              <w:right w:type="dxa" w:w="110"/>
            </w:tcMar>
          </w:tcPr>
          <w:p>
            <w:pPr>
              <w:spacing w:after="0" w:line="240"/>
            </w:pPr>
            <w:r>
              <w:rPr>
                <w:rFonts w:ascii="Calibri" w:cs="Calibri" w:eastAsia="Calibri" w:hAnsi="Calibri"/>
                <w:sz w:val="21"/>
                <w:szCs w:val="21"/>
              </w:rPr>
              <w:t xml:space="preserve">Squid (Locaweb, R$ 176M)</w:t>
            </w:r>
          </w:p>
        </w:tc>
        <w:tc>
          <w:tcPr>
            <w:tcW w:type="dxa" w:w="4694"/>
            <w:tcMar>
              <w:top w:type="dxa" w:w="70"/>
              <w:left w:type="dxa" w:w="110"/>
              <w:bottom w:type="dxa" w:w="70"/>
              <w:right w:type="dxa" w:w="110"/>
            </w:tcMar>
          </w:tcPr>
          <w:p>
            <w:pPr>
              <w:spacing w:after="0" w:line="240"/>
            </w:pPr>
            <w:r>
              <w:rPr>
                <w:rFonts w:ascii="Calibri" w:cs="Calibri" w:eastAsia="Calibri" w:hAnsi="Calibri"/>
                <w:sz w:val="21"/>
                <w:szCs w:val="21"/>
              </w:rPr>
              <w:t xml:space="preserve">Brand↔creator marketplace and campaign management</w:t>
            </w:r>
          </w:p>
        </w:tc>
        <w:tc>
          <w:tcPr>
            <w:tcW w:type="dxa" w:w="2347"/>
            <w:tcMar>
              <w:top w:type="dxa" w:w="70"/>
              <w:left w:type="dxa" w:w="110"/>
              <w:bottom w:type="dxa" w:w="70"/>
              <w:right w:type="dxa" w:w="110"/>
            </w:tcMar>
          </w:tcPr>
          <w:p>
            <w:pPr>
              <w:spacing w:after="0" w:line="240"/>
            </w:pPr>
            <w:r>
              <w:rPr>
                <w:rFonts w:ascii="Calibri" w:cs="Calibri" w:eastAsia="Calibri" w:hAnsi="Calibri"/>
                <w:sz w:val="21"/>
                <w:szCs w:val="21"/>
              </w:rPr>
              <w:t xml:space="preserve">Different business. Do not compete; do not build a marketplace.</w:t>
            </w:r>
          </w:p>
        </w:tc>
      </w:tr>
      <w:tr>
        <w:trPr>
          <w:tblHeader w:val="false"/>
        </w:trPr>
        <w:tc>
          <w:tcPr>
            <w:tcW w:type="dxa" w:w="1986"/>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The spreadsheet</w:t>
            </w:r>
          </w:p>
        </w:tc>
        <w:tc>
          <w:tcPr>
            <w:tcW w:type="dxa" w:w="4694"/>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Free, familiar, already there</w:t>
            </w:r>
          </w:p>
        </w:tc>
        <w:tc>
          <w:tcPr>
            <w:tcW w:type="dxa" w:w="2347"/>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The real competitor. Beaten only when payout volume makes the chase unbearable (§9 tests this).</w:t>
            </w:r>
          </w:p>
        </w:tc>
      </w:tr>
    </w:tbl>
    <w:p>
      <w:pPr>
        <w:spacing w:after="100"/>
      </w:pPr>
    </w:p>
    <w:p>
      <w:pPr>
        <w:spacing w:after="140" w:before="0" w:line="264"/>
      </w:pPr>
      <w:r>
        <w:rPr>
          <w:rFonts w:ascii="Calibri" w:cs="Calibri" w:eastAsia="Calibri" w:hAnsi="Calibri"/>
          <w:b/>
          <w:bCs/>
          <w:i w:val="false"/>
          <w:iCs w:val="false"/>
          <w:sz w:val="21"/>
          <w:szCs w:val="21"/>
        </w:rPr>
        <w:t xml:space="preserve">None of the named vendors is evidenced as computing and documenting retention at source.</w:t>
      </w:r>
      <w:r>
        <w:rPr>
          <w:rFonts w:ascii="Calibri" w:cs="Calibri" w:eastAsia="Calibri" w:hAnsi="Calibri"/>
          <w:sz w:val="21"/>
          <w:szCs w:val="21"/>
        </w:rPr>
        <w:t xml:space="preserve"> That leg — the calculation of record — is the wedge.</w:t>
      </w:r>
    </w:p>
    <w:p>
      <w:r>
        <w:br w:type="page"/>
      </w:r>
    </w:p>
    <w:p>
      <w:pPr>
        <w:pStyle w:val="Heading1"/>
        <w:spacing w:after="160" w:before="320"/>
      </w:pPr>
      <w:r>
        <w:rPr>
          <w:rFonts w:ascii="Calibri" w:cs="Calibri" w:eastAsia="Calibri" w:hAnsi="Calibri"/>
          <w:b/>
          <w:bCs/>
          <w:color w:val="0B5E55"/>
          <w:sz w:val="30"/>
          <w:szCs w:val="30"/>
        </w:rPr>
        <w:t xml:space="preserve">6. PRICE</w:t>
      </w:r>
    </w:p>
    <w:p>
      <w:pPr>
        <w:spacing w:after="140" w:before="0" w:line="264"/>
      </w:pPr>
      <w:r>
        <w:rPr>
          <w:rFonts w:ascii="Calibri" w:cs="Calibri" w:eastAsia="Calibri" w:hAnsi="Calibri"/>
          <w:sz w:val="21"/>
          <w:szCs w:val="21"/>
        </w:rPr>
        <w:t xml:space="preserve">Flat monthly fee by settled volume. </w:t>
      </w:r>
      <w:r>
        <w:rPr>
          <w:rFonts w:ascii="Calibri" w:cs="Calibri" w:eastAsia="Calibri" w:hAnsi="Calibri"/>
          <w:b/>
          <w:bCs/>
          <w:i w:val="false"/>
          <w:iCs w:val="false"/>
          <w:sz w:val="21"/>
          <w:szCs w:val="21"/>
        </w:rPr>
        <w:t xml:space="preserve">No percentage anywhere in the contract</w:t>
      </w:r>
      <w:r>
        <w:rPr>
          <w:rFonts w:ascii="Calibri" w:cs="Calibri" w:eastAsia="Calibri" w:hAnsi="Calibri"/>
          <w:sz w:val="21"/>
          <w:szCs w:val="21"/>
        </w:rPr>
        <w:t xml:space="preserve"> — one predictable number the buyer can budget, immune to the renewal ambush of a take-rate being converted into reais out loud ("então são R$ 4.500 por mês?").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1"/>
        <w:gridCol w:w="4623"/>
        <w:gridCol w:w="2201"/>
      </w:tblGrid>
      <w:tr>
        <w:trPr>
          <w:tblHeader/>
        </w:trPr>
        <w:tc>
          <w:tcPr>
            <w:tcW w:type="dxa" w:w="2201"/>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Band</w:t>
            </w:r>
          </w:p>
        </w:tc>
        <w:tc>
          <w:tcPr>
            <w:tcW w:type="dxa" w:w="4623"/>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Settled volume / month</w:t>
            </w:r>
          </w:p>
        </w:tc>
        <w:tc>
          <w:tcPr>
            <w:tcW w:type="dxa" w:w="2201"/>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Price / month</w:t>
            </w:r>
          </w:p>
        </w:tc>
      </w:tr>
      <w:tr>
        <w:trPr>
          <w:tblHeader w:val="false"/>
        </w:trPr>
        <w:tc>
          <w:tcPr>
            <w:tcW w:type="dxa" w:w="2201"/>
            <w:tcMar>
              <w:top w:type="dxa" w:w="70"/>
              <w:left w:type="dxa" w:w="110"/>
              <w:bottom w:type="dxa" w:w="70"/>
              <w:right w:type="dxa" w:w="110"/>
            </w:tcMar>
          </w:tcPr>
          <w:p>
            <w:pPr>
              <w:spacing w:after="0" w:line="240"/>
            </w:pPr>
            <w:r>
              <w:rPr>
                <w:rFonts w:ascii="Calibri" w:cs="Calibri" w:eastAsia="Calibri" w:hAnsi="Calibri"/>
                <w:sz w:val="21"/>
                <w:szCs w:val="21"/>
              </w:rPr>
              <w:t xml:space="preserve">Base</w:t>
            </w:r>
          </w:p>
        </w:tc>
        <w:tc>
          <w:tcPr>
            <w:tcW w:type="dxa" w:w="4623"/>
            <w:tcMar>
              <w:top w:type="dxa" w:w="70"/>
              <w:left w:type="dxa" w:w="110"/>
              <w:bottom w:type="dxa" w:w="70"/>
              <w:right w:type="dxa" w:w="110"/>
            </w:tcMar>
          </w:tcPr>
          <w:p>
            <w:pPr>
              <w:spacing w:after="0" w:line="240"/>
            </w:pPr>
            <w:r>
              <w:rPr>
                <w:rFonts w:ascii="Calibri" w:cs="Calibri" w:eastAsia="Calibri" w:hAnsi="Calibri"/>
                <w:sz w:val="21"/>
                <w:szCs w:val="21"/>
              </w:rPr>
              <w:t xml:space="preserve">up to R$ 150.000</w:t>
            </w:r>
          </w:p>
        </w:tc>
        <w:tc>
          <w:tcPr>
            <w:tcW w:type="dxa" w:w="2201"/>
            <w:tcMar>
              <w:top w:type="dxa" w:w="70"/>
              <w:left w:type="dxa" w:w="110"/>
              <w:bottom w:type="dxa" w:w="70"/>
              <w:right w:type="dxa" w:w="110"/>
            </w:tcMar>
          </w:tcPr>
          <w:p>
            <w:pPr>
              <w:spacing w:after="0" w:line="240"/>
            </w:pPr>
            <w:r>
              <w:rPr>
                <w:rFonts w:ascii="Calibri" w:cs="Calibri" w:eastAsia="Calibri" w:hAnsi="Calibri"/>
                <w:sz w:val="21"/>
                <w:szCs w:val="21"/>
              </w:rPr>
              <w:t xml:space="preserve">R$ 2.900</w:t>
            </w:r>
          </w:p>
        </w:tc>
      </w:tr>
      <w:tr>
        <w:trPr>
          <w:tblHeader w:val="false"/>
        </w:trPr>
        <w:tc>
          <w:tcPr>
            <w:tcW w:type="dxa" w:w="220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Pro</w:t>
            </w:r>
          </w:p>
        </w:tc>
        <w:tc>
          <w:tcPr>
            <w:tcW w:type="dxa" w:w="462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R$ 150.000 – 400.000</w:t>
            </w:r>
          </w:p>
        </w:tc>
        <w:tc>
          <w:tcPr>
            <w:tcW w:type="dxa" w:w="220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R$ 5.900</w:t>
            </w:r>
          </w:p>
        </w:tc>
      </w:tr>
      <w:tr>
        <w:trPr>
          <w:tblHeader w:val="false"/>
        </w:trPr>
        <w:tc>
          <w:tcPr>
            <w:tcW w:type="dxa" w:w="2201"/>
            <w:tcMar>
              <w:top w:type="dxa" w:w="70"/>
              <w:left w:type="dxa" w:w="110"/>
              <w:bottom w:type="dxa" w:w="70"/>
              <w:right w:type="dxa" w:w="110"/>
            </w:tcMar>
          </w:tcPr>
          <w:p>
            <w:pPr>
              <w:spacing w:after="0" w:line="240"/>
            </w:pPr>
            <w:r>
              <w:rPr>
                <w:rFonts w:ascii="Calibri" w:cs="Calibri" w:eastAsia="Calibri" w:hAnsi="Calibri"/>
                <w:sz w:val="21"/>
                <w:szCs w:val="21"/>
              </w:rPr>
              <w:t xml:space="preserve">Rede</w:t>
            </w:r>
          </w:p>
        </w:tc>
        <w:tc>
          <w:tcPr>
            <w:tcW w:type="dxa" w:w="4623"/>
            <w:tcMar>
              <w:top w:type="dxa" w:w="70"/>
              <w:left w:type="dxa" w:w="110"/>
              <w:bottom w:type="dxa" w:w="70"/>
              <w:right w:type="dxa" w:w="110"/>
            </w:tcMar>
          </w:tcPr>
          <w:p>
            <w:pPr>
              <w:spacing w:after="0" w:line="240"/>
            </w:pPr>
            <w:r>
              <w:rPr>
                <w:rFonts w:ascii="Calibri" w:cs="Calibri" w:eastAsia="Calibri" w:hAnsi="Calibri"/>
                <w:sz w:val="21"/>
                <w:szCs w:val="21"/>
              </w:rPr>
              <w:t xml:space="preserve">R$ 400.000 – 800.000</w:t>
            </w:r>
          </w:p>
        </w:tc>
        <w:tc>
          <w:tcPr>
            <w:tcW w:type="dxa" w:w="2201"/>
            <w:tcMar>
              <w:top w:type="dxa" w:w="70"/>
              <w:left w:type="dxa" w:w="110"/>
              <w:bottom w:type="dxa" w:w="70"/>
              <w:right w:type="dxa" w:w="110"/>
            </w:tcMar>
          </w:tcPr>
          <w:p>
            <w:pPr>
              <w:spacing w:after="0" w:line="240"/>
            </w:pPr>
            <w:r>
              <w:rPr>
                <w:rFonts w:ascii="Calibri" w:cs="Calibri" w:eastAsia="Calibri" w:hAnsi="Calibri"/>
                <w:sz w:val="21"/>
                <w:szCs w:val="21"/>
              </w:rPr>
              <w:t xml:space="preserve">R$ 9.900</w:t>
            </w:r>
          </w:p>
        </w:tc>
      </w:tr>
      <w:tr>
        <w:trPr>
          <w:tblHeader w:val="false"/>
        </w:trPr>
        <w:tc>
          <w:tcPr>
            <w:tcW w:type="dxa" w:w="220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Rede+</w:t>
            </w:r>
          </w:p>
        </w:tc>
        <w:tc>
          <w:tcPr>
            <w:tcW w:type="dxa" w:w="462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above R$ 800.000</w:t>
            </w:r>
          </w:p>
        </w:tc>
        <w:tc>
          <w:tcPr>
            <w:tcW w:type="dxa" w:w="220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R$ 14.900</w:t>
            </w:r>
          </w:p>
        </w:tc>
      </w:tr>
    </w:tbl>
    <w:p>
      <w:pPr>
        <w:spacing w:after="100"/>
      </w:pPr>
    </w:p>
    <w:p>
      <w:pPr>
        <w:pStyle w:val="ListParagraph"/>
        <w:numPr>
          <w:ilvl w:val="0"/>
          <w:numId w:val="3"/>
        </w:numPr>
        <w:spacing w:after="90" w:before="0" w:line="264"/>
      </w:pPr>
      <w:r>
        <w:rPr>
          <w:rFonts w:ascii="Calibri" w:cs="Calibri" w:eastAsia="Calibri" w:hAnsi="Calibri"/>
          <w:b/>
          <w:bCs/>
          <w:i w:val="false"/>
          <w:iCs w:val="false"/>
          <w:sz w:val="21"/>
          <w:szCs w:val="21"/>
        </w:rPr>
        <w:t xml:space="preserve">Band review clause, in the contract from day one: </w:t>
      </w:r>
      <w:r>
        <w:rPr>
          <w:rFonts w:ascii="Calibri" w:cs="Calibri" w:eastAsia="Calibri" w:hAnsi="Calibri"/>
          <w:sz w:val="21"/>
          <w:szCs w:val="21"/>
        </w:rPr>
        <w:t xml:space="preserve">"a faixa é revista a cada 6 meses conforme o volume liquidado." Growth is captured automatically, never renegotiated.</w:t>
      </w:r>
    </w:p>
    <w:p>
      <w:pPr>
        <w:pStyle w:val="ListParagraph"/>
        <w:numPr>
          <w:ilvl w:val="0"/>
          <w:numId w:val="3"/>
        </w:numPr>
        <w:spacing w:after="90" w:before="0" w:line="264"/>
      </w:pPr>
      <w:r>
        <w:rPr>
          <w:rFonts w:ascii="Calibri" w:cs="Calibri" w:eastAsia="Calibri" w:hAnsi="Calibri"/>
          <w:b/>
          <w:bCs/>
          <w:i w:val="false"/>
          <w:iCs w:val="false"/>
          <w:sz w:val="21"/>
          <w:szCs w:val="21"/>
        </w:rPr>
        <w:t xml:space="preserve">Do not tier by creator count. </w:t>
      </w:r>
      <w:r>
        <w:rPr>
          <w:rFonts w:ascii="Calibri" w:cs="Calibri" w:eastAsia="Calibri" w:hAnsi="Calibri"/>
          <w:sz w:val="21"/>
          <w:szCs w:val="21"/>
        </w:rPr>
        <w:t xml:space="preserve">Luxury/fashion agencies pay few creators large amounts — per-creator pricing would put the most valuable clients in the cheapest band and give agencies a reason to keep the long tail in the spreadsheet.</w:t>
      </w:r>
    </w:p>
    <w:p>
      <w:pPr>
        <w:pStyle w:val="ListParagraph"/>
        <w:numPr>
          <w:ilvl w:val="0"/>
          <w:numId w:val="3"/>
        </w:numPr>
        <w:spacing w:after="90" w:before="0" w:line="264"/>
      </w:pPr>
      <w:r>
        <w:rPr>
          <w:rFonts w:ascii="Calibri" w:cs="Calibri" w:eastAsia="Calibri" w:hAnsi="Calibri"/>
          <w:b/>
          <w:bCs/>
          <w:i w:val="false"/>
          <w:iCs w:val="false"/>
          <w:sz w:val="21"/>
          <w:szCs w:val="21"/>
        </w:rPr>
        <w:t xml:space="preserve">The sales anchor is capacity, not hours. </w:t>
      </w:r>
      <w:r>
        <w:rPr>
          <w:rFonts w:ascii="Calibri" w:cs="Calibri" w:eastAsia="Calibri" w:hAnsi="Calibri"/>
          <w:sz w:val="21"/>
          <w:szCs w:val="21"/>
        </w:rPr>
        <w:t xml:space="preserve">70 recovered hours ≈ R$ 2.400 of labor — too small to carry R$ 5.900. A second financeiro costs R$ 6.000+/month loaded. "Dobra o casting sem contratar ninguém" is the honest and winning comparison.</w:t>
      </w:r>
    </w:p>
    <w:p>
      <w:pPr>
        <w:pStyle w:val="ListParagraph"/>
        <w:numPr>
          <w:ilvl w:val="0"/>
          <w:numId w:val="3"/>
        </w:numPr>
        <w:spacing w:after="90" w:before="0" w:line="264"/>
      </w:pPr>
      <w:r>
        <w:rPr>
          <w:rFonts w:ascii="Calibri" w:cs="Calibri" w:eastAsia="Calibri" w:hAnsi="Calibri"/>
          <w:b/>
          <w:bCs/>
          <w:i w:val="false"/>
          <w:iCs w:val="false"/>
          <w:sz w:val="21"/>
          <w:szCs w:val="21"/>
        </w:rPr>
        <w:t xml:space="preserve">Day-one motion: </w:t>
      </w:r>
      <w:r>
        <w:rPr>
          <w:rFonts w:ascii="Calibri" w:cs="Calibri" w:eastAsia="Calibri" w:hAnsi="Calibri"/>
          <w:sz w:val="21"/>
          <w:szCs w:val="21"/>
        </w:rPr>
        <w:t xml:space="preserve">first fechamento free for pilots #1–3; founder price locked for 12 months.</w:t>
      </w:r>
    </w:p>
    <w:p>
      <w:pPr>
        <w:spacing w:after="140" w:before="0" w:line="264"/>
      </w:pPr>
      <w:r>
        <w:rPr>
          <w:rFonts w:ascii="Calibri" w:cs="Calibri" w:eastAsia="Calibri" w:hAnsi="Calibri"/>
          <w:b/>
          <w:bCs/>
          <w:i w:val="false"/>
          <w:iCs w:val="false"/>
          <w:sz w:val="21"/>
          <w:szCs w:val="21"/>
        </w:rPr>
        <w:t xml:space="preserve">Honesty marker: </w:t>
      </w:r>
      <w:r>
        <w:rPr>
          <w:rFonts w:ascii="Calibri" w:cs="Calibri" w:eastAsia="Calibri" w:hAnsi="Calibri"/>
          <w:sz w:val="21"/>
          <w:szCs w:val="21"/>
        </w:rPr>
        <w:t xml:space="preserve">these prices are anchored to a published competitor band (Veeras 0–3%) and to the cost of the alternative (hiring), but no real buyer has said yes to any number. The 10-day test (§9) asks five real directors before anything is built — including the flat-vs-percentage question itself.</w:t>
      </w:r>
    </w:p>
    <w:p>
      <w:r>
        <w:br w:type="page"/>
      </w:r>
    </w:p>
    <w:p>
      <w:pPr>
        <w:pStyle w:val="Heading1"/>
        <w:spacing w:after="160" w:before="320"/>
      </w:pPr>
      <w:r>
        <w:rPr>
          <w:rFonts w:ascii="Calibri" w:cs="Calibri" w:eastAsia="Calibri" w:hAnsi="Calibri"/>
          <w:b/>
          <w:bCs/>
          <w:color w:val="0B5E55"/>
          <w:sz w:val="30"/>
          <w:szCs w:val="30"/>
        </w:rPr>
        <w:t xml:space="preserve">7. THE ARITHMETIC TO R$ 40.000/MONTH NET</w:t>
      </w:r>
    </w:p>
    <w:p>
      <w:pPr>
        <w:spacing w:after="140" w:before="0" w:line="264"/>
      </w:pPr>
      <w:r>
        <w:rPr>
          <w:rFonts w:ascii="Calibri" w:cs="Calibri" w:eastAsia="Calibri" w:hAnsi="Calibri"/>
          <w:sz w:val="21"/>
          <w:szCs w:val="21"/>
        </w:rPr>
        <w:t xml:space="preserve">Target book: 12 agencies averaging the Pro band (R$ 5.900).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45"/>
        <w:gridCol w:w="2881"/>
      </w:tblGrid>
      <w:tr>
        <w:trPr>
          <w:tblHeader/>
        </w:trPr>
        <w:tc>
          <w:tcPr>
            <w:tcW w:type="dxa" w:w="6145"/>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Line</w:t>
            </w:r>
          </w:p>
        </w:tc>
        <w:tc>
          <w:tcPr>
            <w:tcW w:type="dxa" w:w="2881"/>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Monthly</w:t>
            </w:r>
          </w:p>
        </w:tc>
      </w:tr>
      <w:tr>
        <w:trPr>
          <w:tblHeader w:val="false"/>
        </w:trPr>
        <w:tc>
          <w:tcPr>
            <w:tcW w:type="dxa" w:w="6145"/>
            <w:tcMar>
              <w:top w:type="dxa" w:w="70"/>
              <w:left w:type="dxa" w:w="110"/>
              <w:bottom w:type="dxa" w:w="70"/>
              <w:right w:type="dxa" w:w="110"/>
            </w:tcMar>
          </w:tcPr>
          <w:p>
            <w:pPr>
              <w:spacing w:after="0" w:line="240"/>
            </w:pPr>
            <w:r>
              <w:rPr>
                <w:rFonts w:ascii="Calibri" w:cs="Calibri" w:eastAsia="Calibri" w:hAnsi="Calibri"/>
                <w:sz w:val="21"/>
                <w:szCs w:val="21"/>
              </w:rPr>
              <w:t xml:space="preserve">Revenue: 12 × ~R$ 5.900</w:t>
            </w:r>
          </w:p>
        </w:tc>
        <w:tc>
          <w:tcPr>
            <w:tcW w:type="dxa" w:w="2881"/>
            <w:tcMar>
              <w:top w:type="dxa" w:w="70"/>
              <w:left w:type="dxa" w:w="110"/>
              <w:bottom w:type="dxa" w:w="70"/>
              <w:right w:type="dxa" w:w="110"/>
            </w:tcMar>
          </w:tcPr>
          <w:p>
            <w:pPr>
              <w:spacing w:after="0" w:line="240"/>
            </w:pPr>
            <w:r>
              <w:rPr>
                <w:rFonts w:ascii="Calibri" w:cs="Calibri" w:eastAsia="Calibri" w:hAnsi="Calibri"/>
                <w:sz w:val="21"/>
                <w:szCs w:val="21"/>
              </w:rPr>
              <w:t xml:space="preserve">R$ 70.800</w:t>
            </w:r>
          </w:p>
        </w:tc>
      </w:tr>
      <w:tr>
        <w:trPr>
          <w:tblHeader w:val="false"/>
        </w:trPr>
        <w:tc>
          <w:tcPr>
            <w:tcW w:type="dxa" w:w="6145"/>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Pix payouts absorbed (~2.250 × R$ 1,99), infra, NFS-e/certificados, contador, tax &amp; fintech counsel (amortized), events/travel, misc</w:t>
            </w:r>
          </w:p>
        </w:tc>
        <w:tc>
          <w:tcPr>
            <w:tcW w:type="dxa" w:w="288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(R$ 12.478)</w:t>
            </w:r>
          </w:p>
        </w:tc>
      </w:tr>
      <w:tr>
        <w:trPr>
          <w:tblHeader w:val="false"/>
        </w:trPr>
        <w:tc>
          <w:tcPr>
            <w:tcW w:type="dxa" w:w="6145"/>
            <w:tcMar>
              <w:top w:type="dxa" w:w="70"/>
              <w:left w:type="dxa" w:w="110"/>
              <w:bottom w:type="dxa" w:w="70"/>
              <w:right w:type="dxa" w:w="110"/>
            </w:tcMar>
          </w:tcPr>
          <w:p>
            <w:pPr>
              <w:spacing w:after="0" w:line="240"/>
            </w:pPr>
            <w:r>
              <w:rPr>
                <w:rFonts w:ascii="Calibri" w:cs="Calibri" w:eastAsia="Calibri" w:hAnsi="Calibri"/>
                <w:sz w:val="21"/>
                <w:szCs w:val="21"/>
              </w:rPr>
              <w:t xml:space="preserve">DAS — Simples Nacional Anexo III via Fator R, RBT12 ≈ R$ 850k, effective ≈ 11,8%</w:t>
            </w:r>
          </w:p>
        </w:tc>
        <w:tc>
          <w:tcPr>
            <w:tcW w:type="dxa" w:w="2881"/>
            <w:tcMar>
              <w:top w:type="dxa" w:w="70"/>
              <w:left w:type="dxa" w:w="110"/>
              <w:bottom w:type="dxa" w:w="70"/>
              <w:right w:type="dxa" w:w="110"/>
            </w:tcMar>
          </w:tcPr>
          <w:p>
            <w:pPr>
              <w:spacing w:after="0" w:line="240"/>
            </w:pPr>
            <w:r>
              <w:rPr>
                <w:rFonts w:ascii="Calibri" w:cs="Calibri" w:eastAsia="Calibri" w:hAnsi="Calibri"/>
                <w:sz w:val="21"/>
                <w:szCs w:val="21"/>
              </w:rPr>
              <w:t xml:space="preserve">(R$ 8.354)</w:t>
            </w:r>
          </w:p>
        </w:tc>
      </w:tr>
      <w:tr>
        <w:trPr>
          <w:tblHeader w:val="false"/>
        </w:trPr>
        <w:tc>
          <w:tcPr>
            <w:tcW w:type="dxa" w:w="6145"/>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Pró-labore R$ 19.900 (folha ≥ 28% of RBT12 — mandatory to stay in Anexo III)</w:t>
            </w:r>
          </w:p>
        </w:tc>
        <w:tc>
          <w:tcPr>
            <w:tcW w:type="dxa" w:w="288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(R$ 19.900)</w:t>
            </w:r>
          </w:p>
        </w:tc>
      </w:tr>
      <w:tr>
        <w:trPr>
          <w:tblHeader w:val="false"/>
        </w:trPr>
        <w:tc>
          <w:tcPr>
            <w:tcW w:type="dxa" w:w="6145"/>
            <w:tcMar>
              <w:top w:type="dxa" w:w="70"/>
              <w:left w:type="dxa" w:w="110"/>
              <w:bottom w:type="dxa" w:w="70"/>
              <w:right w:type="dxa" w:w="110"/>
            </w:tcMar>
          </w:tcPr>
          <w:p>
            <w:pPr>
              <w:spacing w:after="0" w:line="240"/>
            </w:pPr>
            <w:r>
              <w:rPr>
                <w:rFonts w:ascii="Calibri" w:cs="Calibri" w:eastAsia="Calibri" w:hAnsi="Calibri"/>
                <w:sz w:val="21"/>
                <w:szCs w:val="21"/>
              </w:rPr>
              <w:t xml:space="preserve">Distribuição de lucros (isenta)</w:t>
            </w:r>
          </w:p>
        </w:tc>
        <w:tc>
          <w:tcPr>
            <w:tcW w:type="dxa" w:w="2881"/>
            <w:tcMar>
              <w:top w:type="dxa" w:w="70"/>
              <w:left w:type="dxa" w:w="110"/>
              <w:bottom w:type="dxa" w:w="70"/>
              <w:right w:type="dxa" w:w="110"/>
            </w:tcMar>
          </w:tcPr>
          <w:p>
            <w:pPr>
              <w:spacing w:after="0" w:line="240"/>
            </w:pPr>
            <w:r>
              <w:rPr>
                <w:rFonts w:ascii="Calibri" w:cs="Calibri" w:eastAsia="Calibri" w:hAnsi="Calibri"/>
                <w:sz w:val="21"/>
                <w:szCs w:val="21"/>
              </w:rPr>
              <w:t xml:space="preserve">R$ 30.068</w:t>
            </w:r>
          </w:p>
        </w:tc>
      </w:tr>
      <w:tr>
        <w:trPr>
          <w:tblHeader w:val="false"/>
        </w:trPr>
        <w:tc>
          <w:tcPr>
            <w:tcW w:type="dxa" w:w="6145"/>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Pró-labore net of INSS (~R$ 897) and IRPF (~R$ 4.131)</w:t>
            </w:r>
          </w:p>
        </w:tc>
        <w:tc>
          <w:tcPr>
            <w:tcW w:type="dxa" w:w="288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R$ 14.872</w:t>
            </w:r>
          </w:p>
        </w:tc>
      </w:tr>
      <w:tr>
        <w:trPr>
          <w:tblHeader w:val="false"/>
        </w:trPr>
        <w:tc>
          <w:tcPr>
            <w:tcW w:type="dxa" w:w="6145"/>
            <w:tcMar>
              <w:top w:type="dxa" w:w="70"/>
              <w:left w:type="dxa" w:w="110"/>
              <w:bottom w:type="dxa" w:w="70"/>
              <w:right w:type="dxa" w:w="110"/>
            </w:tcMar>
          </w:tcPr>
          <w:p>
            <w:pPr>
              <w:spacing w:after="0" w:line="240"/>
            </w:pPr>
            <w:r>
              <w:rPr>
                <w:rFonts w:ascii="Calibri" w:cs="Calibri" w:eastAsia="Calibri" w:hAnsi="Calibri"/>
                <w:b/>
                <w:bCs/>
                <w:i w:val="false"/>
                <w:iCs w:val="false"/>
                <w:sz w:val="21"/>
                <w:szCs w:val="21"/>
              </w:rPr>
              <w:t xml:space="preserve">PERSONAL NET</w:t>
            </w:r>
          </w:p>
        </w:tc>
        <w:tc>
          <w:tcPr>
            <w:tcW w:type="dxa" w:w="2881"/>
            <w:tcMar>
              <w:top w:type="dxa" w:w="70"/>
              <w:left w:type="dxa" w:w="110"/>
              <w:bottom w:type="dxa" w:w="70"/>
              <w:right w:type="dxa" w:w="110"/>
            </w:tcMar>
          </w:tcPr>
          <w:p>
            <w:pPr>
              <w:spacing w:after="0" w:line="240"/>
            </w:pPr>
            <w:r>
              <w:rPr>
                <w:rFonts w:ascii="Calibri" w:cs="Calibri" w:eastAsia="Calibri" w:hAnsi="Calibri"/>
                <w:b/>
                <w:bCs/>
                <w:i w:val="false"/>
                <w:iCs w:val="false"/>
                <w:sz w:val="21"/>
                <w:szCs w:val="21"/>
              </w:rPr>
              <w:t xml:space="preserve">≈ R$ 44.900  ✓</w:t>
            </w:r>
          </w:p>
        </w:tc>
      </w:tr>
    </w:tbl>
    <w:p>
      <w:pPr>
        <w:spacing w:after="100"/>
      </w:pPr>
    </w:p>
    <w:p>
      <w:pPr>
        <w:pStyle w:val="ListParagraph"/>
        <w:numPr>
          <w:ilvl w:val="0"/>
          <w:numId w:val="3"/>
        </w:numPr>
        <w:spacing w:after="90" w:before="0" w:line="264"/>
      </w:pPr>
      <w:r>
        <w:rPr>
          <w:rFonts w:ascii="Calibri" w:cs="Calibri" w:eastAsia="Calibri" w:hAnsi="Calibri"/>
          <w:b/>
          <w:bCs/>
          <w:i w:val="false"/>
          <w:iCs w:val="false"/>
          <w:sz w:val="21"/>
          <w:szCs w:val="21"/>
        </w:rPr>
        <w:t xml:space="preserve">The floor is 11 agencies</w:t>
      </w:r>
      <w:r>
        <w:rPr>
          <w:rFonts w:ascii="Calibri" w:cs="Calibri" w:eastAsia="Calibri" w:hAnsi="Calibri"/>
          <w:sz w:val="21"/>
          <w:szCs w:val="21"/>
        </w:rPr>
        <w:t xml:space="preserve"> (~R$ 41.000 net). At 10, Simples drops a band and net lands ≈ R$ 37.300 — under the floor.</w:t>
      </w:r>
    </w:p>
    <w:p>
      <w:pPr>
        <w:pStyle w:val="ListParagraph"/>
        <w:numPr>
          <w:ilvl w:val="0"/>
          <w:numId w:val="3"/>
        </w:numPr>
        <w:spacing w:after="90" w:before="0" w:line="264"/>
      </w:pPr>
      <w:r>
        <w:rPr>
          <w:rFonts w:ascii="Calibri" w:cs="Calibri" w:eastAsia="Calibri" w:hAnsi="Calibri"/>
          <w:b/>
          <w:bCs/>
          <w:i w:val="false"/>
          <w:iCs w:val="false"/>
          <w:sz w:val="21"/>
          <w:szCs w:val="21"/>
        </w:rPr>
        <w:t xml:space="preserve">Ceiling: </w:t>
      </w:r>
      <w:r>
        <w:rPr>
          <w:rFonts w:ascii="Calibri" w:cs="Calibri" w:eastAsia="Calibri" w:hAnsi="Calibri"/>
          <w:sz w:val="21"/>
          <w:szCs w:val="21"/>
        </w:rPr>
        <w:t xml:space="preserve">≈ R$ 85–100k/month personal net around 25–30 agencies. The binding constraint is onboarding throughput (~10–20h one-time per agency + ~2h/month at close → 2–3 new agencies/month sustainable). The ceiling is set by customer count, never transaction volume.</w:t>
      </w:r>
    </w:p>
    <w:p>
      <w:pPr>
        <w:pStyle w:val="ListParagraph"/>
        <w:numPr>
          <w:ilvl w:val="0"/>
          <w:numId w:val="3"/>
        </w:numPr>
        <w:spacing w:after="90" w:before="0" w:line="264"/>
      </w:pPr>
      <w:r>
        <w:rPr>
          <w:rFonts w:ascii="Calibri" w:cs="Calibri" w:eastAsia="Calibri" w:hAnsi="Calibri"/>
          <w:b/>
          <w:bCs/>
          <w:i w:val="false"/>
          <w:iCs w:val="false"/>
          <w:sz w:val="21"/>
          <w:szCs w:val="21"/>
        </w:rPr>
        <w:t xml:space="preserve">Tax cliff to model with the contador before it arrives: </w:t>
      </w:r>
      <w:r>
        <w:rPr>
          <w:rFonts w:ascii="Calibri" w:cs="Calibri" w:eastAsia="Calibri" w:hAnsi="Calibri"/>
          <w:sz w:val="21"/>
          <w:szCs w:val="21"/>
        </w:rPr>
        <w:t xml:space="preserve">monthly distributions crossing R$ 50.000 engage the 10% IRRF on dividends (Lei 15.270/2025). A reason to plan, never a reason to stop.</w:t>
      </w:r>
    </w:p>
    <w:p>
      <w:pPr>
        <w:pStyle w:val="ListParagraph"/>
        <w:numPr>
          <w:ilvl w:val="0"/>
          <w:numId w:val="3"/>
        </w:numPr>
        <w:spacing w:after="90" w:before="0" w:line="264"/>
      </w:pPr>
      <w:r>
        <w:rPr>
          <w:rFonts w:ascii="Calibri" w:cs="Calibri" w:eastAsia="Calibri" w:hAnsi="Calibri"/>
          <w:b/>
          <w:bCs/>
          <w:i w:val="false"/>
          <w:iCs w:val="false"/>
          <w:sz w:val="21"/>
          <w:szCs w:val="21"/>
        </w:rPr>
        <w:t xml:space="preserve">2027 flag: </w:t>
      </w:r>
      <w:r>
        <w:rPr>
          <w:rFonts w:ascii="Calibri" w:cs="Calibri" w:eastAsia="Calibri" w:hAnsi="Calibri"/>
          <w:sz w:val="21"/>
          <w:szCs w:val="21"/>
        </w:rPr>
        <w:t xml:space="preserve">the tax reform’s split payment for IBS/CBS makes platforms jointly liable for retention/repasse from 2027. Flat service-fee invoicing plausibly sits further from that exposure than skimming a flow — verify with the fintech lawyer in month one.</w:t>
      </w:r>
    </w:p>
    <w:p>
      <w:pPr>
        <w:pBdr>
          <w:left w:val="single" w:color="0B5E55" w:sz="24"/>
        </w:pBdr>
        <w:shd w:fill="E7F3F1" w:val="clear"/>
        <w:spacing w:after="200" w:before="60" w:line="264"/>
        <w:ind w:left="200" w:right="200"/>
      </w:pPr>
      <w:r>
        <w:rPr>
          <w:rFonts w:ascii="Calibri" w:cs="Calibri" w:eastAsia="Calibri" w:hAnsi="Calibri"/>
          <w:b/>
          <w:bCs/>
          <w:i w:val="false"/>
          <w:iCs w:val="false"/>
          <w:sz w:val="21"/>
          <w:szCs w:val="21"/>
        </w:rPr>
        <w:t xml:space="preserve">Founder time per transaction: zero by design. </w:t>
      </w:r>
      <w:r>
        <w:rPr>
          <w:rFonts w:ascii="Calibri" w:cs="Calibri" w:eastAsia="Calibri" w:hAnsi="Calibri"/>
          <w:sz w:val="21"/>
          <w:szCs w:val="21"/>
        </w:rPr>
        <w:t xml:space="preserve">~2.250 payments/month, all validated, split and paid by API. If any contract clause ever says "we’ll have you review the failures," it must be refused in writing — that clause rebuilds the exception queue that killed an earlier design at 12 customers.</w:t>
      </w:r>
    </w:p>
    <w:p>
      <w:r>
        <w:br w:type="page"/>
      </w:r>
    </w:p>
    <w:p>
      <w:pPr>
        <w:pStyle w:val="Heading1"/>
        <w:spacing w:after="160" w:before="320"/>
      </w:pPr>
      <w:r>
        <w:rPr>
          <w:rFonts w:ascii="Calibri" w:cs="Calibri" w:eastAsia="Calibri" w:hAnsi="Calibri"/>
          <w:b/>
          <w:bCs/>
          <w:color w:val="0B5E55"/>
          <w:sz w:val="30"/>
          <w:szCs w:val="30"/>
        </w:rPr>
        <w:t xml:space="preserve">8. THE BUYER AND THE FIRST THREE CUSTOMERS</w:t>
      </w:r>
    </w:p>
    <w:p>
      <w:pPr>
        <w:pStyle w:val="Heading2"/>
        <w:spacing w:after="120" w:before="220"/>
      </w:pPr>
      <w:r>
        <w:rPr>
          <w:rFonts w:ascii="Calibri" w:cs="Calibri" w:eastAsia="Calibri" w:hAnsi="Calibri"/>
          <w:b/>
          <w:bCs/>
          <w:color w:val="1F3B38"/>
          <w:sz w:val="24"/>
          <w:szCs w:val="24"/>
        </w:rPr>
        <w:t xml:space="preserve">Who signs</w:t>
      </w:r>
    </w:p>
    <w:p>
      <w:pPr>
        <w:spacing w:after="140" w:before="0" w:line="264"/>
      </w:pPr>
      <w:r>
        <w:rPr>
          <w:rFonts w:ascii="Calibri" w:cs="Calibri" w:eastAsia="Calibri" w:hAnsi="Calibri"/>
          <w:sz w:val="21"/>
          <w:szCs w:val="21"/>
        </w:rPr>
        <w:t xml:space="preserve">In agencies under ~40 people: </w:t>
      </w:r>
      <w:r>
        <w:rPr>
          <w:rFonts w:ascii="Calibri" w:cs="Calibri" w:eastAsia="Calibri" w:hAnsi="Calibri"/>
          <w:b/>
          <w:bCs/>
          <w:i w:val="false"/>
          <w:iCs w:val="false"/>
          <w:sz w:val="21"/>
          <w:szCs w:val="21"/>
        </w:rPr>
        <w:t xml:space="preserve">the founding partner, in one meeting</w:t>
      </w:r>
      <w:r>
        <w:rPr>
          <w:rFonts w:ascii="Calibri" w:cs="Calibri" w:eastAsia="Calibri" w:hAnsi="Calibri"/>
          <w:sz w:val="21"/>
          <w:szCs w:val="21"/>
        </w:rPr>
        <w:t xml:space="preserve">. Above that: Diretor(a) Financeiro / Head de Operações. No juridico committee, no TI evaluation, no six-month procurement cycle — decision-maker concentration is worth more than market size to a new CNPJ with no references.</w:t>
      </w:r>
    </w:p>
    <w:p>
      <w:pPr>
        <w:spacing w:after="140" w:before="0" w:line="264"/>
      </w:pPr>
      <w:r>
        <w:rPr>
          <w:rFonts w:ascii="Calibri" w:cs="Calibri" w:eastAsia="Calibri" w:hAnsi="Calibri"/>
          <w:sz w:val="21"/>
          <w:szCs w:val="21"/>
        </w:rPr>
        <w:t xml:space="preserve">The buyer list is public: the YOUPIX Diretório de Agências de Influência, plus the model/talent agencies that now also represent creators. Sector count is </w:t>
      </w:r>
      <w:r>
        <w:rPr>
          <w:rFonts w:ascii="Calibri" w:cs="Calibri" w:eastAsia="Calibri" w:hAnsi="Calibri"/>
          <w:b/>
          <w:bCs/>
          <w:i w:val="false"/>
          <w:iCs w:val="false"/>
          <w:sz w:val="21"/>
          <w:szCs w:val="21"/>
        </w:rPr>
        <w:t xml:space="preserve">ESTIMATED at 150–400 agencies</w:t>
      </w:r>
      <w:r>
        <w:rPr>
          <w:rFonts w:ascii="Calibri" w:cs="Calibri" w:eastAsia="Calibri" w:hAnsi="Calibri"/>
          <w:sz w:val="21"/>
          <w:szCs w:val="21"/>
        </w:rPr>
        <w:t xml:space="preserve">, of which perhaps 100–200 settle above R$ 100k/month — no verified census exists; §9 and §12 treat this as a live risk, not a footnote.</w:t>
      </w:r>
    </w:p>
    <w:p>
      <w:pPr>
        <w:pStyle w:val="Heading2"/>
        <w:spacing w:after="120" w:before="220"/>
      </w:pPr>
      <w:r>
        <w:rPr>
          <w:rFonts w:ascii="Calibri" w:cs="Calibri" w:eastAsia="Calibri" w:hAnsi="Calibri"/>
          <w:b/>
          <w:bCs/>
          <w:color w:val="1F3B38"/>
          <w:sz w:val="24"/>
          <w:szCs w:val="24"/>
        </w:rPr>
        <w:t xml:space="preserve">First three customers — no cold outbound</w:t>
      </w:r>
    </w:p>
    <w:p>
      <w:pPr>
        <w:pStyle w:val="ListParagraph"/>
        <w:numPr>
          <w:ilvl w:val="0"/>
          <w:numId w:val="5"/>
        </w:numPr>
        <w:spacing w:after="90" w:before="0" w:line="264"/>
      </w:pPr>
      <w:r>
        <w:rPr>
          <w:rFonts w:ascii="Calibri" w:cs="Calibri" w:eastAsia="Calibri" w:hAnsi="Calibri"/>
          <w:b/>
          <w:bCs/>
          <w:i w:val="false"/>
          <w:iCs w:val="false"/>
          <w:sz w:val="21"/>
          <w:szCs w:val="21"/>
        </w:rPr>
        <w:t xml:space="preserve">A beauty/fashion influence agency run by someone from the founder’s modeling and luxury-events years. </w:t>
      </w:r>
      <w:r>
        <w:rPr>
          <w:rFonts w:ascii="Calibri" w:cs="Calibri" w:eastAsia="Calibri" w:hAnsi="Calibri"/>
          <w:sz w:val="21"/>
          <w:szCs w:val="21"/>
        </w:rPr>
        <w:t xml:space="preserve">The opener is a question, not a demo: "Quantas horas seu financeiro passou atrás de nota fiscal mês passado?" Then: first fechamento free.</w:t>
      </w:r>
    </w:p>
    <w:p>
      <w:pPr>
        <w:pStyle w:val="ListParagraph"/>
        <w:numPr>
          <w:ilvl w:val="0"/>
          <w:numId w:val="5"/>
        </w:numPr>
        <w:spacing w:after="90" w:before="0" w:line="264"/>
      </w:pPr>
      <w:r>
        <w:rPr>
          <w:rFonts w:ascii="Calibri" w:cs="Calibri" w:eastAsia="Calibri" w:hAnsi="Calibri"/>
          <w:b/>
          <w:bCs/>
          <w:i w:val="false"/>
          <w:iCs w:val="false"/>
          <w:sz w:val="21"/>
          <w:szCs w:val="21"/>
        </w:rPr>
        <w:t xml:space="preserve">A São Paulo model/talent agency now also representing creators. </w:t>
      </w:r>
      <w:r>
        <w:rPr>
          <w:rFonts w:ascii="Calibri" w:cs="Calibri" w:eastAsia="Calibri" w:hAnsi="Calibri"/>
          <w:sz w:val="21"/>
          <w:szCs w:val="21"/>
        </w:rPr>
        <w:t xml:space="preserve">Same problem in harsher form — talent cachê, long brand payment terms, and a booker personally accused of skimming. The founding partner takes the call because she is not a vendor; she is someone they placed on jobs.</w:t>
      </w:r>
    </w:p>
    <w:p>
      <w:pPr>
        <w:pStyle w:val="ListParagraph"/>
        <w:numPr>
          <w:ilvl w:val="0"/>
          <w:numId w:val="5"/>
        </w:numPr>
        <w:spacing w:after="90" w:before="0" w:line="264"/>
      </w:pPr>
      <w:r>
        <w:rPr>
          <w:rFonts w:ascii="Calibri" w:cs="Calibri" w:eastAsia="Calibri" w:hAnsi="Calibri"/>
          <w:b/>
          <w:bCs/>
          <w:i w:val="false"/>
          <w:iCs w:val="false"/>
          <w:sz w:val="21"/>
          <w:szCs w:val="21"/>
        </w:rPr>
        <w:t xml:space="preserve">The floor of YPX Summit 2026, </w:t>
      </w:r>
      <w:r>
        <w:rPr>
          <w:rFonts w:ascii="Calibri" w:cs="Calibri" w:eastAsia="Calibri" w:hAnsi="Calibri"/>
          <w:sz w:val="21"/>
          <w:szCs w:val="21"/>
        </w:rPr>
        <w:t xml:space="preserve">worked from the published YOUPIX directory. Every agency director in Brazil is in that room once a year, and working a trade floor is a skill the founder already has at a professional level.</w:t>
      </w:r>
    </w:p>
    <w:p>
      <w:r>
        <w:br w:type="page"/>
      </w:r>
    </w:p>
    <w:p>
      <w:pPr>
        <w:pStyle w:val="Heading1"/>
        <w:spacing w:after="160" w:before="320"/>
      </w:pPr>
      <w:r>
        <w:rPr>
          <w:rFonts w:ascii="Calibri" w:cs="Calibri" w:eastAsia="Calibri" w:hAnsi="Calibri"/>
          <w:b/>
          <w:bCs/>
          <w:color w:val="0B5E55"/>
          <w:sz w:val="30"/>
          <w:szCs w:val="30"/>
        </w:rPr>
        <w:t xml:space="preserve">9. THE 10-DAY TEST — BEFORE ANYTHING IS BUILT</w:t>
      </w:r>
    </w:p>
    <w:p>
      <w:pPr>
        <w:spacing w:after="140" w:before="0" w:line="264"/>
      </w:pPr>
      <w:r>
        <w:rPr>
          <w:rFonts w:ascii="Calibri" w:cs="Calibri" w:eastAsia="Calibri" w:hAnsi="Calibri"/>
          <w:b/>
          <w:bCs/>
          <w:i w:val="false"/>
          <w:iCs w:val="false"/>
          <w:sz w:val="21"/>
          <w:szCs w:val="21"/>
        </w:rPr>
        <w:t xml:space="preserve">Cost: ~R$ 300</w:t>
      </w:r>
      <w:r>
        <w:rPr>
          <w:rFonts w:ascii="Calibri" w:cs="Calibri" w:eastAsia="Calibri" w:hAnsi="Calibri"/>
          <w:sz w:val="21"/>
          <w:szCs w:val="21"/>
        </w:rPr>
        <w:t xml:space="preserve"> (one hour with a tax accountant who serves agências de publicidade) plus coffee. No software, no landing page. Five agency owners/financial directors from the founder’s own network — three influence agencies, two model/talent agencies.</w:t>
      </w:r>
    </w:p>
    <w:p>
      <w:pPr>
        <w:pStyle w:val="Heading2"/>
        <w:spacing w:after="120" w:before="220"/>
      </w:pPr>
      <w:r>
        <w:rPr>
          <w:rFonts w:ascii="Calibri" w:cs="Calibri" w:eastAsia="Calibri" w:hAnsi="Calibri"/>
          <w:b/>
          <w:bCs/>
          <w:color w:val="1F3B38"/>
          <w:sz w:val="24"/>
          <w:szCs w:val="24"/>
        </w:rPr>
        <w:t xml:space="preserve">The four questions, in order</w:t>
      </w:r>
    </w:p>
    <w:p>
      <w:pPr>
        <w:pStyle w:val="ListParagraph"/>
        <w:numPr>
          <w:ilvl w:val="0"/>
          <w:numId w:val="6"/>
        </w:numPr>
        <w:spacing w:after="90" w:before="0" w:line="264"/>
      </w:pPr>
      <w:r>
        <w:rPr>
          <w:rFonts w:ascii="Calibri" w:cs="Calibri" w:eastAsia="Calibri" w:hAnsi="Calibri"/>
          <w:sz w:val="21"/>
          <w:szCs w:val="21"/>
        </w:rPr>
        <w:t xml:space="preserve">"Último fechamento de creators — quantos creators, qual valor total, e quantas horas alguém passou atrás de nota fiscal?" (Volume and pain in one question.)</w:t>
      </w:r>
    </w:p>
    <w:p>
      <w:pPr>
        <w:pStyle w:val="ListParagraph"/>
        <w:numPr>
          <w:ilvl w:val="0"/>
          <w:numId w:val="6"/>
        </w:numPr>
        <w:spacing w:after="90" w:before="0" w:line="264"/>
      </w:pPr>
      <w:r>
        <w:rPr>
          <w:rFonts w:ascii="Calibri" w:cs="Calibri" w:eastAsia="Calibri" w:hAnsi="Calibri"/>
          <w:sz w:val="21"/>
          <w:szCs w:val="21"/>
        </w:rPr>
        <w:t xml:space="preserve">"Quem calcula a retenção de IRRF e ISS nesses pagamentos hoje — e o contador já voltou dizendo que alguma estava errada?" (Tests whether the calculation-of-record is real for this buyer.)</w:t>
      </w:r>
    </w:p>
    <w:p>
      <w:pPr>
        <w:pStyle w:val="ListParagraph"/>
        <w:numPr>
          <w:ilvl w:val="0"/>
          <w:numId w:val="6"/>
        </w:numPr>
        <w:spacing w:after="90" w:before="0" w:line="264"/>
      </w:pPr>
      <w:r>
        <w:rPr>
          <w:rFonts w:ascii="Calibri" w:cs="Calibri" w:eastAsia="Calibri" w:hAnsi="Calibri"/>
          <w:b/>
          <w:bCs/>
          <w:i w:val="false"/>
          <w:iCs w:val="false"/>
          <w:sz w:val="21"/>
          <w:szCs w:val="21"/>
        </w:rPr>
        <w:t xml:space="preserve">"Se seus criadores se cadastrassem uma vez, emitissem as notas como condição pra receber, e vissem o próprio extrato — você passaria os pagamentos por esse sistema numa conta no seu nome, ou ia querer um arquivo pra pagar do seu banco?" </w:t>
      </w:r>
      <w:r>
        <w:rPr>
          <w:rFonts w:ascii="Calibri" w:cs="Calibri" w:eastAsia="Calibri" w:hAnsi="Calibri"/>
          <w:sz w:val="21"/>
          <w:szCs w:val="21"/>
        </w:rPr>
        <w:t xml:space="preserve">(This is the whole business in one question. Ask it exactly this way.)</w:t>
      </w:r>
    </w:p>
    <w:p>
      <w:pPr>
        <w:pStyle w:val="ListParagraph"/>
        <w:numPr>
          <w:ilvl w:val="0"/>
          <w:numId w:val="6"/>
        </w:numPr>
        <w:spacing w:after="90" w:before="0" w:line="264"/>
      </w:pPr>
      <w:r>
        <w:rPr>
          <w:rFonts w:ascii="Calibri" w:cs="Calibri" w:eastAsia="Calibri" w:hAnsi="Calibri"/>
          <w:sz w:val="21"/>
          <w:szCs w:val="21"/>
        </w:rPr>
        <w:t xml:space="preserve">"Prefere pagar um valor fixo por mês pela faixa de volume, ou um percentual sobre o que a gente liquida?" (Free pricing research — whatever most say, do.)</w:t>
      </w:r>
    </w:p>
    <w:p>
      <w:pPr>
        <w:spacing w:after="140" w:before="0" w:line="264"/>
      </w:pPr>
      <w:r>
        <w:rPr>
          <w:rFonts w:ascii="Calibri" w:cs="Calibri" w:eastAsia="Calibri" w:hAnsi="Calibri"/>
          <w:b/>
          <w:bCs/>
          <w:i w:val="false"/>
          <w:iCs w:val="false"/>
          <w:sz w:val="21"/>
          <w:szCs w:val="21"/>
        </w:rPr>
        <w:t xml:space="preserve">And to the accountant: </w:t>
      </w:r>
      <w:r>
        <w:rPr>
          <w:rFonts w:ascii="Calibri" w:cs="Calibri" w:eastAsia="Calibri" w:hAnsi="Calibri"/>
          <w:sz w:val="21"/>
          <w:szCs w:val="21"/>
        </w:rPr>
        <w:t xml:space="preserve">what is the actual retention matrix for agência → creator PJ by service code and município — and have you seen agencies get it wrong?</w:t>
      </w:r>
    </w:p>
    <w:p>
      <w:pPr>
        <w:pStyle w:val="Heading2"/>
        <w:spacing w:after="120" w:before="220"/>
      </w:pPr>
      <w:r>
        <w:rPr>
          <w:rFonts w:ascii="Calibri" w:cs="Calibri" w:eastAsia="Calibri" w:hAnsi="Calibri"/>
          <w:b/>
          <w:bCs/>
          <w:color w:val="1F3B38"/>
          <w:sz w:val="24"/>
          <w:szCs w:val="24"/>
        </w:rPr>
        <w:t xml:space="preserve">Stop conditions — any one alone ends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3800"/>
      </w:tblGrid>
      <w:tr>
        <w:trPr>
          <w:tblHeader/>
        </w:trPr>
        <w:tc>
          <w:tcPr>
            <w:tcW w:type="dxa" w:w="5226"/>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Answer observed</w:t>
            </w:r>
          </w:p>
        </w:tc>
        <w:tc>
          <w:tcPr>
            <w:tcW w:type="dxa" w:w="3800"/>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Meaning</w:t>
            </w:r>
          </w:p>
        </w:tc>
      </w:tr>
      <w:tr>
        <w:trPr>
          <w:tblHeader w:val="false"/>
        </w:trPr>
        <w:tc>
          <w:tcPr>
            <w:tcW w:type="dxa" w:w="5226"/>
            <w:tcMar>
              <w:top w:type="dxa" w:w="70"/>
              <w:left w:type="dxa" w:w="110"/>
              <w:bottom w:type="dxa" w:w="70"/>
              <w:right w:type="dxa" w:w="110"/>
            </w:tcMar>
          </w:tcPr>
          <w:p>
            <w:pPr>
              <w:spacing w:after="0" w:line="240"/>
            </w:pPr>
            <w:r>
              <w:rPr>
                <w:rFonts w:ascii="Calibri" w:cs="Calibri" w:eastAsia="Calibri" w:hAnsi="Calibri"/>
                <w:sz w:val="21"/>
                <w:szCs w:val="21"/>
              </w:rPr>
              <w:t xml:space="preserve">3+ of 5 agencies settle under R$ 100.000/month</w:t>
            </w:r>
          </w:p>
        </w:tc>
        <w:tc>
          <w:tcPr>
            <w:tcW w:type="dxa" w:w="3800"/>
            <w:tcMar>
              <w:top w:type="dxa" w:w="70"/>
              <w:left w:type="dxa" w:w="110"/>
              <w:bottom w:type="dxa" w:w="70"/>
              <w:right w:type="dxa" w:w="110"/>
            </w:tcMar>
          </w:tcPr>
          <w:p>
            <w:pPr>
              <w:spacing w:after="0" w:line="240"/>
            </w:pPr>
            <w:r>
              <w:rPr>
                <w:rFonts w:ascii="Calibri" w:cs="Calibri" w:eastAsia="Calibri" w:hAnsi="Calibri"/>
                <w:sz w:val="21"/>
                <w:szCs w:val="21"/>
              </w:rPr>
              <w:t xml:space="preserve">ARPU collapses below R$ 3.000. Filter 1 fails. STOP.</w:t>
            </w:r>
          </w:p>
        </w:tc>
      </w:tr>
      <w:tr>
        <w:trPr>
          <w:tblHeader w:val="false"/>
        </w:trPr>
        <w:tc>
          <w:tcPr>
            <w:tcW w:type="dxa" w:w="5226"/>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3+ of 5 answer question 3 with "export file"</w:t>
            </w:r>
          </w:p>
        </w:tc>
        <w:tc>
          <w:tcPr>
            <w:tcW w:type="dxa" w:w="3800"/>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The rail is refused at concept stage; it will not improve after building. STOP.</w:t>
            </w:r>
          </w:p>
        </w:tc>
      </w:tr>
      <w:tr>
        <w:trPr>
          <w:tblHeader w:val="false"/>
        </w:trPr>
        <w:tc>
          <w:tcPr>
            <w:tcW w:type="dxa" w:w="5226"/>
            <w:tcMar>
              <w:top w:type="dxa" w:w="70"/>
              <w:left w:type="dxa" w:w="110"/>
              <w:bottom w:type="dxa" w:w="70"/>
              <w:right w:type="dxa" w:w="110"/>
            </w:tcMar>
          </w:tcPr>
          <w:p>
            <w:pPr>
              <w:spacing w:after="0" w:line="240"/>
            </w:pPr>
            <w:r>
              <w:rPr>
                <w:rFonts w:ascii="Calibri" w:cs="Calibri" w:eastAsia="Calibri" w:hAnsi="Calibri"/>
                <w:sz w:val="21"/>
                <w:szCs w:val="21"/>
              </w:rPr>
              <w:t xml:space="preserve">NF chase is under 4 hours/month at 3+ agencies</w:t>
            </w:r>
          </w:p>
        </w:tc>
        <w:tc>
          <w:tcPr>
            <w:tcW w:type="dxa" w:w="3800"/>
            <w:tcMar>
              <w:top w:type="dxa" w:w="70"/>
              <w:left w:type="dxa" w:w="110"/>
              <w:bottom w:type="dxa" w:w="70"/>
              <w:right w:type="dxa" w:w="110"/>
            </w:tcMar>
          </w:tcPr>
          <w:p>
            <w:pPr>
              <w:spacing w:after="0" w:line="240"/>
            </w:pPr>
            <w:r>
              <w:rPr>
                <w:rFonts w:ascii="Calibri" w:cs="Calibri" w:eastAsia="Calibri" w:hAnsi="Calibri"/>
                <w:sz w:val="21"/>
                <w:szCs w:val="21"/>
              </w:rPr>
              <w:t xml:space="preserve">No pain; the spreadsheet wins. STOP.</w:t>
            </w:r>
          </w:p>
        </w:tc>
      </w:tr>
      <w:tr>
        <w:trPr>
          <w:tblHeader w:val="false"/>
        </w:trPr>
        <w:tc>
          <w:tcPr>
            <w:tcW w:type="dxa" w:w="5226"/>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Accountant says retention is trivial and never wrong</w:t>
            </w:r>
          </w:p>
        </w:tc>
        <w:tc>
          <w:tcPr>
            <w:tcW w:type="dxa" w:w="3800"/>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The calculation-of-record evaporates; what remains is a batch payout tool. STOP.</w:t>
            </w:r>
          </w:p>
        </w:tc>
      </w:tr>
    </w:tbl>
    <w:p>
      <w:pPr>
        <w:spacing w:after="100"/>
      </w:pPr>
    </w:p>
    <w:p>
      <w:pPr>
        <w:pBdr>
          <w:left w:val="single" w:color="0B5E55" w:sz="24"/>
        </w:pBdr>
        <w:shd w:fill="E7F3F1" w:val="clear"/>
        <w:spacing w:after="200" w:before="60" w:line="264"/>
        <w:ind w:left="200" w:right="200"/>
      </w:pPr>
      <w:r>
        <w:rPr>
          <w:rFonts w:ascii="Calibri" w:cs="Calibri" w:eastAsia="Calibri" w:hAnsi="Calibri"/>
          <w:b/>
          <w:bCs/>
          <w:i w:val="false"/>
          <w:iCs w:val="false"/>
          <w:sz w:val="21"/>
          <w:szCs w:val="21"/>
        </w:rPr>
        <w:t xml:space="preserve">The founder should be willing to close the file in ten days. </w:t>
      </w:r>
      <w:r>
        <w:rPr>
          <w:rFonts w:ascii="Calibri" w:cs="Calibri" w:eastAsia="Calibri" w:hAnsi="Calibri"/>
          <w:sz w:val="21"/>
          <w:szCs w:val="21"/>
        </w:rPr>
        <w:t xml:space="preserve">Three predecessor ideas died to evidence; a fourth dying to five phone calls costing R$ 300 would be the cheapest kill yet — and the correct outcome if that is what the answers say.</w:t>
      </w:r>
    </w:p>
    <w:p>
      <w:r>
        <w:br w:type="page"/>
      </w:r>
    </w:p>
    <w:p>
      <w:pPr>
        <w:pStyle w:val="Heading1"/>
        <w:spacing w:after="160" w:before="320"/>
      </w:pPr>
      <w:r>
        <w:rPr>
          <w:rFonts w:ascii="Calibri" w:cs="Calibri" w:eastAsia="Calibri" w:hAnsi="Calibri"/>
          <w:b/>
          <w:bCs/>
          <w:color w:val="0B5E55"/>
          <w:sz w:val="30"/>
          <w:szCs w:val="30"/>
        </w:rPr>
        <w:t xml:space="preserve">10. THE TECH — KISS VERSION</w:t>
      </w:r>
    </w:p>
    <w:p>
      <w:pPr>
        <w:pStyle w:val="Heading2"/>
        <w:spacing w:after="120" w:before="220"/>
      </w:pPr>
      <w:r>
        <w:rPr>
          <w:rFonts w:ascii="Calibri" w:cs="Calibri" w:eastAsia="Calibri" w:hAnsi="Calibri"/>
          <w:b/>
          <w:bCs/>
          <w:color w:val="1F3B38"/>
          <w:sz w:val="24"/>
          <w:szCs w:val="24"/>
        </w:rPr>
        <w:t xml:space="preserve">Stack: three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8"/>
        <w:gridCol w:w="3761"/>
        <w:gridCol w:w="3197"/>
      </w:tblGrid>
      <w:tr>
        <w:trPr>
          <w:tblHeader/>
        </w:trPr>
        <w:tc>
          <w:tcPr>
            <w:tcW w:type="dxa" w:w="2068"/>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Layer</w:t>
            </w:r>
          </w:p>
        </w:tc>
        <w:tc>
          <w:tcPr>
            <w:tcW w:type="dxa" w:w="3761"/>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Choice</w:t>
            </w:r>
          </w:p>
        </w:tc>
        <w:tc>
          <w:tcPr>
            <w:tcW w:type="dxa" w:w="3197"/>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Why</w:t>
            </w:r>
          </w:p>
        </w:tc>
      </w:tr>
      <w:tr>
        <w:trPr>
          <w:tblHeader w:val="false"/>
        </w:trPr>
        <w:tc>
          <w:tcPr>
            <w:tcW w:type="dxa" w:w="2068"/>
            <w:tcMar>
              <w:top w:type="dxa" w:w="70"/>
              <w:left w:type="dxa" w:w="110"/>
              <w:bottom w:type="dxa" w:w="70"/>
              <w:right w:type="dxa" w:w="110"/>
            </w:tcMar>
          </w:tcPr>
          <w:p>
            <w:pPr>
              <w:spacing w:after="0" w:line="240"/>
            </w:pPr>
            <w:r>
              <w:rPr>
                <w:rFonts w:ascii="Calibri" w:cs="Calibri" w:eastAsia="Calibri" w:hAnsi="Calibri"/>
                <w:sz w:val="21"/>
                <w:szCs w:val="21"/>
              </w:rPr>
              <w:t xml:space="preserve">App</w:t>
            </w:r>
          </w:p>
        </w:tc>
        <w:tc>
          <w:tcPr>
            <w:tcW w:type="dxa" w:w="3761"/>
            <w:tcMar>
              <w:top w:type="dxa" w:w="70"/>
              <w:left w:type="dxa" w:w="110"/>
              <w:bottom w:type="dxa" w:w="70"/>
              <w:right w:type="dxa" w:w="110"/>
            </w:tcMar>
          </w:tcPr>
          <w:p>
            <w:pPr>
              <w:spacing w:after="0" w:line="240"/>
            </w:pPr>
            <w:r>
              <w:rPr>
                <w:rFonts w:ascii="Calibri" w:cs="Calibri" w:eastAsia="Calibri" w:hAnsi="Calibri"/>
                <w:sz w:val="21"/>
                <w:szCs w:val="21"/>
              </w:rPr>
              <w:t xml:space="preserve">Next.js on Vercel</w:t>
            </w:r>
          </w:p>
        </w:tc>
        <w:tc>
          <w:tcPr>
            <w:tcW w:type="dxa" w:w="3197"/>
            <w:tcMar>
              <w:top w:type="dxa" w:w="70"/>
              <w:left w:type="dxa" w:w="110"/>
              <w:bottom w:type="dxa" w:w="70"/>
              <w:right w:type="dxa" w:w="110"/>
            </w:tcMar>
          </w:tcPr>
          <w:p>
            <w:pPr>
              <w:spacing w:after="0" w:line="240"/>
            </w:pPr>
            <w:r>
              <w:rPr>
                <w:rFonts w:ascii="Calibri" w:cs="Calibri" w:eastAsia="Calibri" w:hAnsi="Calibri"/>
                <w:sz w:val="21"/>
                <w:szCs w:val="21"/>
              </w:rPr>
              <w:t xml:space="preserve">Best-supported path for AI-assisted building; deploys in minutes.</w:t>
            </w:r>
          </w:p>
        </w:tc>
      </w:tr>
      <w:tr>
        <w:trPr>
          <w:tblHeader w:val="false"/>
        </w:trPr>
        <w:tc>
          <w:tcPr>
            <w:tcW w:type="dxa" w:w="2068"/>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Data + auth + files</w:t>
            </w:r>
          </w:p>
        </w:tc>
        <w:tc>
          <w:tcPr>
            <w:tcW w:type="dxa" w:w="3761"/>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Supabase (Postgres)</w:t>
            </w:r>
          </w:p>
        </w:tc>
        <w:tc>
          <w:tcPr>
            <w:tcW w:type="dxa" w:w="3197"/>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One service is the database, the login, and the NF file storage.</w:t>
            </w:r>
          </w:p>
        </w:tc>
      </w:tr>
      <w:tr>
        <w:trPr>
          <w:tblHeader w:val="false"/>
        </w:trPr>
        <w:tc>
          <w:tcPr>
            <w:tcW w:type="dxa" w:w="2068"/>
            <w:tcMar>
              <w:top w:type="dxa" w:w="70"/>
              <w:left w:type="dxa" w:w="110"/>
              <w:bottom w:type="dxa" w:w="70"/>
              <w:right w:type="dxa" w:w="110"/>
            </w:tcMar>
          </w:tcPr>
          <w:p>
            <w:pPr>
              <w:spacing w:after="0" w:line="240"/>
            </w:pPr>
            <w:r>
              <w:rPr>
                <w:rFonts w:ascii="Calibri" w:cs="Calibri" w:eastAsia="Calibri" w:hAnsi="Calibri"/>
                <w:sz w:val="21"/>
                <w:szCs w:val="21"/>
              </w:rPr>
              <w:t xml:space="preserve">Payouts</w:t>
            </w:r>
          </w:p>
        </w:tc>
        <w:tc>
          <w:tcPr>
            <w:tcW w:type="dxa" w:w="3761"/>
            <w:tcMar>
              <w:top w:type="dxa" w:w="70"/>
              <w:left w:type="dxa" w:w="110"/>
              <w:bottom w:type="dxa" w:w="70"/>
              <w:right w:type="dxa" w:w="110"/>
            </w:tcMar>
          </w:tcPr>
          <w:p>
            <w:pPr>
              <w:spacing w:after="0" w:line="240"/>
            </w:pPr>
            <w:r>
              <w:rPr>
                <w:rFonts w:ascii="Calibri" w:cs="Calibri" w:eastAsia="Calibri" w:hAnsi="Calibri"/>
                <w:sz w:val="21"/>
                <w:szCs w:val="21"/>
              </w:rPr>
              <w:t xml:space="preserve">Asaas API (Pix, R$ 1,99/transfer)</w:t>
            </w:r>
          </w:p>
        </w:tc>
        <w:tc>
          <w:tcPr>
            <w:tcW w:type="dxa" w:w="3197"/>
            <w:tcMar>
              <w:top w:type="dxa" w:w="70"/>
              <w:left w:type="dxa" w:w="110"/>
              <w:bottom w:type="dxa" w:w="70"/>
              <w:right w:type="dxa" w:w="110"/>
            </w:tcMar>
          </w:tcPr>
          <w:p>
            <w:pPr>
              <w:spacing w:after="0" w:line="240"/>
            </w:pPr>
            <w:r>
              <w:rPr>
                <w:rFonts w:ascii="Calibri" w:cs="Calibri" w:eastAsia="Calibri" w:hAnsi="Calibri"/>
                <w:sz w:val="21"/>
                <w:szCs w:val="21"/>
              </w:rPr>
              <w:t xml:space="preserve">The agency’s own account; founder is a client of a licensed instituição de pagamento — never holds funds, never needs a BCB license, never triggers the new-CNPJ subconta evaluation.</w:t>
            </w:r>
          </w:p>
        </w:tc>
      </w:tr>
    </w:tbl>
    <w:p>
      <w:pPr>
        <w:spacing w:after="100"/>
      </w:pPr>
    </w:p>
    <w:p>
      <w:pPr>
        <w:pStyle w:val="Heading2"/>
        <w:spacing w:after="120" w:before="220"/>
      </w:pPr>
      <w:r>
        <w:rPr>
          <w:rFonts w:ascii="Calibri" w:cs="Calibri" w:eastAsia="Calibri" w:hAnsi="Calibri"/>
          <w:b/>
          <w:bCs/>
          <w:color w:val="1F3B38"/>
          <w:sz w:val="24"/>
          <w:szCs w:val="24"/>
        </w:rPr>
        <w:t xml:space="preserve">Three tables. That is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7146"/>
      </w:tblGrid>
      <w:tr>
        <w:trPr>
          <w:tblHeader/>
        </w:trPr>
        <w:tc>
          <w:tcPr>
            <w:tcW w:type="dxa" w:w="1880"/>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Table</w:t>
            </w:r>
          </w:p>
        </w:tc>
        <w:tc>
          <w:tcPr>
            <w:tcW w:type="dxa" w:w="7146"/>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Columns</w:t>
            </w:r>
          </w:p>
        </w:tc>
      </w:tr>
      <w:tr>
        <w:trPr>
          <w:tblHeader w:val="false"/>
        </w:trPr>
        <w:tc>
          <w:tcPr>
            <w:tcW w:type="dxa" w:w="1880"/>
            <w:tcMar>
              <w:top w:type="dxa" w:w="70"/>
              <w:left w:type="dxa" w:w="110"/>
              <w:bottom w:type="dxa" w:w="70"/>
              <w:right w:type="dxa" w:w="110"/>
            </w:tcMar>
          </w:tcPr>
          <w:p>
            <w:pPr>
              <w:spacing w:after="0" w:line="240"/>
            </w:pPr>
            <w:r>
              <w:rPr>
                <w:rFonts w:ascii="Consolas" w:cs="Consolas" w:eastAsia="Consolas" w:hAnsi="Consolas"/>
                <w:b w:val="false"/>
                <w:bCs w:val="false"/>
                <w:i w:val="false"/>
                <w:iCs w:val="false"/>
                <w:sz w:val="21"/>
                <w:szCs w:val="21"/>
              </w:rPr>
              <w:t xml:space="preserve">agencies</w:t>
            </w:r>
          </w:p>
        </w:tc>
        <w:tc>
          <w:tcPr>
            <w:tcW w:type="dxa" w:w="7146"/>
            <w:tcMar>
              <w:top w:type="dxa" w:w="70"/>
              <w:left w:type="dxa" w:w="110"/>
              <w:bottom w:type="dxa" w:w="70"/>
              <w:right w:type="dxa" w:w="110"/>
            </w:tcMar>
          </w:tcPr>
          <w:p>
            <w:pPr>
              <w:spacing w:after="0" w:line="240"/>
            </w:pPr>
            <w:r>
              <w:rPr>
                <w:rFonts w:ascii="Calibri" w:cs="Calibri" w:eastAsia="Calibri" w:hAnsi="Calibri"/>
                <w:sz w:val="21"/>
                <w:szCs w:val="21"/>
              </w:rPr>
              <w:t xml:space="preserve">nome, asaas_key, regras_retenção (JSON)</w:t>
            </w:r>
          </w:p>
        </w:tc>
      </w:tr>
      <w:tr>
        <w:trPr>
          <w:tblHeader w:val="false"/>
        </w:trPr>
        <w:tc>
          <w:tcPr>
            <w:tcW w:type="dxa" w:w="1880"/>
            <w:shd w:fill="F4F9F8" w:val="clear"/>
            <w:tcMar>
              <w:top w:type="dxa" w:w="70"/>
              <w:left w:type="dxa" w:w="110"/>
              <w:bottom w:type="dxa" w:w="70"/>
              <w:right w:type="dxa" w:w="110"/>
            </w:tcMar>
          </w:tcPr>
          <w:p>
            <w:pPr>
              <w:spacing w:after="0" w:line="240"/>
            </w:pPr>
            <w:r>
              <w:rPr>
                <w:rFonts w:ascii="Consolas" w:cs="Consolas" w:eastAsia="Consolas" w:hAnsi="Consolas"/>
                <w:b w:val="false"/>
                <w:bCs w:val="false"/>
                <w:i w:val="false"/>
                <w:iCs w:val="false"/>
                <w:sz w:val="21"/>
                <w:szCs w:val="21"/>
              </w:rPr>
              <w:t xml:space="preserve">creators</w:t>
            </w:r>
          </w:p>
        </w:tc>
        <w:tc>
          <w:tcPr>
            <w:tcW w:type="dxa" w:w="7146"/>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nome, whatsapp, cpf_cnpj, regime, chave_pix</w:t>
            </w:r>
          </w:p>
        </w:tc>
      </w:tr>
      <w:tr>
        <w:trPr>
          <w:tblHeader w:val="false"/>
        </w:trPr>
        <w:tc>
          <w:tcPr>
            <w:tcW w:type="dxa" w:w="1880"/>
            <w:tcMar>
              <w:top w:type="dxa" w:w="70"/>
              <w:left w:type="dxa" w:w="110"/>
              <w:bottom w:type="dxa" w:w="70"/>
              <w:right w:type="dxa" w:w="110"/>
            </w:tcMar>
          </w:tcPr>
          <w:p>
            <w:pPr>
              <w:spacing w:after="0" w:line="240"/>
            </w:pPr>
            <w:r>
              <w:rPr>
                <w:rFonts w:ascii="Consolas" w:cs="Consolas" w:eastAsia="Consolas" w:hAnsi="Consolas"/>
                <w:b w:val="false"/>
                <w:bCs w:val="false"/>
                <w:i w:val="false"/>
                <w:iCs w:val="false"/>
                <w:sz w:val="21"/>
                <w:szCs w:val="21"/>
              </w:rPr>
              <w:t xml:space="preserve">jobs</w:t>
            </w:r>
          </w:p>
        </w:tc>
        <w:tc>
          <w:tcPr>
            <w:tcW w:type="dxa" w:w="7146"/>
            <w:tcMar>
              <w:top w:type="dxa" w:w="70"/>
              <w:left w:type="dxa" w:w="110"/>
              <w:bottom w:type="dxa" w:w="70"/>
              <w:right w:type="dxa" w:w="110"/>
            </w:tcMar>
          </w:tcPr>
          <w:p>
            <w:pPr>
              <w:spacing w:after="0" w:line="240"/>
            </w:pPr>
            <w:r>
              <w:rPr>
                <w:rFonts w:ascii="Calibri" w:cs="Calibri" w:eastAsia="Calibri" w:hAnsi="Calibri"/>
                <w:sz w:val="21"/>
                <w:szCs w:val="21"/>
              </w:rPr>
              <w:t xml:space="preserve">creator, valor bruto, comissão, descrição, nf_arquivo, status, retenção, líquido</w:t>
            </w:r>
          </w:p>
        </w:tc>
      </w:tr>
    </w:tbl>
    <w:p>
      <w:pPr>
        <w:spacing w:after="100"/>
      </w:pPr>
    </w:p>
    <w:p>
      <w:pPr>
        <w:spacing w:after="140" w:before="0" w:line="264"/>
      </w:pPr>
      <w:r>
        <w:rPr>
          <w:rFonts w:ascii="Calibri" w:cs="Calibri" w:eastAsia="Calibri" w:hAnsi="Calibri"/>
          <w:sz w:val="21"/>
          <w:szCs w:val="21"/>
        </w:rPr>
        <w:t xml:space="preserve">No separate tables for notas, retenções or payouts — they are columns on </w:t>
      </w:r>
      <w:r>
        <w:rPr>
          <w:rFonts w:ascii="Consolas" w:cs="Consolas" w:eastAsia="Consolas" w:hAnsi="Consolas"/>
          <w:b w:val="false"/>
          <w:bCs w:val="false"/>
          <w:i w:val="false"/>
          <w:iCs w:val="false"/>
          <w:sz w:val="21"/>
          <w:szCs w:val="21"/>
        </w:rPr>
        <w:t xml:space="preserve">jobs</w:t>
      </w:r>
      <w:r>
        <w:rPr>
          <w:rFonts w:ascii="Calibri" w:cs="Calibri" w:eastAsia="Calibri" w:hAnsi="Calibri"/>
          <w:sz w:val="21"/>
          <w:szCs w:val="21"/>
        </w:rPr>
        <w:t xml:space="preserve">. Every row is one creator owed one payment, moving through five states:</w:t>
      </w:r>
    </w:p>
    <w:p>
      <w:pPr>
        <w:pBdr>
          <w:left w:val="single" w:color="0B5E55" w:sz="24"/>
        </w:pBdr>
        <w:shd w:fill="E7F3F1" w:val="clear"/>
        <w:spacing w:after="200" w:before="60" w:line="264"/>
        <w:ind w:left="200" w:right="200"/>
      </w:pPr>
      <w:r>
        <w:rPr>
          <w:rFonts w:ascii="Consolas" w:cs="Consolas" w:eastAsia="Consolas" w:hAnsi="Consolas"/>
          <w:b/>
          <w:bCs/>
          <w:i w:val="false"/>
          <w:iCs w:val="false"/>
          <w:sz w:val="21"/>
          <w:szCs w:val="21"/>
        </w:rPr>
        <w:t xml:space="preserve">criado → nf_pedida → nf_ok → pago → comprovado</w:t>
      </w:r>
    </w:p>
    <w:p>
      <w:pPr>
        <w:pStyle w:val="Heading2"/>
        <w:spacing w:after="120" w:before="220"/>
      </w:pPr>
      <w:r>
        <w:rPr>
          <w:rFonts w:ascii="Calibri" w:cs="Calibri" w:eastAsia="Calibri" w:hAnsi="Calibri"/>
          <w:b/>
          <w:bCs/>
          <w:color w:val="1F3B38"/>
          <w:sz w:val="24"/>
          <w:szCs w:val="24"/>
        </w:rPr>
        <w:t xml:space="preserve">The retention engine — per agency, not per country</w:t>
      </w:r>
    </w:p>
    <w:p>
      <w:pPr>
        <w:spacing w:after="140" w:before="0" w:line="264"/>
      </w:pPr>
      <w:r>
        <w:rPr>
          <w:rFonts w:ascii="Calibri" w:cs="Calibri" w:eastAsia="Calibri" w:hAnsi="Calibri"/>
          <w:sz w:val="21"/>
          <w:szCs w:val="21"/>
        </w:rPr>
        <w:t xml:space="preserve">LÍQUIDO does not encode Brazilian tax law. Each agency has 3–8 recurring cases, not thousands. At onboarding, one hour with the agency’s contador fills a rules table (regime × código de serviço → IRRF %, ISS %, composite %), </w:t>
      </w:r>
      <w:r>
        <w:rPr>
          <w:rFonts w:ascii="Calibri" w:cs="Calibri" w:eastAsia="Calibri" w:hAnsi="Calibri"/>
          <w:b/>
          <w:bCs/>
          <w:i w:val="false"/>
          <w:iCs w:val="false"/>
          <w:sz w:val="21"/>
          <w:szCs w:val="21"/>
        </w:rPr>
        <w:t xml:space="preserve">the contador signs it, and the system executes it without ever making a mistake</w:t>
      </w:r>
      <w:r>
        <w:rPr>
          <w:rFonts w:ascii="Calibri" w:cs="Calibri" w:eastAsia="Calibri" w:hAnsi="Calibri"/>
          <w:sz w:val="21"/>
          <w:szCs w:val="21"/>
        </w:rPr>
        <w:t xml:space="preserve">. The liability stays where it already lives, and the contador becomes an ally in the sale instead of a skeptic. São Paulo municípios first; others as customers bring them.</w:t>
      </w:r>
    </w:p>
    <w:p>
      <w:pPr>
        <w:spacing w:after="140" w:before="0" w:line="264"/>
      </w:pPr>
      <w:r>
        <w:rPr>
          <w:rFonts w:ascii="Calibri" w:cs="Calibri" w:eastAsia="Calibri" w:hAnsi="Calibri"/>
          <w:b/>
          <w:bCs/>
          <w:i w:val="false"/>
          <w:iCs w:val="false"/>
          <w:sz w:val="21"/>
          <w:szCs w:val="21"/>
        </w:rPr>
        <w:t xml:space="preserve">Month-one mandatory spend: ~R$ 3.000 with a tax accountant specialized in agencies</w:t>
      </w:r>
      <w:r>
        <w:rPr>
          <w:rFonts w:ascii="Calibri" w:cs="Calibri" w:eastAsia="Calibri" w:hAnsi="Calibri"/>
          <w:sz w:val="21"/>
          <w:szCs w:val="21"/>
        </w:rPr>
        <w:t xml:space="preserve"> to validate the retention matrix on paper before any client is quoted. This is the only external dependency in the build, and it is cheap.</w:t>
      </w:r>
    </w:p>
    <w:p>
      <w:pPr>
        <w:pStyle w:val="Heading2"/>
        <w:spacing w:after="120" w:before="220"/>
      </w:pPr>
      <w:r>
        <w:rPr>
          <w:rFonts w:ascii="Calibri" w:cs="Calibri" w:eastAsia="Calibri" w:hAnsi="Calibri"/>
          <w:b/>
          <w:bCs/>
          <w:color w:val="1F3B38"/>
          <w:sz w:val="24"/>
          <w:szCs w:val="24"/>
        </w:rPr>
        <w:t xml:space="preserve">Build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2"/>
        <w:gridCol w:w="5953"/>
        <w:gridCol w:w="1920"/>
      </w:tblGrid>
      <w:tr>
        <w:trPr>
          <w:tblHeader/>
        </w:trPr>
        <w:tc>
          <w:tcPr>
            <w:tcW w:type="dxa" w:w="1152"/>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Ver</w:t>
            </w:r>
          </w:p>
        </w:tc>
        <w:tc>
          <w:tcPr>
            <w:tcW w:type="dxa" w:w="5953"/>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Scope</w:t>
            </w:r>
          </w:p>
        </w:tc>
        <w:tc>
          <w:tcPr>
            <w:tcW w:type="dxa" w:w="1920"/>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Time</w:t>
            </w:r>
          </w:p>
        </w:tc>
      </w:tr>
      <w:tr>
        <w:trPr>
          <w:tblHeader w:val="false"/>
        </w:trPr>
        <w:tc>
          <w:tcPr>
            <w:tcW w:type="dxa" w:w="1152"/>
            <w:tcMar>
              <w:top w:type="dxa" w:w="70"/>
              <w:left w:type="dxa" w:w="110"/>
              <w:bottom w:type="dxa" w:w="70"/>
              <w:right w:type="dxa" w:w="110"/>
            </w:tcMar>
          </w:tcPr>
          <w:p>
            <w:pPr>
              <w:spacing w:after="0" w:line="240"/>
            </w:pPr>
            <w:r>
              <w:rPr>
                <w:rFonts w:ascii="Calibri" w:cs="Calibri" w:eastAsia="Calibri" w:hAnsi="Calibri"/>
                <w:sz w:val="21"/>
                <w:szCs w:val="21"/>
              </w:rPr>
              <w:t xml:space="preserve">v0</w:t>
            </w:r>
          </w:p>
        </w:tc>
        <w:tc>
          <w:tcPr>
            <w:tcW w:type="dxa" w:w="5953"/>
            <w:tcMar>
              <w:top w:type="dxa" w:w="70"/>
              <w:left w:type="dxa" w:w="110"/>
              <w:bottom w:type="dxa" w:w="70"/>
              <w:right w:type="dxa" w:w="110"/>
            </w:tcMar>
          </w:tcPr>
          <w:p>
            <w:pPr>
              <w:spacing w:after="0" w:line="240"/>
            </w:pPr>
            <w:r>
              <w:rPr>
                <w:rFonts w:ascii="Calibri" w:cs="Calibri" w:eastAsia="Calibri" w:hAnsi="Calibri"/>
                <w:sz w:val="21"/>
                <w:szCs w:val="21"/>
              </w:rPr>
              <w:t xml:space="preserve">Three tables, magic links, NF upload + validation + gate, retention from rules table, manual "Pagar" batch via Asaas, pendentes broadcast button</w:t>
            </w:r>
          </w:p>
        </w:tc>
        <w:tc>
          <w:tcPr>
            <w:tcW w:type="dxa" w:w="1920"/>
            <w:tcMar>
              <w:top w:type="dxa" w:w="70"/>
              <w:left w:type="dxa" w:w="110"/>
              <w:bottom w:type="dxa" w:w="70"/>
              <w:right w:type="dxa" w:w="110"/>
            </w:tcMar>
          </w:tcPr>
          <w:p>
            <w:pPr>
              <w:spacing w:after="0" w:line="240"/>
            </w:pPr>
            <w:r>
              <w:rPr>
                <w:rFonts w:ascii="Calibri" w:cs="Calibri" w:eastAsia="Calibri" w:hAnsi="Calibri"/>
                <w:sz w:val="21"/>
                <w:szCs w:val="21"/>
              </w:rPr>
              <w:t xml:space="preserve">~2 weeks</w:t>
            </w:r>
          </w:p>
        </w:tc>
      </w:tr>
      <w:tr>
        <w:trPr>
          <w:tblHeader w:val="false"/>
        </w:trPr>
        <w:tc>
          <w:tcPr>
            <w:tcW w:type="dxa" w:w="1152"/>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v1</w:t>
            </w:r>
          </w:p>
        </w:tc>
        <w:tc>
          <w:tcPr>
            <w:tcW w:type="dxa" w:w="5953"/>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 automatic retry, creator statement polish, contador close-pack export, band metering</w:t>
            </w:r>
          </w:p>
        </w:tc>
        <w:tc>
          <w:tcPr>
            <w:tcW w:type="dxa" w:w="1920"/>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+4 weeks</w:t>
            </w:r>
          </w:p>
        </w:tc>
      </w:tr>
      <w:tr>
        <w:trPr>
          <w:tblHeader w:val="false"/>
        </w:trPr>
        <w:tc>
          <w:tcPr>
            <w:tcW w:type="dxa" w:w="1152"/>
            <w:tcMar>
              <w:top w:type="dxa" w:w="70"/>
              <w:left w:type="dxa" w:w="110"/>
              <w:bottom w:type="dxa" w:w="70"/>
              <w:right w:type="dxa" w:w="110"/>
            </w:tcMar>
          </w:tcPr>
          <w:p>
            <w:pPr>
              <w:spacing w:after="0" w:line="240"/>
            </w:pPr>
            <w:r>
              <w:rPr>
                <w:rFonts w:ascii="Calibri" w:cs="Calibri" w:eastAsia="Calibri" w:hAnsi="Calibri"/>
                <w:sz w:val="21"/>
                <w:szCs w:val="21"/>
              </w:rPr>
              <w:t xml:space="preserve">v2</w:t>
            </w:r>
          </w:p>
        </w:tc>
        <w:tc>
          <w:tcPr>
            <w:tcW w:type="dxa" w:w="5953"/>
            <w:tcMar>
              <w:top w:type="dxa" w:w="70"/>
              <w:left w:type="dxa" w:w="110"/>
              <w:bottom w:type="dxa" w:w="70"/>
              <w:right w:type="dxa" w:w="110"/>
            </w:tcMar>
          </w:tcPr>
          <w:p>
            <w:pPr>
              <w:spacing w:after="0" w:line="240"/>
            </w:pPr>
            <w:r>
              <w:rPr>
                <w:rFonts w:ascii="Calibri" w:cs="Calibri" w:eastAsia="Calibri" w:hAnsi="Calibri"/>
                <w:sz w:val="21"/>
                <w:szCs w:val="21"/>
              </w:rPr>
              <w:t xml:space="preserve">+ WhatsApp Cloud API auto-chase (spec already owned from prior project — a port, not a build), auto-NFS-e for MEI via the national API, more municípios</w:t>
            </w:r>
          </w:p>
        </w:tc>
        <w:tc>
          <w:tcPr>
            <w:tcW w:type="dxa" w:w="1920"/>
            <w:tcMar>
              <w:top w:type="dxa" w:w="70"/>
              <w:left w:type="dxa" w:w="110"/>
              <w:bottom w:type="dxa" w:w="70"/>
              <w:right w:type="dxa" w:w="110"/>
            </w:tcMar>
          </w:tcPr>
          <w:p>
            <w:pPr>
              <w:spacing w:after="0" w:line="240"/>
            </w:pPr>
            <w:r>
              <w:rPr>
                <w:rFonts w:ascii="Calibri" w:cs="Calibri" w:eastAsia="Calibri" w:hAnsi="Calibri"/>
                <w:sz w:val="21"/>
                <w:szCs w:val="21"/>
              </w:rPr>
              <w:t xml:space="preserve">later</w:t>
            </w:r>
          </w:p>
        </w:tc>
      </w:tr>
    </w:tbl>
    <w:p>
      <w:pPr>
        <w:spacing w:after="100"/>
      </w:pPr>
    </w:p>
    <w:p>
      <w:pPr>
        <w:spacing w:after="140" w:before="0" w:line="264"/>
      </w:pPr>
      <w:r>
        <w:rPr>
          <w:rFonts w:ascii="Calibri" w:cs="Calibri" w:eastAsia="Calibri" w:hAnsi="Calibri"/>
          <w:b/>
          <w:bCs/>
          <w:i w:val="false"/>
          <w:iCs w:val="false"/>
          <w:sz w:val="21"/>
          <w:szCs w:val="21"/>
        </w:rPr>
        <w:t xml:space="preserve">Six weeks to a paying pilot.</w:t>
      </w:r>
      <w:r>
        <w:rPr>
          <w:rFonts w:ascii="Calibri" w:cs="Calibri" w:eastAsia="Calibri" w:hAnsi="Calibri"/>
          <w:sz w:val="21"/>
          <w:szCs w:val="21"/>
        </w:rPr>
        <w:t xml:space="preserve"> The WhatsApp Cloud API integration — Tech Provider path, Embedded Signup, template approval, quality tiers, error handling — is already fully specified in the founder’s ~61.000-word Caixa Cheia document and transfers essentially unchanged.</w:t>
      </w:r>
    </w:p>
    <w:p>
      <w:pPr>
        <w:pStyle w:val="Heading2"/>
        <w:spacing w:after="120" w:before="220"/>
      </w:pPr>
      <w:r>
        <w:rPr>
          <w:rFonts w:ascii="Calibri" w:cs="Calibri" w:eastAsia="Calibri" w:hAnsi="Calibri"/>
          <w:b/>
          <w:bCs/>
          <w:color w:val="1F3B38"/>
          <w:sz w:val="24"/>
          <w:szCs w:val="24"/>
        </w:rPr>
        <w:t xml:space="preserve">Where to spend the polish</w:t>
      </w:r>
    </w:p>
    <w:p>
      <w:pPr>
        <w:spacing w:after="140" w:before="0" w:line="264"/>
      </w:pPr>
      <w:r>
        <w:rPr>
          <w:rFonts w:ascii="Calibri" w:cs="Calibri" w:eastAsia="Calibri" w:hAnsi="Calibri"/>
          <w:sz w:val="21"/>
          <w:szCs w:val="21"/>
        </w:rPr>
        <w:t xml:space="preserve">Not on the agency’s board — it is a table with colored dots. Spend it on </w:t>
      </w:r>
      <w:r>
        <w:rPr>
          <w:rFonts w:ascii="Calibri" w:cs="Calibri" w:eastAsia="Calibri" w:hAnsi="Calibri"/>
          <w:b/>
          <w:bCs/>
          <w:i w:val="false"/>
          <w:iCs w:val="false"/>
          <w:sz w:val="21"/>
          <w:szCs w:val="21"/>
        </w:rPr>
        <w:t xml:space="preserve">the creator’s statement</w:t>
      </w:r>
      <w:r>
        <w:rPr>
          <w:rFonts w:ascii="Calibri" w:cs="Calibri" w:eastAsia="Calibri" w:hAnsi="Calibri"/>
          <w:sz w:val="21"/>
          <w:szCs w:val="21"/>
        </w:rPr>
        <w:t xml:space="preserve"> (creators screenshot it and show each other; it is the marketing) and </w:t>
      </w:r>
      <w:r>
        <w:rPr>
          <w:rFonts w:ascii="Calibri" w:cs="Calibri" w:eastAsia="Calibri" w:hAnsi="Calibri"/>
          <w:b/>
          <w:bCs/>
          <w:i w:val="false"/>
          <w:iCs w:val="false"/>
          <w:sz w:val="21"/>
          <w:szCs w:val="21"/>
        </w:rPr>
        <w:t xml:space="preserve">the contador’s export</w:t>
      </w:r>
      <w:r>
        <w:rPr>
          <w:rFonts w:ascii="Calibri" w:cs="Calibri" w:eastAsia="Calibri" w:hAnsi="Calibri"/>
          <w:sz w:val="21"/>
          <w:szCs w:val="21"/>
        </w:rPr>
        <w:t xml:space="preserve"> (one clean file turns him from skeptic into referrer).</w:t>
      </w:r>
    </w:p>
    <w:p>
      <w:r>
        <w:br w:type="page"/>
      </w:r>
    </w:p>
    <w:p>
      <w:pPr>
        <w:pStyle w:val="Heading1"/>
        <w:spacing w:after="160" w:before="320"/>
      </w:pPr>
      <w:r>
        <w:rPr>
          <w:rFonts w:ascii="Calibri" w:cs="Calibri" w:eastAsia="Calibri" w:hAnsi="Calibri"/>
          <w:b/>
          <w:bCs/>
          <w:color w:val="0B5E55"/>
          <w:sz w:val="30"/>
          <w:szCs w:val="30"/>
        </w:rPr>
        <w:t xml:space="preserve">11. WHAT THE FOUNDER MUST REFUSE TO BUILD</w:t>
      </w:r>
    </w:p>
    <w:p>
      <w:pPr>
        <w:pStyle w:val="ListParagraph"/>
        <w:numPr>
          <w:ilvl w:val="0"/>
          <w:numId w:val="7"/>
        </w:numPr>
        <w:spacing w:after="90" w:before="0" w:line="264"/>
      </w:pPr>
      <w:r>
        <w:rPr>
          <w:rFonts w:ascii="Calibri" w:cs="Calibri" w:eastAsia="Calibri" w:hAnsi="Calibri"/>
          <w:b/>
          <w:bCs/>
          <w:i w:val="false"/>
          <w:iCs w:val="false"/>
          <w:sz w:val="21"/>
          <w:szCs w:val="21"/>
        </w:rPr>
        <w:t xml:space="preserve">Antecipação, adiantamento, or any credit to creators. </w:t>
      </w:r>
      <w:r>
        <w:rPr>
          <w:rFonts w:ascii="Calibri" w:cs="Calibri" w:eastAsia="Calibri" w:hAnsi="Calibri"/>
          <w:sz w:val="21"/>
          <w:szCs w:val="21"/>
        </w:rPr>
        <w:t xml:space="preserve">This is Pora’s differentiator and it requires a balance sheet. Matching it converts a software business into a lending business with the founder’s own capital at risk on 45–90-day agency payment terms. Refused permanently, not "for now."</w:t>
      </w:r>
    </w:p>
    <w:p>
      <w:pPr>
        <w:pStyle w:val="ListParagraph"/>
        <w:numPr>
          <w:ilvl w:val="0"/>
          <w:numId w:val="7"/>
        </w:numPr>
        <w:spacing w:after="90" w:before="0" w:line="264"/>
      </w:pPr>
      <w:r>
        <w:rPr>
          <w:rFonts w:ascii="Calibri" w:cs="Calibri" w:eastAsia="Calibri" w:hAnsi="Calibri"/>
          <w:b/>
          <w:bCs/>
          <w:i w:val="false"/>
          <w:iCs w:val="false"/>
          <w:sz w:val="21"/>
          <w:szCs w:val="21"/>
        </w:rPr>
        <w:t xml:space="preserve">A brand↔creator marketplace, discovery, or matchmaking. </w:t>
      </w:r>
      <w:r>
        <w:rPr>
          <w:rFonts w:ascii="Calibri" w:cs="Calibri" w:eastAsia="Calibri" w:hAnsi="Calibri"/>
          <w:sz w:val="21"/>
          <w:szCs w:val="21"/>
        </w:rPr>
        <w:t xml:space="preserve">Two-sided cold start, and Squid (acquired by Locaweb for R$ 176M) owns it.</w:t>
      </w:r>
    </w:p>
    <w:p>
      <w:pPr>
        <w:pStyle w:val="ListParagraph"/>
        <w:numPr>
          <w:ilvl w:val="0"/>
          <w:numId w:val="7"/>
        </w:numPr>
        <w:spacing w:after="90" w:before="0" w:line="264"/>
      </w:pPr>
      <w:r>
        <w:rPr>
          <w:rFonts w:ascii="Calibri" w:cs="Calibri" w:eastAsia="Calibri" w:hAnsi="Calibri"/>
          <w:b/>
          <w:bCs/>
          <w:i w:val="false"/>
          <w:iCs w:val="false"/>
          <w:sz w:val="21"/>
          <w:szCs w:val="21"/>
        </w:rPr>
        <w:t xml:space="preserve">Campaign management — briefings, approvals, media metrics, reporting. </w:t>
      </w:r>
      <w:r>
        <w:rPr>
          <w:rFonts w:ascii="Calibri" w:cs="Calibri" w:eastAsia="Calibri" w:hAnsi="Calibri"/>
          <w:sz w:val="21"/>
          <w:szCs w:val="21"/>
        </w:rPr>
        <w:t xml:space="preserve">The agency’s core competence and an unwinnable feature war that drags the price back to the R$ 500/month SaaS band.</w:t>
      </w:r>
    </w:p>
    <w:p>
      <w:pPr>
        <w:spacing w:after="140" w:before="0" w:line="264"/>
      </w:pPr>
      <w:r>
        <w:rPr>
          <w:rFonts w:ascii="Calibri" w:cs="Calibri" w:eastAsia="Calibri" w:hAnsi="Calibri"/>
          <w:b/>
          <w:bCs/>
          <w:i w:val="false"/>
          <w:iCs w:val="false"/>
          <w:sz w:val="21"/>
          <w:szCs w:val="21"/>
        </w:rPr>
        <w:t xml:space="preserve">Structural refusals: </w:t>
      </w:r>
      <w:r>
        <w:rPr>
          <w:rFonts w:ascii="Calibri" w:cs="Calibri" w:eastAsia="Calibri" w:hAnsi="Calibri"/>
          <w:sz w:val="21"/>
          <w:szCs w:val="21"/>
        </w:rPr>
        <w:t xml:space="preserve">never custody funds (client of a licensed IP, never an IP — Res. BCB 494/2025 closed the grow-into-a-license path permanently); never become the contracting party for the creator (vínculo and responsabilidade solidária exposure that cannot be insured); never accept a per-transaction human review clause (the exception queue belongs to the creator).</w:t>
      </w:r>
    </w:p>
    <w:p>
      <w:pPr>
        <w:spacing w:after="60"/>
      </w:pPr>
    </w:p>
    <w:p>
      <w:pPr>
        <w:pStyle w:val="Heading1"/>
        <w:spacing w:after="160" w:before="320"/>
      </w:pPr>
      <w:r>
        <w:rPr>
          <w:rFonts w:ascii="Calibri" w:cs="Calibri" w:eastAsia="Calibri" w:hAnsi="Calibri"/>
          <w:b/>
          <w:bCs/>
          <w:color w:val="0B5E55"/>
          <w:sz w:val="30"/>
          <w:szCs w:val="30"/>
        </w:rPr>
        <w:t xml:space="preserve">12. WHAT KILLS IT — AND THE LEADING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97"/>
        <w:gridCol w:w="5829"/>
      </w:tblGrid>
      <w:tr>
        <w:trPr>
          <w:tblHeader/>
        </w:trPr>
        <w:tc>
          <w:tcPr>
            <w:tcW w:type="dxa" w:w="3197"/>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Death</w:t>
            </w:r>
          </w:p>
        </w:tc>
        <w:tc>
          <w:tcPr>
            <w:tcW w:type="dxa" w:w="5829"/>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Leading indicator</w:t>
            </w:r>
          </w:p>
        </w:tc>
      </w:tr>
      <w:tr>
        <w:trPr>
          <w:tblHeader w:val="false"/>
        </w:trPr>
        <w:tc>
          <w:tcPr>
            <w:tcW w:type="dxa" w:w="3197"/>
            <w:tcMar>
              <w:top w:type="dxa" w:w="70"/>
              <w:left w:type="dxa" w:w="110"/>
              <w:bottom w:type="dxa" w:w="70"/>
              <w:right w:type="dxa" w:w="110"/>
            </w:tcMar>
          </w:tcPr>
          <w:p>
            <w:pPr>
              <w:spacing w:after="0" w:line="240"/>
            </w:pPr>
            <w:r>
              <w:rPr>
                <w:rFonts w:ascii="Calibri" w:cs="Calibri" w:eastAsia="Calibri" w:hAnsi="Calibri"/>
                <w:b/>
                <w:bCs/>
                <w:i w:val="false"/>
                <w:iCs w:val="false"/>
                <w:sz w:val="21"/>
                <w:szCs w:val="21"/>
              </w:rPr>
              <w:t xml:space="preserve">#1 — The agency takes the software, refuses the rail. </w:t>
            </w:r>
            <w:r>
              <w:rPr>
                <w:rFonts w:ascii="Calibri" w:cs="Calibri" w:eastAsia="Calibri" w:hAnsi="Calibri"/>
                <w:sz w:val="21"/>
                <w:szCs w:val="21"/>
              </w:rPr>
              <w:t xml:space="preserve">"Manda o arquivo que a gente paga pelo Itaú." The R$ 5.900 becomes R$ 1.800-band NF software: near the money, not on it — exactly how Aval died.</w:t>
            </w:r>
          </w:p>
        </w:tc>
        <w:tc>
          <w:tcPr>
            <w:tcW w:type="dxa" w:w="5829"/>
            <w:tcMar>
              <w:top w:type="dxa" w:w="70"/>
              <w:left w:type="dxa" w:w="110"/>
              <w:bottom w:type="dxa" w:w="70"/>
              <w:right w:type="dxa" w:w="110"/>
            </w:tcMar>
          </w:tcPr>
          <w:p>
            <w:pPr>
              <w:spacing w:after="0" w:line="240"/>
            </w:pPr>
            <w:r>
              <w:rPr>
                <w:rFonts w:ascii="Calibri" w:cs="Calibri" w:eastAsia="Calibri" w:hAnsi="Calibri"/>
                <w:sz w:val="21"/>
                <w:szCs w:val="21"/>
              </w:rPr>
              <w:t xml:space="preserve">In pilot #1, the financeiro asks for a CNAB/remessa export instead of paying inside the product. If the request survives one conversation, stop within the week rather than build the other 80%.</w:t>
            </w:r>
          </w:p>
        </w:tc>
      </w:tr>
      <w:tr>
        <w:trPr>
          <w:tblHeader w:val="false"/>
        </w:trPr>
        <w:tc>
          <w:tcPr>
            <w:tcW w:type="dxa" w:w="3197"/>
            <w:shd w:fill="F4F9F8" w:val="clear"/>
            <w:tcMar>
              <w:top w:type="dxa" w:w="70"/>
              <w:left w:type="dxa" w:w="110"/>
              <w:bottom w:type="dxa" w:w="70"/>
              <w:right w:type="dxa" w:w="110"/>
            </w:tcMar>
          </w:tcPr>
          <w:p>
            <w:pPr>
              <w:spacing w:after="0" w:line="240"/>
            </w:pPr>
            <w:r>
              <w:rPr>
                <w:rFonts w:ascii="Calibri" w:cs="Calibri" w:eastAsia="Calibri" w:hAnsi="Calibri"/>
                <w:b/>
                <w:bCs/>
                <w:i w:val="false"/>
                <w:iCs w:val="false"/>
                <w:sz w:val="21"/>
                <w:szCs w:val="21"/>
              </w:rPr>
              <w:t xml:space="preserve">#2 — The market is smaller than estimated. </w:t>
            </w:r>
            <w:r>
              <w:rPr>
                <w:rFonts w:ascii="Calibri" w:cs="Calibri" w:eastAsia="Calibri" w:hAnsi="Calibri"/>
                <w:sz w:val="21"/>
                <w:szCs w:val="21"/>
              </w:rPr>
              <w:t xml:space="preserve">If fewer than ~60 agencies settle above R$ 100k/month, penetration required breaks Filter 1.</w:t>
            </w:r>
          </w:p>
        </w:tc>
        <w:tc>
          <w:tcPr>
            <w:tcW w:type="dxa" w:w="5829"/>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The 10-day test: 3+ of 5 network agencies under R$ 100k/month volume. Also directly researchable from the YOUPIX directory + CNPJ data before building.</w:t>
            </w:r>
          </w:p>
        </w:tc>
      </w:tr>
      <w:tr>
        <w:trPr>
          <w:tblHeader w:val="false"/>
        </w:trPr>
        <w:tc>
          <w:tcPr>
            <w:tcW w:type="dxa" w:w="3197"/>
            <w:tcMar>
              <w:top w:type="dxa" w:w="70"/>
              <w:left w:type="dxa" w:w="110"/>
              <w:bottom w:type="dxa" w:w="70"/>
              <w:right w:type="dxa" w:w="110"/>
            </w:tcMar>
          </w:tcPr>
          <w:p>
            <w:pPr>
              <w:spacing w:after="0" w:line="240"/>
            </w:pPr>
            <w:r>
              <w:rPr>
                <w:rFonts w:ascii="Calibri" w:cs="Calibri" w:eastAsia="Calibri" w:hAnsi="Calibri"/>
                <w:b/>
                <w:bCs/>
                <w:i w:val="false"/>
                <w:iCs w:val="false"/>
                <w:sz w:val="21"/>
                <w:szCs w:val="21"/>
              </w:rPr>
              <w:t xml:space="preserve">#3 — The pain is smaller than estimated. </w:t>
            </w:r>
            <w:r>
              <w:rPr>
                <w:rFonts w:ascii="Calibri" w:cs="Calibri" w:eastAsia="Calibri" w:hAnsi="Calibri"/>
                <w:sz w:val="21"/>
                <w:szCs w:val="21"/>
              </w:rPr>
              <w:t xml:space="preserve">If the NF chase is a 3-hour nuisance, the spreadsheet wins forever.</w:t>
            </w:r>
          </w:p>
        </w:tc>
        <w:tc>
          <w:tcPr>
            <w:tcW w:type="dxa" w:w="5829"/>
            <w:tcMar>
              <w:top w:type="dxa" w:w="70"/>
              <w:left w:type="dxa" w:w="110"/>
              <w:bottom w:type="dxa" w:w="70"/>
              <w:right w:type="dxa" w:w="110"/>
            </w:tcMar>
          </w:tcPr>
          <w:p>
            <w:pPr>
              <w:spacing w:after="0" w:line="240"/>
            </w:pPr>
            <w:r>
              <w:rPr>
                <w:rFonts w:ascii="Calibri" w:cs="Calibri" w:eastAsia="Calibri" w:hAnsi="Calibri"/>
                <w:sz w:val="21"/>
                <w:szCs w:val="21"/>
              </w:rPr>
              <w:t xml:space="preserve">The 10-day test, question 1. Under 4 hours/month at 3+ agencies = stop.</w:t>
            </w:r>
          </w:p>
        </w:tc>
      </w:tr>
      <w:tr>
        <w:trPr>
          <w:tblHeader w:val="false"/>
        </w:trPr>
        <w:tc>
          <w:tcPr>
            <w:tcW w:type="dxa" w:w="3197"/>
            <w:shd w:fill="F4F9F8" w:val="clear"/>
            <w:tcMar>
              <w:top w:type="dxa" w:w="70"/>
              <w:left w:type="dxa" w:w="110"/>
              <w:bottom w:type="dxa" w:w="70"/>
              <w:right w:type="dxa" w:w="110"/>
            </w:tcMar>
          </w:tcPr>
          <w:p>
            <w:pPr>
              <w:spacing w:after="0" w:line="240"/>
            </w:pPr>
            <w:r>
              <w:rPr>
                <w:rFonts w:ascii="Calibri" w:cs="Calibri" w:eastAsia="Calibri" w:hAnsi="Calibri"/>
                <w:b/>
                <w:bCs/>
                <w:i w:val="false"/>
                <w:iCs w:val="false"/>
                <w:sz w:val="21"/>
                <w:szCs w:val="21"/>
              </w:rPr>
              <w:t xml:space="preserve">#4 — An incumbent wakes up. </w:t>
            </w:r>
            <w:r>
              <w:rPr>
                <w:rFonts w:ascii="Calibri" w:cs="Calibri" w:eastAsia="Calibri" w:hAnsi="Calibri"/>
                <w:sz w:val="21"/>
                <w:szCs w:val="21"/>
              </w:rPr>
              <w:t xml:space="preserve">Squid or a large agency-management suite ships retention-at-source.</w:t>
            </w:r>
          </w:p>
        </w:tc>
        <w:tc>
          <w:tcPr>
            <w:tcW w:type="dxa" w:w="5829"/>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Watch Squid’s product announcements; monitor Pora’s customer count. Neither is evidenced as building it today.</w:t>
            </w:r>
          </w:p>
        </w:tc>
      </w:tr>
    </w:tbl>
    <w:p>
      <w:pPr>
        <w:spacing w:after="100"/>
      </w:pPr>
    </w:p>
    <w:p>
      <w:pPr>
        <w:pStyle w:val="Heading1"/>
        <w:spacing w:after="160" w:before="320"/>
      </w:pPr>
      <w:r>
        <w:rPr>
          <w:rFonts w:ascii="Calibri" w:cs="Calibri" w:eastAsia="Calibri" w:hAnsi="Calibri"/>
          <w:b/>
          <w:bCs/>
          <w:color w:val="0B5E55"/>
          <w:sz w:val="30"/>
          <w:szCs w:val="30"/>
        </w:rPr>
        <w:t xml:space="preserve">13. WHAT IS NOT YET VERIFIED — THE HONESTY SECTION</w:t>
      </w:r>
    </w:p>
    <w:p>
      <w:pPr>
        <w:pStyle w:val="ListParagraph"/>
        <w:numPr>
          <w:ilvl w:val="0"/>
          <w:numId w:val="3"/>
        </w:numPr>
        <w:spacing w:after="90" w:before="0" w:line="264"/>
      </w:pPr>
      <w:r>
        <w:rPr>
          <w:rFonts w:ascii="Calibri" w:cs="Calibri" w:eastAsia="Calibri" w:hAnsi="Calibri"/>
          <w:b/>
          <w:bCs/>
          <w:i w:val="false"/>
          <w:iCs w:val="false"/>
          <w:sz w:val="21"/>
          <w:szCs w:val="21"/>
        </w:rPr>
        <w:t xml:space="preserve">No real buyer has said yes to any price. </w:t>
      </w:r>
      <w:r>
        <w:rPr>
          <w:rFonts w:ascii="Calibri" w:cs="Calibri" w:eastAsia="Calibri" w:hAnsi="Calibri"/>
          <w:sz w:val="21"/>
          <w:szCs w:val="21"/>
        </w:rPr>
        <w:t xml:space="preserve">R$ 2.900/5.900 is anchored to a published competitor band and to hiring costs — not to a director’s mouth. The 10-day test exists to fix exactly this.</w:t>
      </w:r>
    </w:p>
    <w:p>
      <w:pPr>
        <w:pStyle w:val="ListParagraph"/>
        <w:numPr>
          <w:ilvl w:val="0"/>
          <w:numId w:val="3"/>
        </w:numPr>
        <w:spacing w:after="90" w:before="0" w:line="264"/>
      </w:pPr>
      <w:r>
        <w:rPr>
          <w:rFonts w:ascii="Calibri" w:cs="Calibri" w:eastAsia="Calibri" w:hAnsi="Calibri"/>
          <w:b/>
          <w:bCs/>
          <w:i w:val="false"/>
          <w:iCs w:val="false"/>
          <w:sz w:val="21"/>
          <w:szCs w:val="21"/>
        </w:rPr>
        <w:t xml:space="preserve">The agency census (150–400; 100–200 above R$ 100k/month) is ESTIMATED. </w:t>
      </w:r>
      <w:r>
        <w:rPr>
          <w:rFonts w:ascii="Calibri" w:cs="Calibri" w:eastAsia="Calibri" w:hAnsi="Calibri"/>
          <w:sz w:val="21"/>
          <w:szCs w:val="21"/>
        </w:rPr>
        <w:t xml:space="preserve">No verified count exists. Researchable from the YOUPIX directory, CNPJ registries and headcount proxies before commitment.</w:t>
      </w:r>
    </w:p>
    <w:p>
      <w:pPr>
        <w:pStyle w:val="ListParagraph"/>
        <w:numPr>
          <w:ilvl w:val="0"/>
          <w:numId w:val="3"/>
        </w:numPr>
        <w:spacing w:after="90" w:before="0" w:line="264"/>
      </w:pPr>
      <w:r>
        <w:rPr>
          <w:rFonts w:ascii="Calibri" w:cs="Calibri" w:eastAsia="Calibri" w:hAnsi="Calibri"/>
          <w:b/>
          <w:bCs/>
          <w:i w:val="false"/>
          <w:iCs w:val="false"/>
          <w:sz w:val="21"/>
          <w:szCs w:val="21"/>
        </w:rPr>
        <w:t xml:space="preserve">The retention matrix must be validated by a tax accountant </w:t>
      </w:r>
      <w:r>
        <w:rPr>
          <w:rFonts w:ascii="Calibri" w:cs="Calibri" w:eastAsia="Calibri" w:hAnsi="Calibri"/>
          <w:sz w:val="21"/>
          <w:szCs w:val="21"/>
        </w:rPr>
        <w:t xml:space="preserve">(~R$ 3.000, month one) before any client is quoted. The rates vary by service code, regime and município and must not be asserted from memory.</w:t>
      </w:r>
    </w:p>
    <w:p>
      <w:pPr>
        <w:pStyle w:val="ListParagraph"/>
        <w:numPr>
          <w:ilvl w:val="0"/>
          <w:numId w:val="3"/>
        </w:numPr>
        <w:spacing w:after="90" w:before="0" w:line="264"/>
      </w:pPr>
      <w:r>
        <w:rPr>
          <w:rFonts w:ascii="Calibri" w:cs="Calibri" w:eastAsia="Calibri" w:hAnsi="Calibri"/>
          <w:b/>
          <w:bCs/>
          <w:i w:val="false"/>
          <w:iCs w:val="false"/>
          <w:sz w:val="21"/>
          <w:szCs w:val="21"/>
        </w:rPr>
        <w:t xml:space="preserve">The 2027 IBS/CBS split-payment exposure </w:t>
      </w:r>
      <w:r>
        <w:rPr>
          <w:rFonts w:ascii="Calibri" w:cs="Calibri" w:eastAsia="Calibri" w:hAnsi="Calibri"/>
          <w:sz w:val="21"/>
          <w:szCs w:val="21"/>
        </w:rPr>
        <w:t xml:space="preserve">for a platform executing payouts needs a fintech lawyer’s reading — flat-fee invoicing plausibly reduces it, but that is an argument, not an opinion of counsel.</w:t>
      </w:r>
    </w:p>
    <w:p>
      <w:pPr>
        <w:pStyle w:val="ListParagraph"/>
        <w:numPr>
          <w:ilvl w:val="0"/>
          <w:numId w:val="3"/>
        </w:numPr>
        <w:spacing w:after="90" w:before="0" w:line="264"/>
      </w:pPr>
      <w:r>
        <w:rPr>
          <w:rFonts w:ascii="Calibri" w:cs="Calibri" w:eastAsia="Calibri" w:hAnsi="Calibri"/>
          <w:b/>
          <w:bCs/>
          <w:i w:val="false"/>
          <w:iCs w:val="false"/>
          <w:sz w:val="21"/>
          <w:szCs w:val="21"/>
        </w:rPr>
        <w:t xml:space="preserve">Average settled volume per agency (R$ 180k/month assumed in the Pro-band arithmetic) is an estimate. </w:t>
      </w:r>
      <w:r>
        <w:rPr>
          <w:rFonts w:ascii="Calibri" w:cs="Calibri" w:eastAsia="Calibri" w:hAnsi="Calibri"/>
          <w:sz w:val="21"/>
          <w:szCs w:val="21"/>
        </w:rPr>
        <w:t xml:space="preserve">Question 1 of the test replaces it with five real numbers.</w:t>
      </w:r>
    </w:p>
    <w:p>
      <w:pPr>
        <w:spacing w:after="60"/>
      </w:pPr>
    </w:p>
    <w:p>
      <w:pPr>
        <w:pStyle w:val="Heading1"/>
        <w:spacing w:after="160" w:before="320"/>
      </w:pPr>
      <w:r>
        <w:rPr>
          <w:rFonts w:ascii="Calibri" w:cs="Calibri" w:eastAsia="Calibri" w:hAnsi="Calibri"/>
          <w:b/>
          <w:bCs/>
          <w:color w:val="0B5E55"/>
          <w:sz w:val="30"/>
          <w:szCs w:val="30"/>
        </w:rPr>
        <w:t xml:space="preserve">14. THE 90-DAY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7334"/>
      </w:tblGrid>
      <w:tr>
        <w:trPr>
          <w:tblHeader/>
        </w:trPr>
        <w:tc>
          <w:tcPr>
            <w:tcW w:type="dxa" w:w="1692"/>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Days</w:t>
            </w:r>
          </w:p>
        </w:tc>
        <w:tc>
          <w:tcPr>
            <w:tcW w:type="dxa" w:w="7334"/>
            <w:shd w:fill="0B5E55" w:val="clear"/>
            <w:tcMar>
              <w:top w:type="dxa" w:w="70"/>
              <w:left w:type="dxa" w:w="110"/>
              <w:bottom w:type="dxa" w:w="70"/>
              <w:right w:type="dxa" w:w="110"/>
            </w:tcMar>
          </w:tcPr>
          <w:p>
            <w:pPr>
              <w:spacing w:after="0" w:line="240"/>
            </w:pPr>
            <w:r>
              <w:rPr>
                <w:rFonts w:ascii="Calibri" w:cs="Calibri" w:eastAsia="Calibri" w:hAnsi="Calibri"/>
                <w:b/>
                <w:bCs/>
                <w:i w:val="false"/>
                <w:iCs w:val="false"/>
                <w:color w:val="FFFFFF"/>
                <w:sz w:val="21"/>
                <w:szCs w:val="21"/>
              </w:rPr>
              <w:t xml:space="preserve">What happens</w:t>
            </w:r>
          </w:p>
        </w:tc>
      </w:tr>
      <w:tr>
        <w:trPr>
          <w:tblHeader w:val="false"/>
        </w:trPr>
        <w:tc>
          <w:tcPr>
            <w:tcW w:type="dxa" w:w="1692"/>
            <w:tcMar>
              <w:top w:type="dxa" w:w="70"/>
              <w:left w:type="dxa" w:w="110"/>
              <w:bottom w:type="dxa" w:w="70"/>
              <w:right w:type="dxa" w:w="110"/>
            </w:tcMar>
          </w:tcPr>
          <w:p>
            <w:pPr>
              <w:spacing w:after="0" w:line="240"/>
            </w:pPr>
            <w:r>
              <w:rPr>
                <w:rFonts w:ascii="Calibri" w:cs="Calibri" w:eastAsia="Calibri" w:hAnsi="Calibri"/>
                <w:sz w:val="21"/>
                <w:szCs w:val="21"/>
              </w:rPr>
              <w:t xml:space="preserve">1–10</w:t>
            </w:r>
          </w:p>
        </w:tc>
        <w:tc>
          <w:tcPr>
            <w:tcW w:type="dxa" w:w="7334"/>
            <w:tcMar>
              <w:top w:type="dxa" w:w="70"/>
              <w:left w:type="dxa" w:w="110"/>
              <w:bottom w:type="dxa" w:w="70"/>
              <w:right w:type="dxa" w:w="110"/>
            </w:tcMar>
          </w:tcPr>
          <w:p>
            <w:pPr>
              <w:spacing w:after="0" w:line="240"/>
            </w:pPr>
            <w:r>
              <w:rPr>
                <w:rFonts w:ascii="Calibri" w:cs="Calibri" w:eastAsia="Calibri" w:hAnsi="Calibri"/>
                <w:sz w:val="21"/>
                <w:szCs w:val="21"/>
              </w:rPr>
              <w:t xml:space="preserve">The R$ 300 test: five agencies, four questions, one accountant hour. Four stop conditions checked. GO / NO-GO decided here.</w:t>
            </w:r>
          </w:p>
        </w:tc>
      </w:tr>
      <w:tr>
        <w:trPr>
          <w:tblHeader w:val="false"/>
        </w:trPr>
        <w:tc>
          <w:tcPr>
            <w:tcW w:type="dxa" w:w="1692"/>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11–17</w:t>
            </w:r>
          </w:p>
        </w:tc>
        <w:tc>
          <w:tcPr>
            <w:tcW w:type="dxa" w:w="7334"/>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Retention matrix signed by the accountant. Asaas account + API keys. Contract template (band review clause + creator-owns-exceptions clause) drafted with lawyer.</w:t>
            </w:r>
          </w:p>
        </w:tc>
      </w:tr>
      <w:tr>
        <w:trPr>
          <w:tblHeader w:val="false"/>
        </w:trPr>
        <w:tc>
          <w:tcPr>
            <w:tcW w:type="dxa" w:w="1692"/>
            <w:tcMar>
              <w:top w:type="dxa" w:w="70"/>
              <w:left w:type="dxa" w:w="110"/>
              <w:bottom w:type="dxa" w:w="70"/>
              <w:right w:type="dxa" w:w="110"/>
            </w:tcMar>
          </w:tcPr>
          <w:p>
            <w:pPr>
              <w:spacing w:after="0" w:line="240"/>
            </w:pPr>
            <w:r>
              <w:rPr>
                <w:rFonts w:ascii="Calibri" w:cs="Calibri" w:eastAsia="Calibri" w:hAnsi="Calibri"/>
                <w:sz w:val="21"/>
                <w:szCs w:val="21"/>
              </w:rPr>
              <w:t xml:space="preserve">15–30</w:t>
            </w:r>
          </w:p>
        </w:tc>
        <w:tc>
          <w:tcPr>
            <w:tcW w:type="dxa" w:w="7334"/>
            <w:tcMar>
              <w:top w:type="dxa" w:w="70"/>
              <w:left w:type="dxa" w:w="110"/>
              <w:bottom w:type="dxa" w:w="70"/>
              <w:right w:type="dxa" w:w="110"/>
            </w:tcMar>
          </w:tcPr>
          <w:p>
            <w:pPr>
              <w:spacing w:after="0" w:line="240"/>
            </w:pPr>
            <w:r>
              <w:rPr>
                <w:rFonts w:ascii="Calibri" w:cs="Calibri" w:eastAsia="Calibri" w:hAnsi="Calibri"/>
                <w:sz w:val="21"/>
                <w:szCs w:val="21"/>
              </w:rPr>
              <w:t xml:space="preserve">v0 build: three tables, magic links, NF upload + validation + gate, rules-table retention, batch Pagar, pendentes broadcast.</w:t>
            </w:r>
          </w:p>
        </w:tc>
      </w:tr>
      <w:tr>
        <w:trPr>
          <w:tblHeader w:val="false"/>
        </w:trPr>
        <w:tc>
          <w:tcPr>
            <w:tcW w:type="dxa" w:w="1692"/>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30–45</w:t>
            </w:r>
          </w:p>
        </w:tc>
        <w:tc>
          <w:tcPr>
            <w:tcW w:type="dxa" w:w="7334"/>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Pilot #1 — the friendliest agency from the test, first fechamento free. Watch for the export-file request (kill indicator #1).</w:t>
            </w:r>
          </w:p>
        </w:tc>
      </w:tr>
      <w:tr>
        <w:trPr>
          <w:tblHeader w:val="false"/>
        </w:trPr>
        <w:tc>
          <w:tcPr>
            <w:tcW w:type="dxa" w:w="1692"/>
            <w:tcMar>
              <w:top w:type="dxa" w:w="70"/>
              <w:left w:type="dxa" w:w="110"/>
              <w:bottom w:type="dxa" w:w="70"/>
              <w:right w:type="dxa" w:w="110"/>
            </w:tcMar>
          </w:tcPr>
          <w:p>
            <w:pPr>
              <w:spacing w:after="0" w:line="240"/>
            </w:pPr>
            <w:r>
              <w:rPr>
                <w:rFonts w:ascii="Calibri" w:cs="Calibri" w:eastAsia="Calibri" w:hAnsi="Calibri"/>
                <w:sz w:val="21"/>
                <w:szCs w:val="21"/>
              </w:rPr>
              <w:t xml:space="preserve">45–60</w:t>
            </w:r>
          </w:p>
        </w:tc>
        <w:tc>
          <w:tcPr>
            <w:tcW w:type="dxa" w:w="7334"/>
            <w:tcMar>
              <w:top w:type="dxa" w:w="70"/>
              <w:left w:type="dxa" w:w="110"/>
              <w:bottom w:type="dxa" w:w="70"/>
              <w:right w:type="dxa" w:w="110"/>
            </w:tcMar>
          </w:tcPr>
          <w:p>
            <w:pPr>
              <w:spacing w:after="0" w:line="240"/>
            </w:pPr>
            <w:r>
              <w:rPr>
                <w:rFonts w:ascii="Calibri" w:cs="Calibri" w:eastAsia="Calibri" w:hAnsi="Calibri"/>
                <w:sz w:val="21"/>
                <w:szCs w:val="21"/>
              </w:rPr>
              <w:t xml:space="preserve">v1: retry, statement polish, contador close-pack. Convert pilot #1 to paid founder price. Start pilot #2.</w:t>
            </w:r>
          </w:p>
        </w:tc>
      </w:tr>
      <w:tr>
        <w:trPr>
          <w:tblHeader w:val="false"/>
        </w:trPr>
        <w:tc>
          <w:tcPr>
            <w:tcW w:type="dxa" w:w="1692"/>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60–90</w:t>
            </w:r>
          </w:p>
        </w:tc>
        <w:tc>
          <w:tcPr>
            <w:tcW w:type="dxa" w:w="7334"/>
            <w:shd w:fill="F4F9F8" w:val="clear"/>
            <w:tcMar>
              <w:top w:type="dxa" w:w="70"/>
              <w:left w:type="dxa" w:w="110"/>
              <w:bottom w:type="dxa" w:w="70"/>
              <w:right w:type="dxa" w:w="110"/>
            </w:tcMar>
          </w:tcPr>
          <w:p>
            <w:pPr>
              <w:spacing w:after="0" w:line="240"/>
            </w:pPr>
            <w:r>
              <w:rPr>
                <w:rFonts w:ascii="Calibri" w:cs="Calibri" w:eastAsia="Calibri" w:hAnsi="Calibri"/>
                <w:sz w:val="21"/>
                <w:szCs w:val="21"/>
              </w:rPr>
              <w:t xml:space="preserve">Pilots #2–3 → paid. Begin YPX Summit plan from the YOUPIX directory. At 3 paying agencies, the model’s core assumptions (volume, price, rail acceptance) are all replaced by real numbers.</w:t>
            </w:r>
          </w:p>
        </w:tc>
      </w:tr>
    </w:tbl>
    <w:p>
      <w:pPr>
        <w:spacing w:after="100"/>
      </w:pPr>
    </w:p>
    <w:p>
      <w:pPr>
        <w:pBdr>
          <w:left w:val="single" w:color="0B5E55" w:sz="24"/>
        </w:pBdr>
        <w:shd w:fill="E7F3F1" w:val="clear"/>
        <w:spacing w:after="200" w:before="60" w:line="264"/>
        <w:ind w:left="200" w:right="200"/>
      </w:pPr>
      <w:r>
        <w:rPr>
          <w:rFonts w:ascii="Calibri" w:cs="Calibri" w:eastAsia="Calibri" w:hAnsi="Calibri"/>
          <w:b/>
          <w:bCs/>
          <w:i w:val="false"/>
          <w:iCs w:val="false"/>
          <w:sz w:val="21"/>
          <w:szCs w:val="21"/>
        </w:rPr>
        <w:t xml:space="preserve">The one-line summary: </w:t>
      </w:r>
      <w:r>
        <w:rPr>
          <w:rFonts w:ascii="Calibri" w:cs="Calibri" w:eastAsia="Calibri" w:hAnsi="Calibri"/>
          <w:sz w:val="21"/>
          <w:szCs w:val="21"/>
        </w:rPr>
        <w:t xml:space="preserve">a ledger with a gate, sold flat by volume band to agency founders the founder already knows, where the money moves inside the product and the founder’s time scales only with the number of logos. Twelve customers clear the floor. Five phone calls decide whether it lives — before a single line of code.</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LÍQUIDO — Business &amp; Tech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2026-07-31T22:44:45.576Z</dcterms:created>
  <dcterms:modified xsi:type="dcterms:W3CDTF">2026-07-31T22:44:45.591Z</dcterms:modified>
</cp:coreProperties>
</file>

<file path=docProps/custom.xml><?xml version="1.0" encoding="utf-8"?>
<Properties xmlns="http://schemas.openxmlformats.org/officeDocument/2006/custom-properties" xmlns:vt="http://schemas.openxmlformats.org/officeDocument/2006/docPropsVTypes"/>
</file>