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0"/>
        <w:jc w:val="center"/>
      </w:pPr>
      <w:r>
        <w:drawing>
          <wp:inline distT="0" distB="0" distL="0" distR="0">
            <wp:extent cx="4476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543050"/>
                    </a:xfrm>
                    <a:prstGeom prst="rect">
                      <a:avLst/>
                    </a:prstGeom>
                  </pic:spPr>
                </pic:pic>
              </a:graphicData>
            </a:graphic>
          </wp:inline>
        </w:drawing>
      </w:r>
    </w:p>
    <w:p>
      <w:pPr>
        <w:spacing w:after="480"/>
      </w:pPr>
    </w:p>
    <w:p>
      <w:pPr>
        <w:spacing w:after="120" w:before="0" w:line="290"/>
        <w:jc w:val="center"/>
      </w:pPr>
      <w:r>
        <w:rPr>
          <w:rFonts w:ascii="Calibri" w:cs="Calibri" w:eastAsia="Calibri" w:hAnsi="Calibri"/>
          <w:b/>
          <w:bCs/>
          <w:color w:val="1F4E4A"/>
          <w:sz w:val="36"/>
          <w:szCs w:val="36"/>
        </w:rPr>
        <w:t xml:space="preserve">The business, in plain words</w:t>
      </w:r>
    </w:p>
    <w:p>
      <w:pPr>
        <w:spacing w:after="700" w:before="0" w:line="290"/>
        <w:jc w:val="center"/>
      </w:pPr>
      <w:r>
        <w:rPr>
          <w:rFonts w:ascii="Calibri" w:cs="Calibri" w:eastAsia="Calibri" w:hAnsi="Calibri"/>
          <w:color w:val="C96F4A"/>
          <w:sz w:val="22"/>
          <w:szCs w:val="22"/>
        </w:rPr>
        <w:t xml:space="preserve">What we sell · who buys it · what it costs · what to do first</w:t>
      </w:r>
    </w:p>
    <w:tbl>
      <w:tblPr>
        <w:tblW w:type="dxa" w:w="9506"/>
        <w:tblBorders>
          <w:top w:val="single" w:color="8FA89B" w:sz="12"/>
          <w:left w:val="single" w:color="8FA89B" w:sz="12"/>
          <w:bottom w:val="single" w:color="8FA89B" w:sz="12"/>
          <w:right w:val="single" w:color="8FA89B" w:sz="12"/>
          <w:insideH w:val="none"/>
          <w:insideV w:val="none"/>
        </w:tblBorders>
      </w:tblPr>
      <w:tblGrid>
        <w:gridCol w:w="9506"/>
      </w:tblGrid>
      <w:tr>
        <w:tc>
          <w:tcPr>
            <w:tcW w:type="dxa" w:w="9506"/>
            <w:shd w:fill="F7F3EC" w:val="clear"/>
            <w:tcMar>
              <w:top w:type="dxa" w:w="160"/>
              <w:left w:type="dxa" w:w="200"/>
              <w:bottom w:type="dxa" w:w="160"/>
              <w:right w:type="dxa" w:w="200"/>
            </w:tcMar>
          </w:tcPr>
          <w:p>
            <w:pPr>
              <w:spacing w:after="140" w:before="0" w:line="290"/>
              <w:jc w:val="center"/>
            </w:pPr>
            <w:r>
              <w:rPr>
                <w:rFonts w:ascii="Calibri" w:cs="Calibri" w:eastAsia="Calibri" w:hAnsi="Calibri"/>
                <w:b/>
                <w:bCs/>
                <w:color w:val="1F4E4A"/>
                <w:sz w:val="26"/>
                <w:szCs w:val="26"/>
              </w:rPr>
              <w:t xml:space="preserve">We supply newborn starter kits to Brazilian town halls.</w:t>
            </w:r>
          </w:p>
          <w:p>
            <w:pPr>
              <w:spacing w:after="140" w:before="0" w:line="290"/>
              <w:jc w:val="center"/>
            </w:pPr>
            <w:r>
              <w:rPr>
                <w:rFonts w:ascii="Calibri" w:cs="Calibri" w:eastAsia="Calibri" w:hAnsi="Calibri"/>
                <w:color w:val="2B2B2B"/>
                <w:sz w:val="21"/>
                <w:szCs w:val="21"/>
              </w:rPr>
              <w:t xml:space="preserve">Every town hall in Brazil is required by law to publish what it is about to buy, before it buys it — free, online, in a format a computer can read. Around four newborn-kit tenders are published every working day. We read all of them, bid on the ones we can win at a profit, buy the goods only after we have won, and ship them.</w:t>
            </w:r>
          </w:p>
          <w:p>
            <w:pPr>
              <w:spacing w:after="0" w:before="0" w:line="290"/>
              <w:jc w:val="center"/>
            </w:pPr>
            <w:r>
              <w:rPr>
                <w:rFonts w:ascii="Calibri" w:cs="Calibri" w:eastAsia="Calibri" w:hAnsi="Calibri"/>
                <w:b/>
                <w:bCs/>
                <w:color w:val="C96F4A"/>
                <w:sz w:val="22"/>
                <w:szCs w:val="22"/>
              </w:rPr>
              <w:t xml:space="preserve">We never look for a customer. The law makes them announce themselves.</w:t>
            </w:r>
          </w:p>
        </w:tc>
      </w:tr>
    </w:tbl>
    <w:p>
      <w:pPr>
        <w:spacing w:after="420"/>
      </w:pPr>
    </w:p>
    <w:p>
      <w:pPr>
        <w:spacing w:after="0" w:before="0" w:line="290"/>
        <w:jc w:val="center"/>
      </w:pPr>
      <w:r>
        <w:rPr>
          <w:rFonts w:ascii="Calibri" w:cs="Calibri" w:eastAsia="Calibri" w:hAnsi="Calibri"/>
          <w:i/>
          <w:iCs/>
          <w:color w:val="6B6B6B"/>
          <w:sz w:val="17"/>
          <w:szCs w:val="17"/>
        </w:rPr>
        <w:t xml:space="preserve">18 September 2026  ·  internal working document  ·  every figure measured, sources in THE_KIT_DESK.md</w:t>
      </w:r>
    </w:p>
    <w:p>
      <w:r>
        <w:br w:type="page"/>
      </w:r>
    </w:p>
    <w:p>
      <w:pPr>
        <w:pStyle w:val="Heading1"/>
        <w:spacing w:after="160" w:before="360"/>
      </w:pPr>
      <w:r>
        <w:rPr>
          <w:rFonts w:ascii="Calibri" w:cs="Calibri" w:eastAsia="Calibri" w:hAnsi="Calibri"/>
          <w:b/>
          <w:bCs/>
          <w:color w:val="1F4E4A"/>
          <w:sz w:val="30"/>
          <w:szCs w:val="30"/>
        </w:rPr>
        <w:t xml:space="preserve">1.  What the business actually is</w:t>
      </w:r>
    </w:p>
    <w:p>
      <w:pPr>
        <w:spacing w:after="120" w:before="0" w:line="290"/>
      </w:pPr>
      <w:r>
        <w:rPr>
          <w:rFonts w:ascii="Calibri" w:cs="Calibri" w:eastAsia="Calibri" w:hAnsi="Calibri"/>
          <w:color w:val="2B2B2B"/>
          <w:sz w:val="21"/>
          <w:szCs w:val="21"/>
        </w:rPr>
        <w:t xml:space="preserve">Brazilian municípios hand out a newborn kit — an enxoval — to mothers in social assistance programmes. It is a benefício eventual: a thing the town is obliged to give, not a gift it chooses to give. So the demand is set by births and by law, not by anybody's marketing.</w:t>
      </w:r>
    </w:p>
    <w:p>
      <w:pPr>
        <w:spacing w:after="120" w:before="0" w:line="290"/>
      </w:pPr>
      <w:r>
        <w:rPr>
          <w:rFonts w:ascii="Calibri" w:cs="Calibri" w:eastAsia="Calibri" w:hAnsi="Calibri"/>
          <w:color w:val="2B2B2B"/>
          <w:sz w:val="21"/>
          <w:szCs w:val="21"/>
        </w:rPr>
        <w:t xml:space="preserve">To buy those kits the town must run a public tender. By law (Lei 14.133, art. 54) it must publish the full tender document, including the exact list of items it wants, on a single national website, free, before it can buy anything. It must give suppliers notice — the measured median is 10 working days.</w:t>
      </w:r>
    </w:p>
    <w:p>
      <w:pPr>
        <w:spacing w:after="120" w:before="0" w:line="290"/>
      </w:pPr>
      <w:r>
        <w:rPr>
          <w:rFonts w:ascii="Calibri" w:cs="Calibri" w:eastAsia="Calibri" w:hAnsi="Calibri"/>
          <w:b/>
          <w:bCs/>
          <w:color w:val="2B2B2B"/>
          <w:sz w:val="21"/>
          <w:szCs w:val="21"/>
        </w:rPr>
        <w:t xml:space="preserve">That is our entire sales channel. It is a statute. </w:t>
      </w:r>
      <w:r>
        <w:rPr>
          <w:rFonts w:ascii="Calibri" w:cs="Calibri" w:eastAsia="Calibri" w:hAnsi="Calibri"/>
          <w:color w:val="2B2B2B"/>
          <w:sz w:val="21"/>
          <w:szCs w:val="21"/>
        </w:rPr>
        <w:t xml:space="preserve">It cannot be outbid by a competitor with a bigger marketing budget, it cannot be switched off, and it costs R$0 to access.</w:t>
      </w:r>
    </w:p>
    <w:p>
      <w:pPr>
        <w:spacing w:after="60"/>
      </w:pPr>
    </w:p>
    <w:tbl>
      <w:tblPr>
        <w:tblW w:type="dxa" w:w="9506"/>
        <w:tblBorders>
          <w:top w:val="single" w:color="8FA89B" w:sz="12"/>
          <w:left w:val="single" w:color="8FA89B" w:sz="12"/>
          <w:bottom w:val="single" w:color="8FA89B" w:sz="12"/>
          <w:right w:val="single" w:color="8FA89B" w:sz="12"/>
          <w:insideH w:val="none"/>
          <w:insideV w:val="none"/>
        </w:tblBorders>
      </w:tblPr>
      <w:tblGrid>
        <w:gridCol w:w="9506"/>
      </w:tblGrid>
      <w:tr>
        <w:tc>
          <w:tcPr>
            <w:tcW w:type="dxa" w:w="9506"/>
            <w:shd w:fill="F7F3EC" w:val="clear"/>
            <w:tcMar>
              <w:top w:type="dxa" w:w="160"/>
              <w:left w:type="dxa" w:w="200"/>
              <w:bottom w:type="dxa" w:w="160"/>
              <w:right w:type="dxa" w:w="200"/>
            </w:tcMar>
          </w:tcPr>
          <w:p>
            <w:pPr>
              <w:spacing w:after="130" w:before="0" w:line="290"/>
            </w:pPr>
            <w:r>
              <w:rPr>
                <w:rFonts w:ascii="Calibri" w:cs="Calibri" w:eastAsia="Calibri" w:hAnsi="Calibri"/>
                <w:b/>
                <w:bCs/>
                <w:color w:val="1F4E4A"/>
                <w:sz w:val="20"/>
                <w:szCs w:val="20"/>
              </w:rPr>
              <w:t xml:space="preserve">Measured over the last twelve months, nationally:</w:t>
            </w:r>
          </w:p>
          <w:p>
            <w:pPr>
              <w:pStyle w:val="ListParagraph"/>
              <w:numPr>
                <w:ilvl w:val="0"/>
                <w:numId w:val="2"/>
              </w:numPr>
              <w:spacing w:after="70" w:line="280"/>
            </w:pPr>
            <w:r>
              <w:rPr>
                <w:rFonts w:ascii="Calibri" w:cs="Calibri" w:eastAsia="Calibri" w:hAnsi="Calibri"/>
                <w:b/>
                <w:bCs/>
                <w:color w:val="2B2B2B"/>
                <w:sz w:val="21"/>
                <w:szCs w:val="21"/>
              </w:rPr>
              <w:t xml:space="preserve">R$57,2 million </w:t>
            </w:r>
            <w:r>
              <w:rPr>
                <w:rFonts w:ascii="Calibri" w:cs="Calibri" w:eastAsia="Calibri" w:hAnsi="Calibri"/>
                <w:color w:val="2B2B2B"/>
                <w:sz w:val="21"/>
                <w:szCs w:val="21"/>
              </w:rPr>
              <w:t xml:space="preserve">of newborn kits bought</w:t>
            </w:r>
          </w:p>
          <w:p>
            <w:pPr>
              <w:pStyle w:val="ListParagraph"/>
              <w:numPr>
                <w:ilvl w:val="0"/>
                <w:numId w:val="2"/>
              </w:numPr>
              <w:spacing w:after="70" w:line="280"/>
            </w:pPr>
            <w:r>
              <w:rPr>
                <w:rFonts w:ascii="Calibri" w:cs="Calibri" w:eastAsia="Calibri" w:hAnsi="Calibri"/>
                <w:b/>
                <w:bCs/>
                <w:color w:val="2B2B2B"/>
                <w:sz w:val="21"/>
                <w:szCs w:val="21"/>
              </w:rPr>
              <w:t xml:space="preserve">1.012 tenders </w:t>
            </w:r>
            <w:r>
              <w:rPr>
                <w:rFonts w:ascii="Calibri" w:cs="Calibri" w:eastAsia="Calibri" w:hAnsi="Calibri"/>
                <w:color w:val="2B2B2B"/>
                <w:sz w:val="21"/>
                <w:szCs w:val="21"/>
              </w:rPr>
              <w:t xml:space="preserve">across </w:t>
            </w:r>
            <w:r>
              <w:rPr>
                <w:rFonts w:ascii="Calibri" w:cs="Calibri" w:eastAsia="Calibri" w:hAnsi="Calibri"/>
                <w:b/>
                <w:bCs/>
                <w:color w:val="2B2B2B"/>
                <w:sz w:val="21"/>
                <w:szCs w:val="21"/>
              </w:rPr>
              <w:t xml:space="preserve">699 different towns</w:t>
            </w:r>
          </w:p>
          <w:p>
            <w:pPr>
              <w:pStyle w:val="ListParagraph"/>
              <w:numPr>
                <w:ilvl w:val="0"/>
                <w:numId w:val="2"/>
              </w:numPr>
              <w:spacing w:after="70" w:line="280"/>
            </w:pPr>
            <w:r>
              <w:rPr>
                <w:rFonts w:ascii="Calibri" w:cs="Calibri" w:eastAsia="Calibri" w:hAnsi="Calibri"/>
                <w:b/>
                <w:bCs/>
                <w:color w:val="2B2B2B"/>
                <w:sz w:val="21"/>
                <w:szCs w:val="21"/>
              </w:rPr>
              <w:t xml:space="preserve">~4 kit tenders published every working day</w:t>
            </w:r>
          </w:p>
          <w:p>
            <w:pPr>
              <w:pStyle w:val="ListParagraph"/>
              <w:numPr>
                <w:ilvl w:val="0"/>
                <w:numId w:val="2"/>
              </w:numPr>
              <w:spacing w:after="70" w:line="280"/>
            </w:pPr>
            <w:r>
              <w:rPr>
                <w:rFonts w:ascii="Calibri" w:cs="Calibri" w:eastAsia="Calibri" w:hAnsi="Calibri"/>
                <w:color w:val="2B2B2B"/>
                <w:sz w:val="21"/>
                <w:szCs w:val="21"/>
              </w:rPr>
              <w:t xml:space="preserve">Typical tender size: </w:t>
            </w:r>
            <w:r>
              <w:rPr>
                <w:rFonts w:ascii="Calibri" w:cs="Calibri" w:eastAsia="Calibri" w:hAnsi="Calibri"/>
                <w:b/>
                <w:bCs/>
                <w:color w:val="2B2B2B"/>
                <w:sz w:val="21"/>
                <w:szCs w:val="21"/>
              </w:rPr>
              <w:t xml:space="preserve">R$31.080</w:t>
            </w:r>
          </w:p>
          <w:p>
            <w:pPr>
              <w:pStyle w:val="ListParagraph"/>
              <w:numPr>
                <w:ilvl w:val="0"/>
                <w:numId w:val="2"/>
              </w:numPr>
              <w:spacing w:after="70" w:line="280"/>
            </w:pPr>
            <w:r>
              <w:rPr>
                <w:rFonts w:ascii="Calibri" w:cs="Calibri" w:eastAsia="Calibri" w:hAnsi="Calibri"/>
                <w:b/>
                <w:bCs/>
                <w:color w:val="2B2B2B"/>
                <w:sz w:val="21"/>
                <w:szCs w:val="21"/>
              </w:rPr>
              <w:t xml:space="preserve">96,4% are decided on price alone</w:t>
            </w:r>
            <w:r>
              <w:rPr>
                <w:rFonts w:ascii="Calibri" w:cs="Calibri" w:eastAsia="Calibri" w:hAnsi="Calibri"/>
                <w:color w:val="2B2B2B"/>
                <w:sz w:val="21"/>
                <w:szCs w:val="21"/>
              </w:rPr>
              <w:t xml:space="preserve"> — no interview, no relationship, no presentation</w:t>
            </w:r>
          </w:p>
        </w:tc>
      </w:tr>
    </w:tbl>
    <w:p>
      <w:pPr>
        <w:pStyle w:val="Heading2"/>
        <w:spacing w:after="110" w:before="260"/>
      </w:pPr>
      <w:r>
        <w:rPr>
          <w:rFonts w:ascii="Calibri" w:cs="Calibri" w:eastAsia="Calibri" w:hAnsi="Calibri"/>
          <w:b/>
          <w:bCs/>
          <w:color w:val="C96F4A"/>
          <w:sz w:val="24"/>
          <w:szCs w:val="24"/>
        </w:rPr>
        <w:t xml:space="preserve">Why this one and not something else</w:t>
      </w:r>
    </w:p>
    <w:p>
      <w:pPr>
        <w:spacing w:after="120" w:before="0" w:line="290"/>
      </w:pPr>
      <w:r>
        <w:rPr>
          <w:rFonts w:ascii="Calibri" w:cs="Calibri" w:eastAsia="Calibri" w:hAnsi="Calibri"/>
          <w:color w:val="2B2B2B"/>
          <w:sz w:val="21"/>
          <w:szCs w:val="21"/>
        </w:rPr>
        <w:t xml:space="preserve">Four things had to be true. They all are.</w:t>
      </w:r>
    </w:p>
    <w:tbl>
      <w:tblPr>
        <w:tblW w:type="dxa" w:w="9506"/>
        <w:tblBorders>
          <w:top w:val="single" w:color="D8D2C6" w:sz="4"/>
          <w:left w:val="none"/>
          <w:bottom w:val="single" w:color="D8D2C6" w:sz="4"/>
          <w:right w:val="none"/>
          <w:insideH w:val="single" w:color="E6E1D8" w:sz="2"/>
          <w:insideV w:val="none"/>
        </w:tblBorders>
      </w:tblPr>
      <w:tblGrid>
        <w:gridCol w:w="3300"/>
        <w:gridCol w:w="6206"/>
      </w:tblGrid>
      <w:tr>
        <w:trPr>
          <w:tblHeader/>
        </w:trPr>
        <w:tc>
          <w:tcPr>
            <w:tcW w:type="dxa" w:w="33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matters to you</w:t>
            </w:r>
          </w:p>
        </w:tc>
        <w:tc>
          <w:tcPr>
            <w:tcW w:type="dxa" w:w="62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How this business answers it</w:t>
            </w:r>
          </w:p>
        </w:tc>
      </w:tr>
      <w:tr>
        <w:tc>
          <w:tcPr>
            <w:tcW w:type="dxa" w:w="3300"/>
            <w:tcMar>
              <w:top w:type="dxa" w:w="70"/>
              <w:left w:type="dxa" w:w="110"/>
              <w:bottom w:type="dxa" w:w="70"/>
              <w:right w:type="dxa" w:w="110"/>
            </w:tcMar>
          </w:tcPr>
          <w:p>
            <w:pPr>
              <w:spacing w:after="0"/>
            </w:pPr>
            <w:r>
              <w:rPr>
                <w:rFonts w:ascii="Calibri" w:cs="Calibri" w:eastAsia="Calibri" w:hAnsi="Calibri"/>
                <w:color w:val="2B2B2B"/>
                <w:sz w:val="19"/>
                <w:szCs w:val="19"/>
              </w:rPr>
              <w:t xml:space="preserve">You do not want to chase customers forever</w:t>
            </w:r>
          </w:p>
        </w:tc>
        <w:tc>
          <w:tcPr>
            <w:tcW w:type="dxa" w:w="6206"/>
            <w:tcMar>
              <w:top w:type="dxa" w:w="70"/>
              <w:left w:type="dxa" w:w="110"/>
              <w:bottom w:type="dxa" w:w="70"/>
              <w:right w:type="dxa" w:w="110"/>
            </w:tcMar>
          </w:tcPr>
          <w:p>
            <w:pPr>
              <w:spacing w:after="0"/>
            </w:pPr>
            <w:r>
              <w:rPr>
                <w:rFonts w:ascii="Calibri" w:cs="Calibri" w:eastAsia="Calibri" w:hAnsi="Calibri"/>
                <w:color w:val="2B2B2B"/>
                <w:sz w:val="19"/>
                <w:szCs w:val="19"/>
              </w:rPr>
              <w:t xml:space="preserve">The state publishes the next order whether or not you do anything</w:t>
            </w:r>
          </w:p>
        </w:tc>
      </w:tr>
      <w:tr>
        <w:tc>
          <w:tcPr>
            <w:tcW w:type="dxa" w:w="33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You do not want to be on camera or be a personality</w:t>
            </w:r>
          </w:p>
        </w:tc>
        <w:tc>
          <w:tcPr>
            <w:tcW w:type="dxa" w:w="62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You are a CNPJ in a bid file. Nobody ever sees you</w:t>
            </w:r>
          </w:p>
        </w:tc>
      </w:tr>
      <w:tr>
        <w:tc>
          <w:tcPr>
            <w:tcW w:type="dxa" w:w="3300"/>
            <w:tcMar>
              <w:top w:type="dxa" w:w="70"/>
              <w:left w:type="dxa" w:w="110"/>
              <w:bottom w:type="dxa" w:w="70"/>
              <w:right w:type="dxa" w:w="110"/>
            </w:tcMar>
          </w:tcPr>
          <w:p>
            <w:pPr>
              <w:spacing w:after="0"/>
            </w:pPr>
            <w:r>
              <w:rPr>
                <w:rFonts w:ascii="Calibri" w:cs="Calibri" w:eastAsia="Calibri" w:hAnsi="Calibri"/>
                <w:color w:val="2B2B2B"/>
                <w:sz w:val="19"/>
                <w:szCs w:val="19"/>
              </w:rPr>
              <w:t xml:space="preserve">You do not want employees</w:t>
            </w:r>
          </w:p>
        </w:tc>
        <w:tc>
          <w:tcPr>
            <w:tcW w:type="dxa" w:w="6206"/>
            <w:tcMar>
              <w:top w:type="dxa" w:w="70"/>
              <w:left w:type="dxa" w:w="110"/>
              <w:bottom w:type="dxa" w:w="70"/>
              <w:right w:type="dxa" w:w="110"/>
            </w:tcMar>
          </w:tcPr>
          <w:p>
            <w:pPr>
              <w:spacing w:after="0"/>
            </w:pPr>
            <w:r>
              <w:rPr>
                <w:rFonts w:ascii="Calibri" w:cs="Calibri" w:eastAsia="Calibri" w:hAnsi="Calibri"/>
                <w:color w:val="2B2B2B"/>
                <w:sz w:val="19"/>
                <w:szCs w:val="19"/>
              </w:rPr>
              <w:t xml:space="preserve">Suppliers and couriers are vendors, not staff. It stays a one-person company</w:t>
            </w:r>
          </w:p>
        </w:tc>
      </w:tr>
      <w:tr>
        <w:tc>
          <w:tcPr>
            <w:tcW w:type="dxa" w:w="33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You do not want to be believed as an expert</w:t>
            </w:r>
          </w:p>
        </w:tc>
        <w:tc>
          <w:tcPr>
            <w:tcW w:type="dxa" w:w="62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The town judges a written spec against a price. Nothing is claimed</w:t>
            </w:r>
          </w:p>
        </w:tc>
      </w:tr>
    </w:tbl>
    <w:p>
      <w:r>
        <w:br w:type="page"/>
      </w:r>
    </w:p>
    <w:p>
      <w:pPr>
        <w:pStyle w:val="Heading1"/>
        <w:spacing w:after="160" w:before="360"/>
      </w:pPr>
      <w:r>
        <w:rPr>
          <w:rFonts w:ascii="Calibri" w:cs="Calibri" w:eastAsia="Calibri" w:hAnsi="Calibri"/>
          <w:b/>
          <w:bCs/>
          <w:color w:val="1F4E4A"/>
          <w:sz w:val="30"/>
          <w:szCs w:val="30"/>
        </w:rPr>
        <w:t xml:space="preserve">2.  The brand</w:t>
      </w:r>
    </w:p>
    <w:p>
      <w:pPr>
        <w:spacing w:after="120" w:before="0" w:line="290"/>
      </w:pPr>
      <w:r>
        <w:rPr>
          <w:rFonts w:ascii="Calibri" w:cs="Calibri" w:eastAsia="Calibri" w:hAnsi="Calibri"/>
          <w:b/>
          <w:bCs/>
          <w:color w:val="2B2B2B"/>
          <w:sz w:val="21"/>
          <w:szCs w:val="21"/>
        </w:rPr>
        <w:t xml:space="preserve">Name: </w:t>
      </w:r>
      <w:r>
        <w:rPr>
          <w:rFonts w:ascii="Calibri" w:cs="Calibri" w:eastAsia="Calibri" w:hAnsi="Calibri"/>
          <w:b/>
          <w:bCs/>
          <w:color w:val="1F4E4A"/>
          <w:sz w:val="24"/>
          <w:szCs w:val="24"/>
        </w:rPr>
        <w:t xml:space="preserve">ACOLHE</w:t>
      </w:r>
      <w:r>
        <w:rPr>
          <w:rFonts w:ascii="Calibri" w:cs="Calibri" w:eastAsia="Calibri" w:hAnsi="Calibri"/>
          <w:color w:val="2B2B2B"/>
          <w:sz w:val="21"/>
          <w:szCs w:val="21"/>
        </w:rPr>
        <w:t xml:space="preserve">  —  legal entity </w:t>
      </w:r>
      <w:r>
        <w:rPr>
          <w:rFonts w:ascii="Calibri" w:cs="Calibri" w:eastAsia="Calibri" w:hAnsi="Calibri"/>
          <w:b/>
          <w:bCs/>
          <w:color w:val="2B2B2B"/>
          <w:sz w:val="21"/>
          <w:szCs w:val="21"/>
        </w:rPr>
        <w:t xml:space="preserve">ACOLHE COMÉRCIO DE ENXOVAIS LTDA</w:t>
      </w:r>
    </w:p>
    <w:p>
      <w:pPr>
        <w:spacing w:after="120" w:before="0" w:line="290"/>
      </w:pPr>
      <w:r>
        <w:rPr>
          <w:rFonts w:ascii="Calibri" w:cs="Calibri" w:eastAsia="Calibri" w:hAnsi="Calibri"/>
          <w:color w:val="2B2B2B"/>
          <w:sz w:val="21"/>
          <w:szCs w:val="21"/>
        </w:rPr>
        <w:t xml:space="preserve">“Acolher” means to welcome, to take someone in, to shelter. It is the exact word Brazilian social assistance uses for what these kits are for. It reads as serious to a procurement officer and warm to everyone else, and it says what we sell without a single explanation.</w:t>
      </w:r>
    </w:p>
    <w:p>
      <w:pPr>
        <w:spacing w:after="160"/>
        <w:jc w:val="center"/>
      </w:pPr>
      <w:r>
        <w:drawing>
          <wp:inline distT="0" distB="0" distL="0" distR="0">
            <wp:extent cx="409575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409700"/>
                    </a:xfrm>
                    <a:prstGeom prst="rect">
                      <a:avLst/>
                    </a:prstGeom>
                  </pic:spPr>
                </pic:pic>
              </a:graphicData>
            </a:graphic>
          </wp:inline>
        </w:drawing>
      </w:r>
    </w:p>
    <w:p>
      <w:pPr>
        <w:pStyle w:val="Heading2"/>
        <w:spacing w:after="110" w:before="260"/>
      </w:pPr>
      <w:r>
        <w:rPr>
          <w:rFonts w:ascii="Calibri" w:cs="Calibri" w:eastAsia="Calibri" w:hAnsi="Calibri"/>
          <w:b/>
          <w:bCs/>
          <w:color w:val="C96F4A"/>
          <w:sz w:val="24"/>
          <w:szCs w:val="24"/>
        </w:rPr>
        <w:t xml:space="preserve">What the brand is for — and what it is not for</w:t>
      </w:r>
    </w:p>
    <w:p>
      <w:pPr>
        <w:spacing w:after="120" w:before="0" w:line="290"/>
      </w:pPr>
      <w:r>
        <w:rPr>
          <w:rFonts w:ascii="Calibri" w:cs="Calibri" w:eastAsia="Calibri" w:hAnsi="Calibri"/>
          <w:color w:val="2B2B2B"/>
          <w:sz w:val="21"/>
          <w:szCs w:val="21"/>
        </w:rPr>
        <w:t xml:space="preserve">This brand is not there to win customers. The law delivers the customers. It is there to make three specific people comfortable in under ten seconds:</w:t>
      </w:r>
    </w:p>
    <w:p>
      <w:pPr>
        <w:pStyle w:val="ListParagraph"/>
        <w:numPr>
          <w:ilvl w:val="0"/>
          <w:numId w:val="3"/>
        </w:numPr>
        <w:spacing w:after="70" w:line="280"/>
      </w:pPr>
      <w:r>
        <w:rPr>
          <w:rFonts w:ascii="Calibri" w:cs="Calibri" w:eastAsia="Calibri" w:hAnsi="Calibri"/>
          <w:b/>
          <w:bCs/>
          <w:color w:val="2B2B2B"/>
          <w:sz w:val="21"/>
          <w:szCs w:val="21"/>
        </w:rPr>
        <w:t xml:space="preserve">A procurement officer </w:t>
      </w:r>
      <w:r>
        <w:rPr>
          <w:rFonts w:ascii="Calibri" w:cs="Calibri" w:eastAsia="Calibri" w:hAnsi="Calibri"/>
          <w:color w:val="2B2B2B"/>
          <w:sz w:val="21"/>
          <w:szCs w:val="21"/>
        </w:rPr>
        <w:t xml:space="preserve">checking whether the cheapest bidder is a real company before signing the contract.</w:t>
      </w:r>
    </w:p>
    <w:p>
      <w:pPr>
        <w:pStyle w:val="ListParagraph"/>
        <w:numPr>
          <w:ilvl w:val="0"/>
          <w:numId w:val="3"/>
        </w:numPr>
        <w:spacing w:after="70" w:line="280"/>
      </w:pPr>
      <w:r>
        <w:rPr>
          <w:rFonts w:ascii="Calibri" w:cs="Calibri" w:eastAsia="Calibri" w:hAnsi="Calibri"/>
          <w:b/>
          <w:bCs/>
          <w:color w:val="2B2B2B"/>
          <w:sz w:val="21"/>
          <w:szCs w:val="21"/>
        </w:rPr>
        <w:t xml:space="preserve">A wholesaler's credit department </w:t>
      </w:r>
      <w:r>
        <w:rPr>
          <w:rFonts w:ascii="Calibri" w:cs="Calibri" w:eastAsia="Calibri" w:hAnsi="Calibri"/>
          <w:color w:val="2B2B2B"/>
          <w:sz w:val="21"/>
          <w:szCs w:val="21"/>
        </w:rPr>
        <w:t xml:space="preserve">deciding whether to give a new buyer 28 days to pay.</w:t>
      </w:r>
    </w:p>
    <w:p>
      <w:pPr>
        <w:pStyle w:val="ListParagraph"/>
        <w:numPr>
          <w:ilvl w:val="0"/>
          <w:numId w:val="3"/>
        </w:numPr>
        <w:spacing w:after="70" w:line="280"/>
      </w:pPr>
      <w:r>
        <w:rPr>
          <w:rFonts w:ascii="Calibri" w:cs="Calibri" w:eastAsia="Calibri" w:hAnsi="Calibri"/>
          <w:b/>
          <w:bCs/>
          <w:color w:val="2B2B2B"/>
          <w:sz w:val="21"/>
          <w:szCs w:val="21"/>
        </w:rPr>
        <w:t xml:space="preserve">A courier or a bank </w:t>
      </w:r>
      <w:r>
        <w:rPr>
          <w:rFonts w:ascii="Calibri" w:cs="Calibri" w:eastAsia="Calibri" w:hAnsi="Calibri"/>
          <w:color w:val="2B2B2B"/>
          <w:sz w:val="21"/>
          <w:szCs w:val="21"/>
        </w:rPr>
        <w:t xml:space="preserve">opening an account.</w:t>
      </w:r>
    </w:p>
    <w:p>
      <w:pPr>
        <w:spacing w:after="80"/>
      </w:pPr>
    </w:p>
    <w:tbl>
      <w:tblPr>
        <w:tblW w:type="dxa" w:w="9506"/>
        <w:tblBorders>
          <w:top w:val="single" w:color="C96F4A" w:sz="12"/>
          <w:left w:val="single" w:color="C96F4A" w:sz="12"/>
          <w:bottom w:val="single" w:color="C96F4A" w:sz="12"/>
          <w:right w:val="single" w:color="C96F4A" w:sz="12"/>
          <w:insideH w:val="none"/>
          <w:insideV w:val="none"/>
        </w:tblBorders>
      </w:tblPr>
      <w:tblGrid>
        <w:gridCol w:w="9506"/>
      </w:tblGrid>
      <w:tr>
        <w:tc>
          <w:tcPr>
            <w:tcW w:type="dxa" w:w="9506"/>
            <w:shd w:fill="FAEDE6" w:val="clear"/>
            <w:tcMar>
              <w:top w:type="dxa" w:w="160"/>
              <w:left w:type="dxa" w:w="200"/>
              <w:bottom w:type="dxa" w:w="160"/>
              <w:right w:type="dxa" w:w="200"/>
            </w:tcMar>
          </w:tcPr>
          <w:p>
            <w:pPr>
              <w:spacing w:after="130" w:before="0" w:line="290"/>
            </w:pPr>
            <w:r>
              <w:rPr>
                <w:rFonts w:ascii="Calibri" w:cs="Calibri" w:eastAsia="Calibri" w:hAnsi="Calibri"/>
                <w:b/>
                <w:bCs/>
                <w:color w:val="C96F4A"/>
                <w:sz w:val="22"/>
                <w:szCs w:val="22"/>
              </w:rPr>
              <w:t xml:space="preserve">Rules the brand never breaks</w:t>
            </w:r>
          </w:p>
          <w:p>
            <w:pPr>
              <w:pStyle w:val="ListParagraph"/>
              <w:numPr>
                <w:ilvl w:val="0"/>
                <w:numId w:val="2"/>
              </w:numPr>
              <w:spacing w:after="70" w:line="280"/>
            </w:pPr>
            <w:r>
              <w:rPr>
                <w:rFonts w:ascii="Calibri" w:cs="Calibri" w:eastAsia="Calibri" w:hAnsi="Calibri"/>
                <w:color w:val="2B2B2B"/>
                <w:sz w:val="21"/>
                <w:szCs w:val="21"/>
              </w:rPr>
              <w:t xml:space="preserve">It is a company, never a person. No founder photo, no founder name, no “meet the team”, no social media presence.</w:t>
            </w:r>
          </w:p>
          <w:p>
            <w:pPr>
              <w:pStyle w:val="ListParagraph"/>
              <w:numPr>
                <w:ilvl w:val="0"/>
                <w:numId w:val="2"/>
              </w:numPr>
              <w:spacing w:after="70" w:line="280"/>
            </w:pPr>
            <w:r>
              <w:rPr>
                <w:rFonts w:ascii="Calibri" w:cs="Calibri" w:eastAsia="Calibri" w:hAnsi="Calibri"/>
                <w:color w:val="2B2B2B"/>
                <w:sz w:val="21"/>
                <w:szCs w:val="21"/>
              </w:rPr>
              <w:t xml:space="preserve">It looks like a supplier, not a boutique. Calm, plain, factual. Nothing cute. Procurement officers distrust cute.</w:t>
            </w:r>
          </w:p>
          <w:p>
            <w:pPr>
              <w:pStyle w:val="ListParagraph"/>
              <w:numPr>
                <w:ilvl w:val="0"/>
                <w:numId w:val="2"/>
              </w:numPr>
              <w:spacing w:after="70" w:line="280"/>
            </w:pPr>
            <w:r>
              <w:rPr>
                <w:rFonts w:ascii="Calibri" w:cs="Calibri" w:eastAsia="Calibri" w:hAnsi="Calibri"/>
                <w:color w:val="2B2B2B"/>
                <w:sz w:val="21"/>
                <w:szCs w:val="21"/>
              </w:rPr>
              <w:t xml:space="preserve">It never sells to mothers. The moment it looks like a consumer brand it inherits every problem a consumer brand has, and none of the protection the statute gives us.</w:t>
            </w:r>
          </w:p>
        </w:tc>
      </w:tr>
    </w:tbl>
    <w:p>
      <w:pPr>
        <w:pStyle w:val="Heading2"/>
        <w:spacing w:after="110" w:before="260"/>
      </w:pPr>
      <w:r>
        <w:rPr>
          <w:rFonts w:ascii="Calibri" w:cs="Calibri" w:eastAsia="Calibri" w:hAnsi="Calibri"/>
          <w:b/>
          <w:bCs/>
          <w:color w:val="C96F4A"/>
          <w:sz w:val="24"/>
          <w:szCs w:val="24"/>
        </w:rPr>
        <w:t xml:space="preserve">Colours and type, so everything matches</w:t>
      </w:r>
    </w:p>
    <w:tbl>
      <w:tblPr>
        <w:tblW w:type="dxa" w:w="9506"/>
        <w:tblBorders>
          <w:top w:val="single" w:color="D8D2C6" w:sz="4"/>
          <w:left w:val="none"/>
          <w:bottom w:val="single" w:color="D8D2C6" w:sz="4"/>
          <w:right w:val="none"/>
          <w:insideH w:val="single" w:color="E6E1D8" w:sz="2"/>
          <w:insideV w:val="none"/>
        </w:tblBorders>
      </w:tblPr>
      <w:tblGrid>
        <w:gridCol w:w="1900"/>
        <w:gridCol w:w="1900"/>
        <w:gridCol w:w="5706"/>
      </w:tblGrid>
      <w:tr>
        <w:trPr>
          <w:tblHeader/>
        </w:trPr>
        <w:tc>
          <w:tcPr>
            <w:tcW w:type="dxa" w:w="19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Use</w:t>
            </w:r>
          </w:p>
        </w:tc>
        <w:tc>
          <w:tcPr>
            <w:tcW w:type="dxa" w:w="19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Colour</w:t>
            </w:r>
          </w:p>
        </w:tc>
        <w:tc>
          <w:tcPr>
            <w:tcW w:type="dxa" w:w="57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Where</w:t>
            </w:r>
          </w:p>
        </w:tc>
      </w:tr>
      <w:tr>
        <w:tc>
          <w:tcPr>
            <w:tcW w:type="dxa" w:w="1900"/>
            <w:tcMar>
              <w:top w:type="dxa" w:w="70"/>
              <w:left w:type="dxa" w:w="110"/>
              <w:bottom w:type="dxa" w:w="70"/>
              <w:right w:type="dxa" w:w="110"/>
            </w:tcMar>
          </w:tcPr>
          <w:p>
            <w:pPr>
              <w:spacing w:after="0"/>
            </w:pPr>
            <w:r>
              <w:rPr>
                <w:rFonts w:ascii="Calibri" w:cs="Calibri" w:eastAsia="Calibri" w:hAnsi="Calibri"/>
                <w:color w:val="2B2B2B"/>
                <w:sz w:val="19"/>
                <w:szCs w:val="19"/>
              </w:rPr>
              <w:t xml:space="preserve">Deep teal</w:t>
            </w:r>
          </w:p>
        </w:tc>
        <w:tc>
          <w:tcPr>
            <w:tcW w:type="dxa" w:w="1900"/>
            <w:tcMar>
              <w:top w:type="dxa" w:w="70"/>
              <w:left w:type="dxa" w:w="110"/>
              <w:bottom w:type="dxa" w:w="70"/>
              <w:right w:type="dxa" w:w="110"/>
            </w:tcMar>
          </w:tcPr>
          <w:p>
            <w:pPr>
              <w:spacing w:after="0"/>
            </w:pPr>
            <w:r>
              <w:rPr>
                <w:rFonts w:ascii="Calibri" w:cs="Calibri" w:eastAsia="Calibri" w:hAnsi="Calibri"/>
                <w:color w:val="2B2B2B"/>
                <w:sz w:val="19"/>
                <w:szCs w:val="19"/>
              </w:rPr>
              <w:t xml:space="preserve">#1F4E4A</w:t>
            </w:r>
          </w:p>
        </w:tc>
        <w:tc>
          <w:tcPr>
            <w:tcW w:type="dxa" w:w="5706"/>
            <w:tcMar>
              <w:top w:type="dxa" w:w="70"/>
              <w:left w:type="dxa" w:w="110"/>
              <w:bottom w:type="dxa" w:w="70"/>
              <w:right w:type="dxa" w:w="110"/>
            </w:tcMar>
          </w:tcPr>
          <w:p>
            <w:pPr>
              <w:spacing w:after="0"/>
            </w:pPr>
            <w:r>
              <w:rPr>
                <w:rFonts w:ascii="Calibri" w:cs="Calibri" w:eastAsia="Calibri" w:hAnsi="Calibri"/>
                <w:color w:val="2B2B2B"/>
                <w:sz w:val="19"/>
                <w:szCs w:val="19"/>
              </w:rPr>
              <w:t xml:space="preserve">Wordmark, headings, the site header</w:t>
            </w:r>
          </w:p>
        </w:tc>
      </w:tr>
      <w:tr>
        <w:tc>
          <w:tcPr>
            <w:tcW w:type="dxa" w:w="19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Terracotta</w:t>
            </w:r>
          </w:p>
        </w:tc>
        <w:tc>
          <w:tcPr>
            <w:tcW w:type="dxa" w:w="19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#C96F4A</w:t>
            </w:r>
          </w:p>
        </w:tc>
        <w:tc>
          <w:tcPr>
            <w:tcW w:type="dxa" w:w="57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One accent only — a button, a rule, a highlight</w:t>
            </w:r>
          </w:p>
        </w:tc>
      </w:tr>
      <w:tr>
        <w:tc>
          <w:tcPr>
            <w:tcW w:type="dxa" w:w="1900"/>
            <w:tcMar>
              <w:top w:type="dxa" w:w="70"/>
              <w:left w:type="dxa" w:w="110"/>
              <w:bottom w:type="dxa" w:w="70"/>
              <w:right w:type="dxa" w:w="110"/>
            </w:tcMar>
          </w:tcPr>
          <w:p>
            <w:pPr>
              <w:spacing w:after="0"/>
            </w:pPr>
            <w:r>
              <w:rPr>
                <w:rFonts w:ascii="Calibri" w:cs="Calibri" w:eastAsia="Calibri" w:hAnsi="Calibri"/>
                <w:color w:val="2B2B2B"/>
                <w:sz w:val="19"/>
                <w:szCs w:val="19"/>
              </w:rPr>
              <w:t xml:space="preserve">Cream</w:t>
            </w:r>
          </w:p>
        </w:tc>
        <w:tc>
          <w:tcPr>
            <w:tcW w:type="dxa" w:w="1900"/>
            <w:tcMar>
              <w:top w:type="dxa" w:w="70"/>
              <w:left w:type="dxa" w:w="110"/>
              <w:bottom w:type="dxa" w:w="70"/>
              <w:right w:type="dxa" w:w="110"/>
            </w:tcMar>
          </w:tcPr>
          <w:p>
            <w:pPr>
              <w:spacing w:after="0"/>
            </w:pPr>
            <w:r>
              <w:rPr>
                <w:rFonts w:ascii="Calibri" w:cs="Calibri" w:eastAsia="Calibri" w:hAnsi="Calibri"/>
                <w:color w:val="2B2B2B"/>
                <w:sz w:val="19"/>
                <w:szCs w:val="19"/>
              </w:rPr>
              <w:t xml:space="preserve">#F7F3EC</w:t>
            </w:r>
          </w:p>
        </w:tc>
        <w:tc>
          <w:tcPr>
            <w:tcW w:type="dxa" w:w="5706"/>
            <w:tcMar>
              <w:top w:type="dxa" w:w="70"/>
              <w:left w:type="dxa" w:w="110"/>
              <w:bottom w:type="dxa" w:w="70"/>
              <w:right w:type="dxa" w:w="110"/>
            </w:tcMar>
          </w:tcPr>
          <w:p>
            <w:pPr>
              <w:spacing w:after="0"/>
            </w:pPr>
            <w:r>
              <w:rPr>
                <w:rFonts w:ascii="Calibri" w:cs="Calibri" w:eastAsia="Calibri" w:hAnsi="Calibri"/>
                <w:color w:val="2B2B2B"/>
                <w:sz w:val="19"/>
                <w:szCs w:val="19"/>
              </w:rPr>
              <w:t xml:space="preserve">Backgrounds, document panels</w:t>
            </w:r>
          </w:p>
        </w:tc>
      </w:tr>
      <w:tr>
        <w:tc>
          <w:tcPr>
            <w:tcW w:type="dxa" w:w="19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Sage</w:t>
            </w:r>
          </w:p>
        </w:tc>
        <w:tc>
          <w:tcPr>
            <w:tcW w:type="dxa" w:w="19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#8FA89B</w:t>
            </w:r>
          </w:p>
        </w:tc>
        <w:tc>
          <w:tcPr>
            <w:tcW w:type="dxa" w:w="57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Secondary lines, charts</w:t>
            </w:r>
          </w:p>
        </w:tc>
      </w:tr>
      <w:tr>
        <w:tc>
          <w:tcPr>
            <w:tcW w:type="dxa" w:w="1900"/>
            <w:tcMar>
              <w:top w:type="dxa" w:w="70"/>
              <w:left w:type="dxa" w:w="110"/>
              <w:bottom w:type="dxa" w:w="70"/>
              <w:right w:type="dxa" w:w="110"/>
            </w:tcMar>
          </w:tcPr>
          <w:p>
            <w:pPr>
              <w:spacing w:after="0"/>
            </w:pPr>
            <w:r>
              <w:rPr>
                <w:rFonts w:ascii="Calibri" w:cs="Calibri" w:eastAsia="Calibri" w:hAnsi="Calibri"/>
                <w:color w:val="2B2B2B"/>
                <w:sz w:val="19"/>
                <w:szCs w:val="19"/>
              </w:rPr>
              <w:t xml:space="preserve">Charcoal</w:t>
            </w:r>
          </w:p>
        </w:tc>
        <w:tc>
          <w:tcPr>
            <w:tcW w:type="dxa" w:w="1900"/>
            <w:tcMar>
              <w:top w:type="dxa" w:w="70"/>
              <w:left w:type="dxa" w:w="110"/>
              <w:bottom w:type="dxa" w:w="70"/>
              <w:right w:type="dxa" w:w="110"/>
            </w:tcMar>
          </w:tcPr>
          <w:p>
            <w:pPr>
              <w:spacing w:after="0"/>
            </w:pPr>
            <w:r>
              <w:rPr>
                <w:rFonts w:ascii="Calibri" w:cs="Calibri" w:eastAsia="Calibri" w:hAnsi="Calibri"/>
                <w:color w:val="2B2B2B"/>
                <w:sz w:val="19"/>
                <w:szCs w:val="19"/>
              </w:rPr>
              <w:t xml:space="preserve">#2B2B2B</w:t>
            </w:r>
          </w:p>
        </w:tc>
        <w:tc>
          <w:tcPr>
            <w:tcW w:type="dxa" w:w="5706"/>
            <w:tcMar>
              <w:top w:type="dxa" w:w="70"/>
              <w:left w:type="dxa" w:w="110"/>
              <w:bottom w:type="dxa" w:w="70"/>
              <w:right w:type="dxa" w:w="110"/>
            </w:tcMar>
          </w:tcPr>
          <w:p>
            <w:pPr>
              <w:spacing w:after="0"/>
            </w:pPr>
            <w:r>
              <w:rPr>
                <w:rFonts w:ascii="Calibri" w:cs="Calibri" w:eastAsia="Calibri" w:hAnsi="Calibri"/>
                <w:color w:val="2B2B2B"/>
                <w:sz w:val="19"/>
                <w:szCs w:val="19"/>
              </w:rPr>
              <w:t xml:space="preserve">All body text</w:t>
            </w:r>
          </w:p>
        </w:tc>
      </w:tr>
    </w:tbl>
    <w:p>
      <w:pPr>
        <w:spacing w:after="120" w:before="120" w:line="290"/>
      </w:pPr>
      <w:r>
        <w:rPr>
          <w:rFonts w:ascii="Calibri" w:cs="Calibri" w:eastAsia="Calibri" w:hAnsi="Calibri"/>
          <w:color w:val="6B6B6B"/>
          <w:sz w:val="19"/>
          <w:szCs w:val="19"/>
        </w:rPr>
        <w:t xml:space="preserve">One typeface everywhere, a plain grotesque (Inter, Work Sans or Calibri are all fine). Never more than two weights on a page.</w:t>
      </w:r>
    </w:p>
    <w:p>
      <w:r>
        <w:br w:type="page"/>
      </w:r>
    </w:p>
    <w:p>
      <w:pPr>
        <w:pStyle w:val="Heading1"/>
        <w:spacing w:after="160" w:before="360"/>
      </w:pPr>
      <w:r>
        <w:rPr>
          <w:rFonts w:ascii="Calibri" w:cs="Calibri" w:eastAsia="Calibri" w:hAnsi="Calibri"/>
          <w:b/>
          <w:bCs/>
          <w:color w:val="1F4E4A"/>
          <w:sz w:val="30"/>
          <w:szCs w:val="30"/>
        </w:rPr>
        <w:t xml:space="preserve">3.  How one order runs, end to end</w:t>
      </w:r>
    </w:p>
    <w:p>
      <w:pPr>
        <w:spacing w:after="120" w:before="0" w:line="290"/>
      </w:pPr>
      <w:r>
        <w:rPr>
          <w:rFonts w:ascii="Calibri" w:cs="Calibri" w:eastAsia="Calibri" w:hAnsi="Calibri"/>
          <w:color w:val="2B2B2B"/>
          <w:sz w:val="21"/>
          <w:szCs w:val="21"/>
        </w:rPr>
        <w:t xml:space="preserve">This is the part that makes the business safe, so read it slowly.</w:t>
      </w:r>
    </w:p>
    <w:p>
      <w:pPr>
        <w:spacing w:after="160"/>
        <w:jc w:val="center"/>
      </w:pPr>
      <w:r>
        <w:drawing>
          <wp:inline distT="0" distB="0" distL="0" distR="0">
            <wp:extent cx="6096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438400"/>
                    </a:xfrm>
                    <a:prstGeom prst="rect">
                      <a:avLst/>
                    </a:prstGeom>
                  </pic:spPr>
                </pic:pic>
              </a:graphicData>
            </a:graphic>
          </wp:inline>
        </w:drawing>
      </w:r>
    </w:p>
    <w:tbl>
      <w:tblPr>
        <w:tblW w:type="dxa" w:w="9506"/>
        <w:tblBorders>
          <w:top w:val="single" w:color="8FA89B" w:sz="12"/>
          <w:left w:val="single" w:color="8FA89B" w:sz="12"/>
          <w:bottom w:val="single" w:color="8FA89B" w:sz="12"/>
          <w:right w:val="single" w:color="8FA89B" w:sz="12"/>
          <w:insideH w:val="none"/>
          <w:insideV w:val="none"/>
        </w:tblBorders>
      </w:tblPr>
      <w:tblGrid>
        <w:gridCol w:w="9506"/>
      </w:tblGrid>
      <w:tr>
        <w:tc>
          <w:tcPr>
            <w:tcW w:type="dxa" w:w="9506"/>
            <w:shd w:fill="F7F3EC" w:val="clear"/>
            <w:tcMar>
              <w:top w:type="dxa" w:w="160"/>
              <w:left w:type="dxa" w:w="200"/>
              <w:bottom w:type="dxa" w:w="160"/>
              <w:right w:type="dxa" w:w="200"/>
            </w:tcMar>
          </w:tcPr>
          <w:p>
            <w:pPr>
              <w:spacing w:after="140" w:before="0" w:line="290"/>
            </w:pPr>
            <w:r>
              <w:rPr>
                <w:rFonts w:ascii="Calibri" w:cs="Calibri" w:eastAsia="Calibri" w:hAnsi="Calibri"/>
                <w:b/>
                <w:bCs/>
                <w:color w:val="1F4E4A"/>
                <w:sz w:val="24"/>
                <w:szCs w:val="24"/>
              </w:rPr>
              <w:t xml:space="preserve">You only buy after you win. Always.</w:t>
            </w:r>
          </w:p>
          <w:p>
            <w:pPr>
              <w:spacing w:after="0" w:before="0" w:line="290"/>
            </w:pPr>
            <w:r>
              <w:rPr>
                <w:rFonts w:ascii="Calibri" w:cs="Calibri" w:eastAsia="Calibri" w:hAnsi="Calibri"/>
                <w:color w:val="2B2B2B"/>
                <w:sz w:val="21"/>
                <w:szCs w:val="21"/>
              </w:rPr>
              <w:t xml:space="preserve">There is no warehouse, no stock, and no guessing what will sell. The order legally exists — the town issues a nota de empenho, a binding commitment — before a single real goes out. If you lose a tender, you spent nothing and you are holding nothing.</w:t>
            </w:r>
          </w:p>
        </w:tc>
      </w:tr>
    </w:tbl>
    <w:p>
      <w:pPr>
        <w:pStyle w:val="Heading2"/>
        <w:spacing w:after="110" w:before="260"/>
      </w:pPr>
      <w:r>
        <w:rPr>
          <w:rFonts w:ascii="Calibri" w:cs="Calibri" w:eastAsia="Calibri" w:hAnsi="Calibri"/>
          <w:b/>
          <w:bCs/>
          <w:color w:val="C96F4A"/>
          <w:sz w:val="24"/>
          <w:szCs w:val="24"/>
        </w:rPr>
        <w:t xml:space="preserve">The words you will need</w:t>
      </w:r>
    </w:p>
    <w:tbl>
      <w:tblPr>
        <w:tblW w:type="dxa" w:w="9506"/>
        <w:tblBorders>
          <w:top w:val="single" w:color="D8D2C6" w:sz="4"/>
          <w:left w:val="none"/>
          <w:bottom w:val="single" w:color="D8D2C6" w:sz="4"/>
          <w:right w:val="none"/>
          <w:insideH w:val="single" w:color="E6E1D8" w:sz="2"/>
          <w:insideV w:val="none"/>
        </w:tblBorders>
      </w:tblPr>
      <w:tblGrid>
        <w:gridCol w:w="2300"/>
        <w:gridCol w:w="7206"/>
      </w:tblGrid>
      <w:tr>
        <w:trPr>
          <w:tblHeader/>
        </w:trPr>
        <w:tc>
          <w:tcPr>
            <w:tcW w:type="dxa" w:w="23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Term</w:t>
            </w:r>
          </w:p>
        </w:tc>
        <w:tc>
          <w:tcPr>
            <w:tcW w:type="dxa" w:w="72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means</w:t>
            </w:r>
          </w:p>
        </w:tc>
      </w:tr>
      <w:tr>
        <w:tc>
          <w:tcPr>
            <w:tcW w:type="dxa" w:w="2300"/>
            <w:tcMar>
              <w:top w:type="dxa" w:w="70"/>
              <w:left w:type="dxa" w:w="110"/>
              <w:bottom w:type="dxa" w:w="70"/>
              <w:right w:type="dxa" w:w="110"/>
            </w:tcMar>
          </w:tcPr>
          <w:p>
            <w:pPr>
              <w:spacing w:after="0"/>
            </w:pPr>
            <w:r>
              <w:rPr>
                <w:rFonts w:ascii="Calibri" w:cs="Calibri" w:eastAsia="Calibri" w:hAnsi="Calibri"/>
                <w:color w:val="2B2B2B"/>
                <w:sz w:val="19"/>
                <w:szCs w:val="19"/>
              </w:rPr>
              <w:t xml:space="preserve">Edital</w:t>
            </w:r>
          </w:p>
        </w:tc>
        <w:tc>
          <w:tcPr>
            <w:tcW w:type="dxa" w:w="7206"/>
            <w:tcMar>
              <w:top w:type="dxa" w:w="70"/>
              <w:left w:type="dxa" w:w="110"/>
              <w:bottom w:type="dxa" w:w="70"/>
              <w:right w:type="dxa" w:w="110"/>
            </w:tcMar>
          </w:tcPr>
          <w:p>
            <w:pPr>
              <w:spacing w:after="0"/>
            </w:pPr>
            <w:r>
              <w:rPr>
                <w:rFonts w:ascii="Calibri" w:cs="Calibri" w:eastAsia="Calibri" w:hAnsi="Calibri"/>
                <w:color w:val="2B2B2B"/>
                <w:sz w:val="19"/>
                <w:szCs w:val="19"/>
              </w:rPr>
              <w:t xml:space="preserve">The tender document. Contains the item list, the deadlines and the rules</w:t>
            </w:r>
          </w:p>
        </w:tc>
      </w:tr>
      <w:tr>
        <w:tc>
          <w:tcPr>
            <w:tcW w:type="dxa" w:w="23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Pregão / dispensa</w:t>
            </w:r>
          </w:p>
        </w:tc>
        <w:tc>
          <w:tcPr>
            <w:tcW w:type="dxa" w:w="72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The two ways they buy. Pregão is a live online reverse auction; dispensa is a small fast purchase</w:t>
            </w:r>
          </w:p>
        </w:tc>
      </w:tr>
      <w:tr>
        <w:tc>
          <w:tcPr>
            <w:tcW w:type="dxa" w:w="2300"/>
            <w:tcMar>
              <w:top w:type="dxa" w:w="70"/>
              <w:left w:type="dxa" w:w="110"/>
              <w:bottom w:type="dxa" w:w="70"/>
              <w:right w:type="dxa" w:w="110"/>
            </w:tcMar>
          </w:tcPr>
          <w:p>
            <w:pPr>
              <w:spacing w:after="0"/>
            </w:pPr>
            <w:r>
              <w:rPr>
                <w:rFonts w:ascii="Calibri" w:cs="Calibri" w:eastAsia="Calibri" w:hAnsi="Calibri"/>
                <w:color w:val="2B2B2B"/>
                <w:sz w:val="19"/>
                <w:szCs w:val="19"/>
              </w:rPr>
              <w:t xml:space="preserve">Nota de empenho</w:t>
            </w:r>
          </w:p>
        </w:tc>
        <w:tc>
          <w:tcPr>
            <w:tcW w:type="dxa" w:w="7206"/>
            <w:tcMar>
              <w:top w:type="dxa" w:w="70"/>
              <w:left w:type="dxa" w:w="110"/>
              <w:bottom w:type="dxa" w:w="70"/>
              <w:right w:type="dxa" w:w="110"/>
            </w:tcMar>
          </w:tcPr>
          <w:p>
            <w:pPr>
              <w:spacing w:after="0"/>
            </w:pPr>
            <w:r>
              <w:rPr>
                <w:rFonts w:ascii="Calibri" w:cs="Calibri" w:eastAsia="Calibri" w:hAnsi="Calibri"/>
                <w:color w:val="2B2B2B"/>
                <w:sz w:val="19"/>
                <w:szCs w:val="19"/>
              </w:rPr>
              <w:t xml:space="preserve">The purchase order. Legally commits the town's budget to you</w:t>
            </w:r>
          </w:p>
        </w:tc>
      </w:tr>
      <w:tr>
        <w:tc>
          <w:tcPr>
            <w:tcW w:type="dxa" w:w="23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Ateste</w:t>
            </w:r>
          </w:p>
        </w:tc>
        <w:tc>
          <w:tcPr>
            <w:tcW w:type="dxa" w:w="72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A town official signs to confirm the delivery arrived correctly. The payment clock starts here</w:t>
            </w:r>
          </w:p>
        </w:tc>
      </w:tr>
      <w:tr>
        <w:tc>
          <w:tcPr>
            <w:tcW w:type="dxa" w:w="2300"/>
            <w:tcMar>
              <w:top w:type="dxa" w:w="70"/>
              <w:left w:type="dxa" w:w="110"/>
              <w:bottom w:type="dxa" w:w="70"/>
              <w:right w:type="dxa" w:w="110"/>
            </w:tcMar>
          </w:tcPr>
          <w:p>
            <w:pPr>
              <w:spacing w:after="0"/>
            </w:pPr>
            <w:r>
              <w:rPr>
                <w:rFonts w:ascii="Calibri" w:cs="Calibri" w:eastAsia="Calibri" w:hAnsi="Calibri"/>
                <w:color w:val="2B2B2B"/>
                <w:sz w:val="19"/>
                <w:szCs w:val="19"/>
              </w:rPr>
              <w:t xml:space="preserve">Nota fiscal</w:t>
            </w:r>
          </w:p>
        </w:tc>
        <w:tc>
          <w:tcPr>
            <w:tcW w:type="dxa" w:w="7206"/>
            <w:tcMar>
              <w:top w:type="dxa" w:w="70"/>
              <w:left w:type="dxa" w:w="110"/>
              <w:bottom w:type="dxa" w:w="70"/>
              <w:right w:type="dxa" w:w="110"/>
            </w:tcMar>
          </w:tcPr>
          <w:p>
            <w:pPr>
              <w:spacing w:after="0"/>
            </w:pPr>
            <w:r>
              <w:rPr>
                <w:rFonts w:ascii="Calibri" w:cs="Calibri" w:eastAsia="Calibri" w:hAnsi="Calibri"/>
                <w:color w:val="2B2B2B"/>
                <w:sz w:val="19"/>
                <w:szCs w:val="19"/>
              </w:rPr>
              <w:t xml:space="preserve">Your invoice. Must carry the empenho number or the clock restarts</w:t>
            </w:r>
          </w:p>
        </w:tc>
      </w:tr>
      <w:tr>
        <w:tc>
          <w:tcPr>
            <w:tcW w:type="dxa" w:w="23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Atestado de capacidade</w:t>
            </w:r>
          </w:p>
        </w:tc>
        <w:tc>
          <w:tcPr>
            <w:tcW w:type="dxa" w:w="72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A reference letter from a past buyer. Some tenders ask for one</w:t>
            </w:r>
          </w:p>
        </w:tc>
      </w:tr>
      <w:tr>
        <w:tc>
          <w:tcPr>
            <w:tcW w:type="dxa" w:w="2300"/>
            <w:tcMar>
              <w:top w:type="dxa" w:w="70"/>
              <w:left w:type="dxa" w:w="110"/>
              <w:bottom w:type="dxa" w:w="70"/>
              <w:right w:type="dxa" w:w="110"/>
            </w:tcMar>
          </w:tcPr>
          <w:p>
            <w:pPr>
              <w:spacing w:after="0"/>
            </w:pPr>
            <w:r>
              <w:rPr>
                <w:rFonts w:ascii="Calibri" w:cs="Calibri" w:eastAsia="Calibri" w:hAnsi="Calibri"/>
                <w:color w:val="2B2B2B"/>
                <w:sz w:val="19"/>
                <w:szCs w:val="19"/>
              </w:rPr>
              <w:t xml:space="preserve">SRP / ata de registro de preços</w:t>
            </w:r>
          </w:p>
        </w:tc>
        <w:tc>
          <w:tcPr>
            <w:tcW w:type="dxa" w:w="7206"/>
            <w:tcMar>
              <w:top w:type="dxa" w:w="70"/>
              <w:left w:type="dxa" w:w="110"/>
              <w:bottom w:type="dxa" w:w="70"/>
              <w:right w:type="dxa" w:w="110"/>
            </w:tcMar>
          </w:tcPr>
          <w:p>
            <w:pPr>
              <w:spacing w:after="0"/>
            </w:pPr>
            <w:r>
              <w:rPr>
                <w:rFonts w:ascii="Calibri" w:cs="Calibri" w:eastAsia="Calibri" w:hAnsi="Calibri"/>
                <w:color w:val="2B2B2B"/>
                <w:sz w:val="19"/>
                <w:szCs w:val="19"/>
              </w:rPr>
              <w:t xml:space="preserve">A price agreed for a year that the town draws on when it needs to</w:t>
            </w:r>
          </w:p>
        </w:tc>
      </w:tr>
    </w:tbl>
    <w:p>
      <w:pPr>
        <w:pStyle w:val="Heading2"/>
        <w:spacing w:after="110" w:before="260"/>
      </w:pPr>
      <w:r>
        <w:rPr>
          <w:rFonts w:ascii="Calibri" w:cs="Calibri" w:eastAsia="Calibri" w:hAnsi="Calibri"/>
          <w:b/>
          <w:bCs/>
          <w:color w:val="C96F4A"/>
          <w:sz w:val="24"/>
          <w:szCs w:val="24"/>
        </w:rPr>
        <w:t xml:space="preserve">The one real operational risk</w:t>
      </w:r>
    </w:p>
    <w:p>
      <w:pPr>
        <w:spacing w:after="120" w:before="0" w:line="290"/>
      </w:pPr>
      <w:r>
        <w:rPr>
          <w:rFonts w:ascii="Calibri" w:cs="Calibri" w:eastAsia="Calibri" w:hAnsi="Calibri"/>
          <w:color w:val="2B2B2B"/>
          <w:sz w:val="21"/>
          <w:szCs w:val="21"/>
        </w:rPr>
        <w:t xml:space="preserve">Delivery deadlines are short. The measured median is 10 days, and about one tender in three gives 5 days or fewer. </w:t>
      </w:r>
      <w:r>
        <w:rPr>
          <w:rFonts w:ascii="Calibri" w:cs="Calibri" w:eastAsia="Calibri" w:hAnsi="Calibri"/>
          <w:b/>
          <w:bCs/>
          <w:color w:val="2B2B2B"/>
          <w:sz w:val="21"/>
          <w:szCs w:val="21"/>
        </w:rPr>
        <w:t xml:space="preserve">The script must reject any tender with a deadline we cannot physically hit.</w:t>
      </w:r>
      <w:r>
        <w:rPr>
          <w:rFonts w:ascii="Calibri" w:cs="Calibri" w:eastAsia="Calibri" w:hAnsi="Calibri"/>
          <w:color w:val="2B2B2B"/>
          <w:sz w:val="21"/>
          <w:szCs w:val="21"/>
        </w:rPr>
        <w:t xml:space="preserve"> That is a filter, not a problem — but it is a filter we must never forget to apply.</w:t>
      </w:r>
    </w:p>
    <w:p>
      <w:r>
        <w:br w:type="page"/>
      </w:r>
    </w:p>
    <w:p>
      <w:pPr>
        <w:pStyle w:val="Heading1"/>
        <w:spacing w:after="160" w:before="360"/>
      </w:pPr>
      <w:r>
        <w:rPr>
          <w:rFonts w:ascii="Calibri" w:cs="Calibri" w:eastAsia="Calibri" w:hAnsi="Calibri"/>
          <w:b/>
          <w:bCs/>
          <w:color w:val="1F4E4A"/>
          <w:sz w:val="30"/>
          <w:szCs w:val="30"/>
        </w:rPr>
        <w:t xml:space="preserve">4.  What we sell</w:t>
      </w:r>
    </w:p>
    <w:p>
      <w:pPr>
        <w:spacing w:after="120" w:before="0" w:line="290"/>
      </w:pPr>
      <w:r>
        <w:rPr>
          <w:rFonts w:ascii="Calibri" w:cs="Calibri" w:eastAsia="Calibri" w:hAnsi="Calibri"/>
          <w:b/>
          <w:bCs/>
          <w:color w:val="2B2B2B"/>
          <w:sz w:val="21"/>
          <w:szCs w:val="21"/>
        </w:rPr>
        <w:t xml:space="preserve">We do not design the kit. </w:t>
      </w:r>
      <w:r>
        <w:rPr>
          <w:rFonts w:ascii="Calibri" w:cs="Calibri" w:eastAsia="Calibri" w:hAnsi="Calibri"/>
          <w:color w:val="2B2B2B"/>
          <w:sz w:val="21"/>
          <w:szCs w:val="21"/>
        </w:rPr>
        <w:t xml:space="preserve">The town hall writes the list and we price whatever it asks for. Here is one real tender we could have bid on — Itaquaquecetuba, São Paulo, 5.000 kits, sold at R$359,05 each.</w:t>
      </w:r>
    </w:p>
    <w:p>
      <w:pPr>
        <w:spacing w:after="160"/>
        <w:jc w:val="center"/>
      </w:pPr>
      <w:r>
        <w:drawing>
          <wp:inline distT="0" distB="0" distL="0" distR="0">
            <wp:extent cx="6096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771775"/>
                    </a:xfrm>
                    <a:prstGeom prst="rect">
                      <a:avLst/>
                    </a:prstGeom>
                  </pic:spPr>
                </pic:pic>
              </a:graphicData>
            </a:graphic>
          </wp:inline>
        </w:drawing>
      </w:r>
    </w:p>
    <w:p>
      <w:pPr>
        <w:pStyle w:val="Heading2"/>
        <w:spacing w:after="110" w:before="260"/>
      </w:pPr>
      <w:r>
        <w:rPr>
          <w:rFonts w:ascii="Calibri" w:cs="Calibri" w:eastAsia="Calibri" w:hAnsi="Calibri"/>
          <w:b/>
          <w:bCs/>
          <w:color w:val="C96F4A"/>
          <w:sz w:val="24"/>
          <w:szCs w:val="24"/>
        </w:rPr>
        <w:t xml:space="preserve">There are two kinds of tender, and they are different jobs</w:t>
      </w:r>
    </w:p>
    <w:tbl>
      <w:tblPr>
        <w:tblW w:type="dxa" w:w="9506"/>
        <w:tblBorders>
          <w:top w:val="single" w:color="D8D2C6" w:sz="4"/>
          <w:left w:val="none"/>
          <w:bottom w:val="single" w:color="D8D2C6" w:sz="4"/>
          <w:right w:val="none"/>
          <w:insideH w:val="single" w:color="E6E1D8" w:sz="2"/>
          <w:insideV w:val="none"/>
        </w:tblBorders>
      </w:tblPr>
      <w:tblGrid>
        <w:gridCol w:w="1900"/>
        <w:gridCol w:w="3900"/>
        <w:gridCol w:w="3706"/>
      </w:tblGrid>
      <w:tr>
        <w:trPr>
          <w:tblHeader/>
        </w:trPr>
        <w:tc>
          <w:tcPr>
            <w:tcW w:type="dxa" w:w="19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Tender says</w:t>
            </w:r>
          </w:p>
        </w:tc>
        <w:tc>
          <w:tcPr>
            <w:tcW w:type="dxa" w:w="39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happens</w:t>
            </w:r>
          </w:p>
        </w:tc>
        <w:tc>
          <w:tcPr>
            <w:tcW w:type="dxa" w:w="37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Our view</w:t>
            </w:r>
          </w:p>
        </w:tc>
      </w:tr>
      <w:tr>
        <w:tc>
          <w:tcPr>
            <w:tcW w:type="dxa" w:w="1900"/>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Price per KIT</w:t>
            </w:r>
          </w:p>
        </w:tc>
        <w:tc>
          <w:tcPr>
            <w:tcW w:type="dxa" w:w="3900"/>
            <w:tcMar>
              <w:top w:type="dxa" w:w="70"/>
              <w:left w:type="dxa" w:w="110"/>
              <w:bottom w:type="dxa" w:w="70"/>
              <w:right w:type="dxa" w:w="110"/>
            </w:tcMar>
          </w:tcPr>
          <w:p>
            <w:pPr>
              <w:spacing w:after="0"/>
            </w:pPr>
            <w:r>
              <w:rPr>
                <w:rFonts w:ascii="Calibri" w:cs="Calibri" w:eastAsia="Calibri" w:hAnsi="Calibri"/>
                <w:color w:val="2B2B2B"/>
                <w:sz w:val="19"/>
                <w:szCs w:val="19"/>
              </w:rPr>
              <w:t xml:space="preserve">We buy all the components, assemble the bags, and ship finished kits</w:t>
            </w:r>
          </w:p>
        </w:tc>
        <w:tc>
          <w:tcPr>
            <w:tcW w:type="dxa" w:w="3706"/>
            <w:tcMar>
              <w:top w:type="dxa" w:w="70"/>
              <w:left w:type="dxa" w:w="110"/>
              <w:bottom w:type="dxa" w:w="70"/>
              <w:right w:type="dxa" w:w="110"/>
            </w:tcMar>
          </w:tcPr>
          <w:p>
            <w:pPr>
              <w:spacing w:after="0"/>
            </w:pPr>
            <w:r>
              <w:rPr>
                <w:rFonts w:ascii="Calibri" w:cs="Calibri" w:eastAsia="Calibri" w:hAnsi="Calibri"/>
                <w:color w:val="2B2B2B"/>
                <w:sz w:val="19"/>
                <w:szCs w:val="19"/>
              </w:rPr>
              <w:t xml:space="preserve">The good one. This is where the margin is — R$11,1 million a year</w:t>
            </w:r>
          </w:p>
        </w:tc>
      </w:tr>
      <w:tr>
        <w:tc>
          <w:tcPr>
            <w:tcW w:type="dxa" w:w="1900"/>
            <w:shd w:fill="F4F1EB" w:val="clear"/>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Price per ITEM</w:t>
            </w:r>
          </w:p>
        </w:tc>
        <w:tc>
          <w:tcPr>
            <w:tcW w:type="dxa" w:w="39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The town buys 3.000 towels and 3.000 blankets separately and its own staff assemble them</w:t>
            </w:r>
          </w:p>
        </w:tc>
        <w:tc>
          <w:tcPr>
            <w:tcW w:type="dxa" w:w="37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Easier — the wholesaler ships straight to the town. Thinner margin</w:t>
            </w:r>
          </w:p>
        </w:tc>
      </w:tr>
    </w:tbl>
    <w:p>
      <w:pPr>
        <w:pStyle w:val="Heading2"/>
        <w:spacing w:after="110" w:before="260"/>
      </w:pPr>
      <w:r>
        <w:rPr>
          <w:rFonts w:ascii="Calibri" w:cs="Calibri" w:eastAsia="Calibri" w:hAnsi="Calibri"/>
          <w:b/>
          <w:bCs/>
          <w:color w:val="C96F4A"/>
          <w:sz w:val="24"/>
          <w:szCs w:val="24"/>
        </w:rPr>
        <w:t xml:space="preserve">The products we will not touch</w:t>
      </w:r>
    </w:p>
    <w:p>
      <w:pPr>
        <w:pStyle w:val="ListParagraph"/>
        <w:numPr>
          <w:ilvl w:val="0"/>
          <w:numId w:val="2"/>
        </w:numPr>
        <w:spacing w:after="70" w:line="280"/>
      </w:pPr>
      <w:r>
        <w:rPr>
          <w:rFonts w:ascii="Calibri" w:cs="Calibri" w:eastAsia="Calibri" w:hAnsi="Calibri"/>
          <w:b/>
          <w:bCs/>
          <w:color w:val="2B2B2B"/>
          <w:sz w:val="21"/>
          <w:szCs w:val="21"/>
        </w:rPr>
        <w:t xml:space="preserve">Mamadeiras and chupetas </w:t>
      </w:r>
      <w:r>
        <w:rPr>
          <w:rFonts w:ascii="Calibri" w:cs="Calibri" w:eastAsia="Calibri" w:hAnsi="Calibri"/>
          <w:color w:val="2B2B2B"/>
          <w:sz w:val="21"/>
          <w:szCs w:val="21"/>
        </w:rPr>
        <w:t xml:space="preserve">(bottles and dummies) — they need INMETRO certification under Portaria 490/2014. Keep them out of every bid.</w:t>
      </w:r>
    </w:p>
    <w:p>
      <w:pPr>
        <w:pStyle w:val="ListParagraph"/>
        <w:numPr>
          <w:ilvl w:val="0"/>
          <w:numId w:val="2"/>
        </w:numPr>
        <w:spacing w:after="70" w:line="280"/>
      </w:pPr>
      <w:r>
        <w:rPr>
          <w:rFonts w:ascii="Calibri" w:cs="Calibri" w:eastAsia="Calibri" w:hAnsi="Calibri"/>
          <w:color w:val="2B2B2B"/>
          <w:sz w:val="21"/>
          <w:szCs w:val="21"/>
        </w:rPr>
        <w:t xml:space="preserve">Any tender sold as one undivided lot (</w:t>
      </w:r>
      <w:r>
        <w:rPr>
          <w:rFonts w:ascii="Calibri" w:cs="Calibri" w:eastAsia="Calibri" w:hAnsi="Calibri"/>
          <w:b/>
          <w:bCs/>
          <w:i/>
          <w:iCs/>
          <w:color w:val="2B2B2B"/>
          <w:sz w:val="21"/>
          <w:szCs w:val="21"/>
        </w:rPr>
        <w:t xml:space="preserve">lote único</w:t>
      </w:r>
      <w:r>
        <w:rPr>
          <w:rFonts w:ascii="Calibri" w:cs="Calibri" w:eastAsia="Calibri" w:hAnsi="Calibri"/>
          <w:color w:val="2B2B2B"/>
          <w:sz w:val="21"/>
          <w:szCs w:val="21"/>
        </w:rPr>
        <w:t xml:space="preserve">) — measured, these clear at 36–63% of estimate and are where factories dump. We reject them on sight.</w:t>
      </w:r>
    </w:p>
    <w:p>
      <w:pPr>
        <w:pStyle w:val="ListParagraph"/>
        <w:numPr>
          <w:ilvl w:val="0"/>
          <w:numId w:val="2"/>
        </w:numPr>
        <w:spacing w:after="70" w:line="280"/>
      </w:pPr>
      <w:r>
        <w:rPr>
          <w:rFonts w:ascii="Calibri" w:cs="Calibri" w:eastAsia="Calibri" w:hAnsi="Calibri"/>
          <w:color w:val="2B2B2B"/>
          <w:sz w:val="21"/>
          <w:szCs w:val="21"/>
        </w:rPr>
        <w:t xml:space="preserve">Any kit over about 18 items — too many things to source, too many ways to be caught short.</w:t>
      </w:r>
    </w:p>
    <w:p>
      <w:r>
        <w:br w:type="page"/>
      </w:r>
    </w:p>
    <w:p>
      <w:pPr>
        <w:pStyle w:val="Heading1"/>
        <w:spacing w:after="160" w:before="360"/>
      </w:pPr>
      <w:r>
        <w:rPr>
          <w:rFonts w:ascii="Calibri" w:cs="Calibri" w:eastAsia="Calibri" w:hAnsi="Calibri"/>
          <w:b/>
          <w:bCs/>
          <w:color w:val="1F4E4A"/>
          <w:sz w:val="30"/>
          <w:szCs w:val="30"/>
        </w:rPr>
        <w:t xml:space="preserve">5.  Where the money actually is</w:t>
      </w:r>
    </w:p>
    <w:p>
      <w:pPr>
        <w:spacing w:after="120" w:before="0" w:line="290"/>
      </w:pPr>
      <w:r>
        <w:rPr>
          <w:rFonts w:ascii="Calibri" w:cs="Calibri" w:eastAsia="Calibri" w:hAnsi="Calibri"/>
          <w:color w:val="2B2B2B"/>
          <w:sz w:val="21"/>
          <w:szCs w:val="21"/>
        </w:rPr>
        <w:t xml:space="preserve">This is the single most important page in the document, and it is the thing we got wrong and then fixed.</w:t>
      </w:r>
    </w:p>
    <w:p>
      <w:pPr>
        <w:spacing w:after="160"/>
        <w:jc w:val="center"/>
      </w:pPr>
      <w:r>
        <w:drawing>
          <wp:inline distT="0" distB="0" distL="0" distR="0">
            <wp:extent cx="6096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552700"/>
                    </a:xfrm>
                    <a:prstGeom prst="rect">
                      <a:avLst/>
                    </a:prstGeom>
                  </pic:spPr>
                </pic:pic>
              </a:graphicData>
            </a:graphic>
          </wp:inline>
        </w:drawing>
      </w:r>
    </w:p>
    <w:p>
      <w:pPr>
        <w:spacing w:after="120" w:before="0" w:line="290"/>
      </w:pPr>
      <w:r>
        <w:rPr>
          <w:rFonts w:ascii="Calibri" w:cs="Calibri" w:eastAsia="Calibri" w:hAnsi="Calibri"/>
          <w:b/>
          <w:bCs/>
          <w:color w:val="2B2B2B"/>
          <w:sz w:val="21"/>
          <w:szCs w:val="21"/>
        </w:rPr>
        <w:t xml:space="preserve">Sell the items one by one and you lose. </w:t>
      </w:r>
      <w:r>
        <w:rPr>
          <w:rFonts w:ascii="Calibri" w:cs="Calibri" w:eastAsia="Calibri" w:hAnsi="Calibri"/>
          <w:color w:val="2B2B2B"/>
          <w:sz w:val="21"/>
          <w:szCs w:val="21"/>
        </w:rPr>
        <w:t xml:space="preserve">A bodysuit costs R$15,32 in São Paulo and towns pay a median of R$12,66 for one — you are 21% underwater before you start. That is not bad luck: those lines are dominated by manufacturers bidding direct. One of them, BRINK MOBIL, has R$32 million of capital. We cannot beat a factory on a single commodity garment and should never try.</w:t>
      </w:r>
    </w:p>
    <w:p>
      <w:pPr>
        <w:spacing w:after="120" w:before="0" w:line="290"/>
      </w:pPr>
      <w:r>
        <w:rPr>
          <w:rFonts w:ascii="Calibri" w:cs="Calibri" w:eastAsia="Calibri" w:hAnsi="Calibri"/>
          <w:b/>
          <w:bCs/>
          <w:color w:val="2B2B2B"/>
          <w:sz w:val="21"/>
          <w:szCs w:val="21"/>
        </w:rPr>
        <w:t xml:space="preserve">Sell the assembled kit and it works. </w:t>
      </w:r>
      <w:r>
        <w:rPr>
          <w:rFonts w:ascii="Calibri" w:cs="Calibri" w:eastAsia="Calibri" w:hAnsi="Calibri"/>
          <w:color w:val="2B2B2B"/>
          <w:sz w:val="21"/>
          <w:szCs w:val="21"/>
        </w:rPr>
        <w:t xml:space="preserve">Everybody knows what a bodysuit costs. Nobody publishes a price for “seventeen specified baby things in a bag”, so the price is set by who shows up rather than by a catalogue. And in that band </w:t>
      </w:r>
      <w:r>
        <w:rPr>
          <w:rFonts w:ascii="Calibri" w:cs="Calibri" w:eastAsia="Calibri" w:hAnsi="Calibri"/>
          <w:b/>
          <w:bCs/>
          <w:color w:val="2B2B2B"/>
          <w:sz w:val="21"/>
          <w:szCs w:val="21"/>
        </w:rPr>
        <w:t xml:space="preserve">75% of the money is won by small firms our own size</w:t>
      </w:r>
      <w:r>
        <w:rPr>
          <w:rFonts w:ascii="Calibri" w:cs="Calibri" w:eastAsia="Calibri" w:hAnsi="Calibri"/>
          <w:color w:val="2B2B2B"/>
          <w:sz w:val="21"/>
          <w:szCs w:val="21"/>
        </w:rPr>
        <w:t xml:space="preserve"> — not by the giants.</w:t>
      </w:r>
    </w:p>
    <w:p>
      <w:pPr>
        <w:spacing w:after="60"/>
      </w:pPr>
    </w:p>
    <w:tbl>
      <w:tblPr>
        <w:tblW w:type="dxa" w:w="9506"/>
        <w:tblBorders>
          <w:top w:val="single" w:color="C96F4A" w:sz="12"/>
          <w:left w:val="single" w:color="C96F4A" w:sz="12"/>
          <w:bottom w:val="single" w:color="C96F4A" w:sz="12"/>
          <w:right w:val="single" w:color="C96F4A" w:sz="12"/>
          <w:insideH w:val="none"/>
          <w:insideV w:val="none"/>
        </w:tblBorders>
      </w:tblPr>
      <w:tblGrid>
        <w:gridCol w:w="9506"/>
      </w:tblGrid>
      <w:tr>
        <w:tc>
          <w:tcPr>
            <w:tcW w:type="dxa" w:w="9506"/>
            <w:shd w:fill="FAEDE6" w:val="clear"/>
            <w:tcMar>
              <w:top w:type="dxa" w:w="160"/>
              <w:left w:type="dxa" w:w="200"/>
              <w:bottom w:type="dxa" w:w="160"/>
              <w:right w:type="dxa" w:w="200"/>
            </w:tcMar>
          </w:tcPr>
          <w:p>
            <w:pPr>
              <w:spacing w:after="120" w:before="0" w:line="290"/>
            </w:pPr>
            <w:r>
              <w:rPr>
                <w:rFonts w:ascii="Calibri" w:cs="Calibri" w:eastAsia="Calibri" w:hAnsi="Calibri"/>
                <w:b/>
                <w:bCs/>
                <w:color w:val="C96F4A"/>
                <w:sz w:val="22"/>
                <w:szCs w:val="22"/>
              </w:rPr>
              <w:t xml:space="preserve">The rule, in one line</w:t>
            </w:r>
          </w:p>
          <w:p>
            <w:pPr>
              <w:spacing w:after="0" w:before="0" w:line="290"/>
              <w:jc w:val="center"/>
            </w:pPr>
            <w:r>
              <w:rPr>
                <w:rFonts w:ascii="Calibri" w:cs="Calibri" w:eastAsia="Calibri" w:hAnsi="Calibri"/>
                <w:b/>
                <w:bCs/>
                <w:color w:val="1F4E4A"/>
                <w:sz w:val="26"/>
                <w:szCs w:val="26"/>
              </w:rPr>
              <w:t xml:space="preserve">Sell the bag. Never sell the things in the bag.</w:t>
            </w:r>
          </w:p>
        </w:tc>
      </w:tr>
    </w:tbl>
    <w:p>
      <w:pPr>
        <w:pStyle w:val="Heading1"/>
        <w:spacing w:after="160" w:before="360"/>
      </w:pPr>
      <w:r>
        <w:rPr>
          <w:rFonts w:ascii="Calibri" w:cs="Calibri" w:eastAsia="Calibri" w:hAnsi="Calibri"/>
          <w:b/>
          <w:bCs/>
          <w:color w:val="1F4E4A"/>
          <w:sz w:val="30"/>
          <w:szCs w:val="30"/>
        </w:rPr>
        <w:t xml:space="preserve">6.  Where we sell</w:t>
      </w:r>
    </w:p>
    <w:p>
      <w:pPr>
        <w:spacing w:after="120" w:before="0" w:line="290"/>
      </w:pPr>
      <w:r>
        <w:rPr>
          <w:rFonts w:ascii="Calibri" w:cs="Calibri" w:eastAsia="Calibri" w:hAnsi="Calibri"/>
          <w:color w:val="2B2B2B"/>
          <w:sz w:val="21"/>
          <w:szCs w:val="21"/>
        </w:rPr>
        <w:t xml:space="preserve">We buy in São Paulo, because that is where the wholesalers are and because buying out of state costs about 6 extra points of tax. </w:t>
      </w:r>
      <w:r>
        <w:rPr>
          <w:rFonts w:ascii="Calibri" w:cs="Calibri" w:eastAsia="Calibri" w:hAnsi="Calibri"/>
          <w:b/>
          <w:bCs/>
          <w:color w:val="2B2B2B"/>
          <w:sz w:val="21"/>
          <w:szCs w:val="21"/>
        </w:rPr>
        <w:t xml:space="preserve">We sell almost anywhere except São Paulo.</w:t>
      </w:r>
      <w:r>
        <w:rPr>
          <w:rFonts w:ascii="Calibri" w:cs="Calibri" w:eastAsia="Calibri" w:hAnsi="Calibri"/>
          <w:color w:val="2B2B2B"/>
          <w:sz w:val="21"/>
          <w:szCs w:val="21"/>
        </w:rPr>
        <w:t xml:space="preserve"> São Paulo has the most kit tenders in the country and the worst prices — their suppliers are all local and the bidding is crowded.</w:t>
      </w:r>
    </w:p>
    <w:p>
      <w:pPr>
        <w:spacing w:after="160"/>
        <w:jc w:val="center"/>
      </w:pPr>
      <w:r>
        <w:drawing>
          <wp:inline distT="0" distB="0" distL="0" distR="0">
            <wp:extent cx="6096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38400"/>
                    </a:xfrm>
                    <a:prstGeom prst="rect">
                      <a:avLst/>
                    </a:prstGeom>
                  </pic:spPr>
                </pic:pic>
              </a:graphicData>
            </a:graphic>
          </wp:inline>
        </w:drawing>
      </w:r>
    </w:p>
    <w:p>
      <w:pPr>
        <w:spacing w:after="120" w:before="0" w:line="290"/>
      </w:pPr>
      <w:r>
        <w:rPr>
          <w:rFonts w:ascii="Calibri" w:cs="Calibri" w:eastAsia="Calibri" w:hAnsi="Calibri"/>
          <w:color w:val="2B2B2B"/>
          <w:sz w:val="21"/>
          <w:szCs w:val="21"/>
        </w:rPr>
        <w:t xml:space="preserve">Bid first in </w:t>
      </w:r>
      <w:r>
        <w:rPr>
          <w:rFonts w:ascii="Calibri" w:cs="Calibri" w:eastAsia="Calibri" w:hAnsi="Calibri"/>
          <w:b/>
          <w:bCs/>
          <w:color w:val="2B2B2B"/>
          <w:sz w:val="21"/>
          <w:szCs w:val="21"/>
        </w:rPr>
        <w:t xml:space="preserve">MG · MA · BA · CE · PE · SE · PA · RN</w:t>
      </w:r>
      <w:r>
        <w:rPr>
          <w:rFonts w:ascii="Calibri" w:cs="Calibri" w:eastAsia="Calibri" w:hAnsi="Calibri"/>
          <w:color w:val="2B2B2B"/>
          <w:sz w:val="21"/>
          <w:szCs w:val="21"/>
        </w:rPr>
        <w:t xml:space="preserve">. De-prioritise SP, ES, MT and MS. The rule underneath it: </w:t>
      </w:r>
      <w:r>
        <w:rPr>
          <w:rFonts w:ascii="Calibri" w:cs="Calibri" w:eastAsia="Calibri" w:hAnsi="Calibri"/>
          <w:b/>
          <w:bCs/>
          <w:color w:val="C96F4A"/>
          <w:sz w:val="21"/>
          <w:szCs w:val="21"/>
        </w:rPr>
        <w:t xml:space="preserve">bid where few people bother to bid, not where it is far away.</w:t>
      </w:r>
    </w:p>
    <w:p>
      <w:r>
        <w:br w:type="page"/>
      </w:r>
    </w:p>
    <w:p>
      <w:pPr>
        <w:pStyle w:val="Heading1"/>
        <w:spacing w:after="160" w:before="360"/>
      </w:pPr>
      <w:r>
        <w:rPr>
          <w:rFonts w:ascii="Calibri" w:cs="Calibri" w:eastAsia="Calibri" w:hAnsi="Calibri"/>
          <w:b/>
          <w:bCs/>
          <w:color w:val="1F4E4A"/>
          <w:sz w:val="30"/>
          <w:szCs w:val="30"/>
        </w:rPr>
        <w:t xml:space="preserve">7.  The numbers</w:t>
      </w:r>
    </w:p>
    <w:p>
      <w:pPr>
        <w:spacing w:after="120" w:before="0" w:line="290"/>
      </w:pPr>
      <w:r>
        <w:rPr>
          <w:rFonts w:ascii="Calibri" w:cs="Calibri" w:eastAsia="Calibri" w:hAnsi="Calibri"/>
          <w:color w:val="2B2B2B"/>
          <w:sz w:val="21"/>
          <w:szCs w:val="21"/>
        </w:rPr>
        <w:t xml:space="preserve">Target: around R$360.000 of sales a year, which nets roughly R$146.000 — about US$2.340 a month. That needs 21 won tenders a year.</w:t>
      </w:r>
    </w:p>
    <w:tbl>
      <w:tblPr>
        <w:tblW w:type="dxa" w:w="9506"/>
        <w:tblBorders>
          <w:top w:val="single" w:color="D8D2C6" w:sz="4"/>
          <w:left w:val="none"/>
          <w:bottom w:val="single" w:color="D8D2C6" w:sz="4"/>
          <w:right w:val="none"/>
          <w:insideH w:val="single" w:color="E6E1D8" w:sz="2"/>
          <w:insideV w:val="none"/>
        </w:tblBorders>
      </w:tblPr>
      <w:tblGrid>
        <w:gridCol w:w="3300"/>
        <w:gridCol w:w="2100"/>
        <w:gridCol w:w="4106"/>
      </w:tblGrid>
      <w:tr>
        <w:trPr>
          <w:tblHeader/>
        </w:trPr>
        <w:tc>
          <w:tcPr>
            <w:tcW w:type="dxa" w:w="33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
            </w:r>
          </w:p>
        </w:tc>
        <w:tc>
          <w:tcPr>
            <w:tcW w:type="dxa" w:w="21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Number</w:t>
            </w:r>
          </w:p>
        </w:tc>
        <w:tc>
          <w:tcPr>
            <w:tcW w:type="dxa" w:w="41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means</w:t>
            </w:r>
          </w:p>
        </w:tc>
      </w:tr>
      <w:tr>
        <w:tc>
          <w:tcPr>
            <w:tcW w:type="dxa" w:w="3300"/>
            <w:tcMar>
              <w:top w:type="dxa" w:w="70"/>
              <w:left w:type="dxa" w:w="110"/>
              <w:bottom w:type="dxa" w:w="70"/>
              <w:right w:type="dxa" w:w="110"/>
            </w:tcMar>
          </w:tcPr>
          <w:p>
            <w:pPr>
              <w:spacing w:after="0"/>
            </w:pPr>
            <w:r>
              <w:rPr>
                <w:rFonts w:ascii="Calibri" w:cs="Calibri" w:eastAsia="Calibri" w:hAnsi="Calibri"/>
                <w:color w:val="2B2B2B"/>
                <w:sz w:val="19"/>
                <w:szCs w:val="19"/>
              </w:rPr>
              <w:t xml:space="preserve">Tenders published a year</w:t>
            </w:r>
          </w:p>
        </w:tc>
        <w:tc>
          <w:tcPr>
            <w:tcW w:type="dxa" w:w="2100"/>
            <w:tcMar>
              <w:top w:type="dxa" w:w="70"/>
              <w:left w:type="dxa" w:w="110"/>
              <w:bottom w:type="dxa" w:w="70"/>
              <w:right w:type="dxa" w:w="110"/>
            </w:tcMar>
          </w:tcPr>
          <w:p>
            <w:pPr>
              <w:spacing w:after="0"/>
            </w:pPr>
            <w:r>
              <w:rPr>
                <w:rFonts w:ascii="Calibri" w:cs="Calibri" w:eastAsia="Calibri" w:hAnsi="Calibri"/>
                <w:color w:val="2B2B2B"/>
                <w:sz w:val="19"/>
                <w:szCs w:val="19"/>
              </w:rPr>
              <w:t xml:space="preserve">1.012</w:t>
            </w:r>
          </w:p>
        </w:tc>
        <w:tc>
          <w:tcPr>
            <w:tcW w:type="dxa" w:w="4106"/>
            <w:tcMar>
              <w:top w:type="dxa" w:w="70"/>
              <w:left w:type="dxa" w:w="110"/>
              <w:bottom w:type="dxa" w:w="70"/>
              <w:right w:type="dxa" w:w="110"/>
            </w:tcMar>
          </w:tcPr>
          <w:p>
            <w:pPr>
              <w:spacing w:after="0"/>
            </w:pPr>
            <w:r>
              <w:rPr>
                <w:rFonts w:ascii="Calibri" w:cs="Calibri" w:eastAsia="Calibri" w:hAnsi="Calibri"/>
                <w:color w:val="2B2B2B"/>
                <w:sz w:val="19"/>
                <w:szCs w:val="19"/>
              </w:rPr>
              <w:t xml:space="preserve">The pool</w:t>
            </w:r>
          </w:p>
        </w:tc>
      </w:tr>
      <w:tr>
        <w:tc>
          <w:tcPr>
            <w:tcW w:type="dxa" w:w="3300"/>
            <w:shd w:fill="F4F1EB" w:val="clear"/>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Tenders we need to win</w:t>
            </w:r>
          </w:p>
        </w:tc>
        <w:tc>
          <w:tcPr>
            <w:tcW w:type="dxa" w:w="2100"/>
            <w:shd w:fill="F4F1EB" w:val="clear"/>
            <w:tcMar>
              <w:top w:type="dxa" w:w="70"/>
              <w:left w:type="dxa" w:w="110"/>
              <w:bottom w:type="dxa" w:w="70"/>
              <w:right w:type="dxa" w:w="110"/>
            </w:tcMar>
          </w:tcPr>
          <w:p>
            <w:pPr>
              <w:spacing w:after="0"/>
            </w:pPr>
            <w:r>
              <w:rPr>
                <w:rFonts w:ascii="Calibri" w:cs="Calibri" w:eastAsia="Calibri" w:hAnsi="Calibri"/>
                <w:b/>
                <w:bCs/>
                <w:color w:val="1F4E4A"/>
                <w:sz w:val="19"/>
                <w:szCs w:val="19"/>
              </w:rPr>
              <w:t xml:space="preserve">21</w:t>
            </w:r>
          </w:p>
        </w:tc>
        <w:tc>
          <w:tcPr>
            <w:tcW w:type="dxa" w:w="4106"/>
            <w:shd w:fill="F4F1EB" w:val="clear"/>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2,1% of them</w:t>
            </w:r>
          </w:p>
        </w:tc>
      </w:tr>
      <w:tr>
        <w:tc>
          <w:tcPr>
            <w:tcW w:type="dxa" w:w="3300"/>
            <w:tcMar>
              <w:top w:type="dxa" w:w="70"/>
              <w:left w:type="dxa" w:w="110"/>
              <w:bottom w:type="dxa" w:w="70"/>
              <w:right w:type="dxa" w:w="110"/>
            </w:tcMar>
          </w:tcPr>
          <w:p>
            <w:pPr>
              <w:spacing w:after="0"/>
            </w:pPr>
            <w:r>
              <w:rPr>
                <w:rFonts w:ascii="Calibri" w:cs="Calibri" w:eastAsia="Calibri" w:hAnsi="Calibri"/>
                <w:color w:val="2B2B2B"/>
                <w:sz w:val="19"/>
                <w:szCs w:val="19"/>
              </w:rPr>
              <w:t xml:space="preserve">Sales that produces</w:t>
            </w:r>
          </w:p>
        </w:tc>
        <w:tc>
          <w:tcPr>
            <w:tcW w:type="dxa" w:w="2100"/>
            <w:tcMar>
              <w:top w:type="dxa" w:w="70"/>
              <w:left w:type="dxa" w:w="110"/>
              <w:bottom w:type="dxa" w:w="70"/>
              <w:right w:type="dxa" w:w="110"/>
            </w:tcMar>
          </w:tcPr>
          <w:p>
            <w:pPr>
              <w:spacing w:after="0"/>
            </w:pPr>
            <w:r>
              <w:rPr>
                <w:rFonts w:ascii="Calibri" w:cs="Calibri" w:eastAsia="Calibri" w:hAnsi="Calibri"/>
                <w:color w:val="2B2B2B"/>
                <w:sz w:val="19"/>
                <w:szCs w:val="19"/>
              </w:rPr>
              <w:t xml:space="preserve">R$360.000</w:t>
            </w:r>
          </w:p>
        </w:tc>
        <w:tc>
          <w:tcPr>
            <w:tcW w:type="dxa" w:w="4106"/>
            <w:tcMar>
              <w:top w:type="dxa" w:w="70"/>
              <w:left w:type="dxa" w:w="110"/>
              <w:bottom w:type="dxa" w:w="70"/>
              <w:right w:type="dxa" w:w="110"/>
            </w:tcMar>
          </w:tcPr>
          <w:p>
            <w:pPr>
              <w:spacing w:after="0"/>
            </w:pPr>
            <w:r>
              <w:rPr>
                <w:rFonts w:ascii="Calibri" w:cs="Calibri" w:eastAsia="Calibri" w:hAnsi="Calibri"/>
                <w:color w:val="2B2B2B"/>
                <w:sz w:val="19"/>
                <w:szCs w:val="19"/>
              </w:rPr>
              <w:t xml:space="preserve"/>
            </w:r>
          </w:p>
        </w:tc>
      </w:tr>
      <w:tr>
        <w:tc>
          <w:tcPr>
            <w:tcW w:type="dxa" w:w="33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Gross margin</w:t>
            </w:r>
          </w:p>
        </w:tc>
        <w:tc>
          <w:tcPr>
            <w:tcW w:type="dxa" w:w="21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~52%</w:t>
            </w:r>
          </w:p>
        </w:tc>
        <w:tc>
          <w:tcPr>
            <w:tcW w:type="dxa" w:w="41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After goods and freight</w:t>
            </w:r>
          </w:p>
        </w:tc>
      </w:tr>
      <w:tr>
        <w:tc>
          <w:tcPr>
            <w:tcW w:type="dxa" w:w="3300"/>
            <w:tcMar>
              <w:top w:type="dxa" w:w="70"/>
              <w:left w:type="dxa" w:w="110"/>
              <w:bottom w:type="dxa" w:w="70"/>
              <w:right w:type="dxa" w:w="110"/>
            </w:tcMar>
          </w:tcPr>
          <w:p>
            <w:pPr>
              <w:spacing w:after="0"/>
            </w:pPr>
            <w:r>
              <w:rPr>
                <w:rFonts w:ascii="Calibri" w:cs="Calibri" w:eastAsia="Calibri" w:hAnsi="Calibri"/>
                <w:color w:val="2B2B2B"/>
                <w:sz w:val="19"/>
                <w:szCs w:val="19"/>
              </w:rPr>
              <w:t xml:space="preserve">Net after tax and costs</w:t>
            </w:r>
          </w:p>
        </w:tc>
        <w:tc>
          <w:tcPr>
            <w:tcW w:type="dxa" w:w="2100"/>
            <w:tcMar>
              <w:top w:type="dxa" w:w="70"/>
              <w:left w:type="dxa" w:w="110"/>
              <w:bottom w:type="dxa" w:w="70"/>
              <w:right w:type="dxa" w:w="110"/>
            </w:tcMar>
          </w:tcPr>
          <w:p>
            <w:pPr>
              <w:spacing w:after="0"/>
            </w:pPr>
            <w:r>
              <w:rPr>
                <w:rFonts w:ascii="Calibri" w:cs="Calibri" w:eastAsia="Calibri" w:hAnsi="Calibri"/>
                <w:color w:val="2B2B2B"/>
                <w:sz w:val="19"/>
                <w:szCs w:val="19"/>
              </w:rPr>
              <w:t xml:space="preserve">~R$146.000</w:t>
            </w:r>
          </w:p>
        </w:tc>
        <w:tc>
          <w:tcPr>
            <w:tcW w:type="dxa" w:w="4106"/>
            <w:tcMar>
              <w:top w:type="dxa" w:w="70"/>
              <w:left w:type="dxa" w:w="110"/>
              <w:bottom w:type="dxa" w:w="70"/>
              <w:right w:type="dxa" w:w="110"/>
            </w:tcMar>
          </w:tcPr>
          <w:p>
            <w:pPr>
              <w:spacing w:after="0"/>
            </w:pPr>
            <w:r>
              <w:rPr>
                <w:rFonts w:ascii="Calibri" w:cs="Calibri" w:eastAsia="Calibri" w:hAnsi="Calibri"/>
                <w:color w:val="2B2B2B"/>
                <w:sz w:val="19"/>
                <w:szCs w:val="19"/>
              </w:rPr>
              <w:t xml:space="preserve">Simples Anexo I, ~5,65% on sales</w:t>
            </w:r>
          </w:p>
        </w:tc>
      </w:tr>
      <w:tr>
        <w:tc>
          <w:tcPr>
            <w:tcW w:type="dxa" w:w="3300"/>
            <w:shd w:fill="F4F1EB" w:val="clear"/>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Per month, take-home</w:t>
            </w:r>
          </w:p>
        </w:tc>
        <w:tc>
          <w:tcPr>
            <w:tcW w:type="dxa" w:w="2100"/>
            <w:shd w:fill="F4F1EB" w:val="clear"/>
            <w:tcMar>
              <w:top w:type="dxa" w:w="70"/>
              <w:left w:type="dxa" w:w="110"/>
              <w:bottom w:type="dxa" w:w="70"/>
              <w:right w:type="dxa" w:w="110"/>
            </w:tcMar>
          </w:tcPr>
          <w:p>
            <w:pPr>
              <w:spacing w:after="0"/>
            </w:pPr>
            <w:r>
              <w:rPr>
                <w:rFonts w:ascii="Calibri" w:cs="Calibri" w:eastAsia="Calibri" w:hAnsi="Calibri"/>
                <w:b/>
                <w:bCs/>
                <w:color w:val="1F4E4A"/>
                <w:sz w:val="19"/>
                <w:szCs w:val="19"/>
              </w:rPr>
              <w:t xml:space="preserve">≈ US$2.340</w:t>
            </w:r>
          </w:p>
        </w:tc>
        <w:tc>
          <w:tcPr>
            <w:tcW w:type="dxa" w:w="4106"/>
            <w:shd w:fill="F4F1EB" w:val="clear"/>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The target</w:t>
            </w:r>
          </w:p>
        </w:tc>
      </w:tr>
    </w:tbl>
    <w:p>
      <w:pPr>
        <w:pStyle w:val="Heading2"/>
        <w:spacing w:after="110" w:before="260"/>
      </w:pPr>
      <w:r>
        <w:rPr>
          <w:rFonts w:ascii="Calibri" w:cs="Calibri" w:eastAsia="Calibri" w:hAnsi="Calibri"/>
          <w:b/>
          <w:bCs/>
          <w:color w:val="C96F4A"/>
          <w:sz w:val="24"/>
          <w:szCs w:val="24"/>
        </w:rPr>
        <w:t xml:space="preserve">Is 21 wins a year realistic?</w:t>
      </w:r>
    </w:p>
    <w:p>
      <w:pPr>
        <w:spacing w:after="120" w:before="0" w:line="290"/>
      </w:pPr>
      <w:r>
        <w:rPr>
          <w:rFonts w:ascii="Calibri" w:cs="Calibri" w:eastAsia="Calibri" w:hAnsi="Calibri"/>
          <w:color w:val="2B2B2B"/>
          <w:sz w:val="21"/>
          <w:szCs w:val="21"/>
        </w:rPr>
        <w:t xml:space="preserve">Two real one-person-scale companies are already doing more than that, and we can see their whole record:</w:t>
      </w:r>
    </w:p>
    <w:tbl>
      <w:tblPr>
        <w:tblW w:type="dxa" w:w="9506"/>
        <w:tblBorders>
          <w:top w:val="single" w:color="D8D2C6" w:sz="4"/>
          <w:left w:val="none"/>
          <w:bottom w:val="single" w:color="D8D2C6" w:sz="4"/>
          <w:right w:val="none"/>
          <w:insideH w:val="single" w:color="E6E1D8" w:sz="2"/>
          <w:insideV w:val="none"/>
        </w:tblBorders>
      </w:tblPr>
      <w:tblGrid>
        <w:gridCol w:w="3300"/>
        <w:gridCol w:w="3000"/>
        <w:gridCol w:w="1600"/>
        <w:gridCol w:w="1606"/>
      </w:tblGrid>
      <w:tr>
        <w:trPr>
          <w:tblHeader/>
        </w:trPr>
        <w:tc>
          <w:tcPr>
            <w:tcW w:type="dxa" w:w="33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Company</w:t>
            </w:r>
          </w:p>
        </w:tc>
        <w:tc>
          <w:tcPr>
            <w:tcW w:type="dxa" w:w="30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Where</w:t>
            </w:r>
          </w:p>
        </w:tc>
        <w:tc>
          <w:tcPr>
            <w:tcW w:type="dxa" w:w="16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Tenders won / year</w:t>
            </w:r>
          </w:p>
        </w:tc>
        <w:tc>
          <w:tcPr>
            <w:tcW w:type="dxa" w:w="16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Revenue</w:t>
            </w:r>
          </w:p>
        </w:tc>
      </w:tr>
      <w:tr>
        <w:tc>
          <w:tcPr>
            <w:tcW w:type="dxa" w:w="3300"/>
            <w:tcMar>
              <w:top w:type="dxa" w:w="70"/>
              <w:left w:type="dxa" w:w="110"/>
              <w:bottom w:type="dxa" w:w="70"/>
              <w:right w:type="dxa" w:w="110"/>
            </w:tcMar>
          </w:tcPr>
          <w:p>
            <w:pPr>
              <w:spacing w:after="0"/>
            </w:pPr>
            <w:r>
              <w:rPr>
                <w:rFonts w:ascii="Calibri" w:cs="Calibri" w:eastAsia="Calibri" w:hAnsi="Calibri"/>
                <w:color w:val="2B2B2B"/>
                <w:sz w:val="19"/>
                <w:szCs w:val="19"/>
              </w:rPr>
              <w:t xml:space="preserve">CONDAFE COMÉRCIO DE ROUPAS</w:t>
            </w:r>
          </w:p>
        </w:tc>
        <w:tc>
          <w:tcPr>
            <w:tcW w:type="dxa" w:w="3000"/>
            <w:tcMar>
              <w:top w:type="dxa" w:w="70"/>
              <w:left w:type="dxa" w:w="110"/>
              <w:bottom w:type="dxa" w:w="70"/>
              <w:right w:type="dxa" w:w="110"/>
            </w:tcMar>
          </w:tcPr>
          <w:p>
            <w:pPr>
              <w:spacing w:after="0"/>
            </w:pPr>
            <w:r>
              <w:rPr>
                <w:rFonts w:ascii="Calibri" w:cs="Calibri" w:eastAsia="Calibri" w:hAnsi="Calibri"/>
                <w:color w:val="2B2B2B"/>
                <w:sz w:val="19"/>
                <w:szCs w:val="19"/>
              </w:rPr>
              <w:t xml:space="preserve">São Paulo EPP, ships to 15 states</w:t>
            </w:r>
          </w:p>
        </w:tc>
        <w:tc>
          <w:tcPr>
            <w:tcW w:type="dxa" w:w="1600"/>
            <w:tcMar>
              <w:top w:type="dxa" w:w="70"/>
              <w:left w:type="dxa" w:w="110"/>
              <w:bottom w:type="dxa" w:w="70"/>
              <w:right w:type="dxa" w:w="110"/>
            </w:tcMar>
          </w:tcPr>
          <w:p>
            <w:pPr>
              <w:spacing w:after="0"/>
            </w:pPr>
            <w:r>
              <w:rPr>
                <w:rFonts w:ascii="Calibri" w:cs="Calibri" w:eastAsia="Calibri" w:hAnsi="Calibri"/>
                <w:color w:val="2B2B2B"/>
                <w:sz w:val="19"/>
                <w:szCs w:val="19"/>
              </w:rPr>
              <w:t xml:space="preserve">44</w:t>
            </w:r>
          </w:p>
        </w:tc>
        <w:tc>
          <w:tcPr>
            <w:tcW w:type="dxa" w:w="1606"/>
            <w:tcMar>
              <w:top w:type="dxa" w:w="70"/>
              <w:left w:type="dxa" w:w="110"/>
              <w:bottom w:type="dxa" w:w="70"/>
              <w:right w:type="dxa" w:w="110"/>
            </w:tcMar>
          </w:tcPr>
          <w:p>
            <w:pPr>
              <w:spacing w:after="0"/>
            </w:pPr>
            <w:r>
              <w:rPr>
                <w:rFonts w:ascii="Calibri" w:cs="Calibri" w:eastAsia="Calibri" w:hAnsi="Calibri"/>
                <w:color w:val="2B2B2B"/>
                <w:sz w:val="19"/>
                <w:szCs w:val="19"/>
              </w:rPr>
              <w:t xml:space="preserve">R$6.135.997</w:t>
            </w:r>
          </w:p>
        </w:tc>
      </w:tr>
      <w:tr>
        <w:tc>
          <w:tcPr>
            <w:tcW w:type="dxa" w:w="33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AMA COMÉRCIO E SERVIÇOS</w:t>
            </w:r>
          </w:p>
        </w:tc>
        <w:tc>
          <w:tcPr>
            <w:tcW w:type="dxa" w:w="30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16 states</w:t>
            </w:r>
          </w:p>
        </w:tc>
        <w:tc>
          <w:tcPr>
            <w:tcW w:type="dxa" w:w="16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38</w:t>
            </w:r>
          </w:p>
        </w:tc>
        <w:tc>
          <w:tcPr>
            <w:tcW w:type="dxa" w:w="16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w:t>
            </w:r>
          </w:p>
        </w:tc>
      </w:tr>
      <w:tr>
        <w:tc>
          <w:tcPr>
            <w:tcW w:type="dxa" w:w="3300"/>
            <w:tcMar>
              <w:top w:type="dxa" w:w="70"/>
              <w:left w:type="dxa" w:w="110"/>
              <w:bottom w:type="dxa" w:w="70"/>
              <w:right w:type="dxa" w:w="110"/>
            </w:tcMar>
          </w:tcPr>
          <w:p>
            <w:pPr>
              <w:spacing w:after="0"/>
            </w:pPr>
            <w:r>
              <w:rPr>
                <w:rFonts w:ascii="Calibri" w:cs="Calibri" w:eastAsia="Calibri" w:hAnsi="Calibri"/>
                <w:color w:val="2B2B2B"/>
                <w:sz w:val="19"/>
                <w:szCs w:val="19"/>
              </w:rPr>
              <w:t xml:space="preserve">J.J.A. ENXOVAIS</w:t>
            </w:r>
          </w:p>
        </w:tc>
        <w:tc>
          <w:tcPr>
            <w:tcW w:type="dxa" w:w="3000"/>
            <w:tcMar>
              <w:top w:type="dxa" w:w="70"/>
              <w:left w:type="dxa" w:w="110"/>
              <w:bottom w:type="dxa" w:w="70"/>
              <w:right w:type="dxa" w:w="110"/>
            </w:tcMar>
          </w:tcPr>
          <w:p>
            <w:pPr>
              <w:spacing w:after="0"/>
            </w:pPr>
            <w:r>
              <w:rPr>
                <w:rFonts w:ascii="Calibri" w:cs="Calibri" w:eastAsia="Calibri" w:hAnsi="Calibri"/>
                <w:color w:val="2B2B2B"/>
                <w:sz w:val="19"/>
                <w:szCs w:val="19"/>
              </w:rPr>
              <w:t xml:space="preserve">registered Jan 2024, wins in 4 states</w:t>
            </w:r>
          </w:p>
        </w:tc>
        <w:tc>
          <w:tcPr>
            <w:tcW w:type="dxa" w:w="1600"/>
            <w:tcMar>
              <w:top w:type="dxa" w:w="70"/>
              <w:left w:type="dxa" w:w="110"/>
              <w:bottom w:type="dxa" w:w="70"/>
              <w:right w:type="dxa" w:w="110"/>
            </w:tcMar>
          </w:tcPr>
          <w:p>
            <w:pPr>
              <w:spacing w:after="0"/>
            </w:pPr>
            <w:r>
              <w:rPr>
                <w:rFonts w:ascii="Calibri" w:cs="Calibri" w:eastAsia="Calibri" w:hAnsi="Calibri"/>
                <w:color w:val="2B2B2B"/>
                <w:sz w:val="19"/>
                <w:szCs w:val="19"/>
              </w:rPr>
              <w:t xml:space="preserve">—</w:t>
            </w:r>
          </w:p>
        </w:tc>
        <w:tc>
          <w:tcPr>
            <w:tcW w:type="dxa" w:w="1606"/>
            <w:tcMar>
              <w:top w:type="dxa" w:w="70"/>
              <w:left w:type="dxa" w:w="110"/>
              <w:bottom w:type="dxa" w:w="70"/>
              <w:right w:type="dxa" w:w="110"/>
            </w:tcMar>
          </w:tcPr>
          <w:p>
            <w:pPr>
              <w:spacing w:after="0"/>
            </w:pPr>
            <w:r>
              <w:rPr>
                <w:rFonts w:ascii="Calibri" w:cs="Calibri" w:eastAsia="Calibri" w:hAnsi="Calibri"/>
                <w:color w:val="2B2B2B"/>
                <w:sz w:val="19"/>
                <w:szCs w:val="19"/>
              </w:rPr>
              <w:t xml:space="preserve">—</w:t>
            </w:r>
          </w:p>
        </w:tc>
      </w:tr>
    </w:tbl>
    <w:p>
      <w:pPr>
        <w:spacing w:after="120" w:before="0" w:line="290"/>
      </w:pPr>
      <w:r>
        <w:rPr>
          <w:rFonts w:ascii="Calibri" w:cs="Calibri" w:eastAsia="Calibri" w:hAnsi="Calibri"/>
          <w:b/>
          <w:bCs/>
          <w:color w:val="2B2B2B"/>
          <w:sz w:val="21"/>
          <w:szCs w:val="21"/>
        </w:rPr>
        <w:t xml:space="preserve">The last one matters most. </w:t>
      </w:r>
      <w:r>
        <w:rPr>
          <w:rFonts w:ascii="Calibri" w:cs="Calibri" w:eastAsia="Calibri" w:hAnsi="Calibri"/>
          <w:color w:val="2B2B2B"/>
          <w:sz w:val="21"/>
          <w:szCs w:val="21"/>
        </w:rPr>
        <w:t xml:space="preserve">A micro-company registered in January 2024 is already winning in four states. The playbook is not secret and it is not closed — it is just work nobody is doing carefully.</w:t>
      </w:r>
    </w:p>
    <w:p>
      <w:pPr>
        <w:pStyle w:val="Heading2"/>
        <w:spacing w:after="110" w:before="260"/>
      </w:pPr>
      <w:r>
        <w:rPr>
          <w:rFonts w:ascii="Calibri" w:cs="Calibri" w:eastAsia="Calibri" w:hAnsi="Calibri"/>
          <w:b/>
          <w:bCs/>
          <w:color w:val="C96F4A"/>
          <w:sz w:val="24"/>
          <w:szCs w:val="24"/>
        </w:rPr>
        <w:t xml:space="preserve">The ceiling, if it goes well</w:t>
      </w:r>
    </w:p>
    <w:tbl>
      <w:tblPr>
        <w:tblW w:type="dxa" w:w="9506"/>
        <w:tblBorders>
          <w:top w:val="single" w:color="D8D2C6" w:sz="4"/>
          <w:left w:val="none"/>
          <w:bottom w:val="single" w:color="D8D2C6" w:sz="4"/>
          <w:right w:val="none"/>
          <w:insideH w:val="single" w:color="E6E1D8" w:sz="2"/>
          <w:insideV w:val="none"/>
        </w:tblBorders>
      </w:tblPr>
      <w:tblGrid>
        <w:gridCol w:w="3000"/>
        <w:gridCol w:w="2100"/>
        <w:gridCol w:w="2300"/>
        <w:gridCol w:w="2106"/>
      </w:tblGrid>
      <w:tr>
        <w:trPr>
          <w:tblHeader/>
        </w:trPr>
        <w:tc>
          <w:tcPr>
            <w:tcW w:type="dxa" w:w="30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Stage</w:t>
            </w:r>
          </w:p>
        </w:tc>
        <w:tc>
          <w:tcPr>
            <w:tcW w:type="dxa" w:w="21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Sales</w:t>
            </w:r>
          </w:p>
        </w:tc>
        <w:tc>
          <w:tcPr>
            <w:tcW w:type="dxa" w:w="23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Take-home / month</w:t>
            </w:r>
          </w:p>
        </w:tc>
        <w:tc>
          <w:tcPr>
            <w:tcW w:type="dxa" w:w="21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limits it</w:t>
            </w:r>
          </w:p>
        </w:tc>
      </w:tr>
      <w:tr>
        <w:tc>
          <w:tcPr>
            <w:tcW w:type="dxa" w:w="3000"/>
            <w:tcMar>
              <w:top w:type="dxa" w:w="70"/>
              <w:left w:type="dxa" w:w="110"/>
              <w:bottom w:type="dxa" w:w="70"/>
              <w:right w:type="dxa" w:w="110"/>
            </w:tcMar>
          </w:tcPr>
          <w:p>
            <w:pPr>
              <w:spacing w:after="0"/>
            </w:pPr>
            <w:r>
              <w:rPr>
                <w:rFonts w:ascii="Calibri" w:cs="Calibri" w:eastAsia="Calibri" w:hAnsi="Calibri"/>
                <w:color w:val="2B2B2B"/>
                <w:sz w:val="19"/>
                <w:szCs w:val="19"/>
              </w:rPr>
              <w:t xml:space="preserve">Year 1, no supplier credit</w:t>
            </w:r>
          </w:p>
        </w:tc>
        <w:tc>
          <w:tcPr>
            <w:tcW w:type="dxa" w:w="2100"/>
            <w:tcMar>
              <w:top w:type="dxa" w:w="70"/>
              <w:left w:type="dxa" w:w="110"/>
              <w:bottom w:type="dxa" w:w="70"/>
              <w:right w:type="dxa" w:w="110"/>
            </w:tcMar>
          </w:tcPr>
          <w:p>
            <w:pPr>
              <w:spacing w:after="0"/>
            </w:pPr>
            <w:r>
              <w:rPr>
                <w:rFonts w:ascii="Calibri" w:cs="Calibri" w:eastAsia="Calibri" w:hAnsi="Calibri"/>
                <w:color w:val="2B2B2B"/>
                <w:sz w:val="19"/>
                <w:szCs w:val="19"/>
              </w:rPr>
              <w:t xml:space="preserve">R$264.000</w:t>
            </w:r>
          </w:p>
        </w:tc>
        <w:tc>
          <w:tcPr>
            <w:tcW w:type="dxa" w:w="2300"/>
            <w:tcMar>
              <w:top w:type="dxa" w:w="70"/>
              <w:left w:type="dxa" w:w="110"/>
              <w:bottom w:type="dxa" w:w="70"/>
              <w:right w:type="dxa" w:w="110"/>
            </w:tcMar>
          </w:tcPr>
          <w:p>
            <w:pPr>
              <w:spacing w:after="0"/>
            </w:pPr>
            <w:r>
              <w:rPr>
                <w:rFonts w:ascii="Calibri" w:cs="Calibri" w:eastAsia="Calibri" w:hAnsi="Calibri"/>
                <w:color w:val="2B2B2B"/>
                <w:sz w:val="19"/>
                <w:szCs w:val="19"/>
              </w:rPr>
              <w:t xml:space="preserve">≈ US$1.600</w:t>
            </w:r>
          </w:p>
        </w:tc>
        <w:tc>
          <w:tcPr>
            <w:tcW w:type="dxa" w:w="2106"/>
            <w:tcMar>
              <w:top w:type="dxa" w:w="70"/>
              <w:left w:type="dxa" w:w="110"/>
              <w:bottom w:type="dxa" w:w="70"/>
              <w:right w:type="dxa" w:w="110"/>
            </w:tcMar>
          </w:tcPr>
          <w:p>
            <w:pPr>
              <w:spacing w:after="0"/>
            </w:pPr>
            <w:r>
              <w:rPr>
                <w:rFonts w:ascii="Calibri" w:cs="Calibri" w:eastAsia="Calibri" w:hAnsi="Calibri"/>
                <w:color w:val="2B2B2B"/>
                <w:sz w:val="19"/>
                <w:szCs w:val="19"/>
              </w:rPr>
              <w:t xml:space="preserve">Cash</w:t>
            </w:r>
          </w:p>
        </w:tc>
      </w:tr>
      <w:tr>
        <w:tc>
          <w:tcPr>
            <w:tcW w:type="dxa" w:w="30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Year 1 + a small credit line</w:t>
            </w:r>
          </w:p>
        </w:tc>
        <w:tc>
          <w:tcPr>
            <w:tcW w:type="dxa" w:w="21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R$360.000</w:t>
            </w:r>
          </w:p>
        </w:tc>
        <w:tc>
          <w:tcPr>
            <w:tcW w:type="dxa" w:w="23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 US$2.250</w:t>
            </w:r>
          </w:p>
        </w:tc>
        <w:tc>
          <w:tcPr>
            <w:tcW w:type="dxa" w:w="21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Number of wins</w:t>
            </w:r>
          </w:p>
        </w:tc>
      </w:tr>
      <w:tr>
        <w:tc>
          <w:tcPr>
            <w:tcW w:type="dxa" w:w="3000"/>
            <w:tcMar>
              <w:top w:type="dxa" w:w="70"/>
              <w:left w:type="dxa" w:w="110"/>
              <w:bottom w:type="dxa" w:w="70"/>
              <w:right w:type="dxa" w:w="110"/>
            </w:tcMar>
          </w:tcPr>
          <w:p>
            <w:pPr>
              <w:spacing w:after="0"/>
            </w:pPr>
            <w:r>
              <w:rPr>
                <w:rFonts w:ascii="Calibri" w:cs="Calibri" w:eastAsia="Calibri" w:hAnsi="Calibri"/>
                <w:color w:val="2B2B2B"/>
                <w:sz w:val="19"/>
                <w:szCs w:val="19"/>
              </w:rPr>
              <w:t xml:space="preserve">Year 2, with a supplier account</w:t>
            </w:r>
          </w:p>
        </w:tc>
        <w:tc>
          <w:tcPr>
            <w:tcW w:type="dxa" w:w="2100"/>
            <w:tcMar>
              <w:top w:type="dxa" w:w="70"/>
              <w:left w:type="dxa" w:w="110"/>
              <w:bottom w:type="dxa" w:w="70"/>
              <w:right w:type="dxa" w:w="110"/>
            </w:tcMar>
          </w:tcPr>
          <w:p>
            <w:pPr>
              <w:spacing w:after="0"/>
            </w:pPr>
            <w:r>
              <w:rPr>
                <w:rFonts w:ascii="Calibri" w:cs="Calibri" w:eastAsia="Calibri" w:hAnsi="Calibri"/>
                <w:color w:val="2B2B2B"/>
                <w:sz w:val="19"/>
                <w:szCs w:val="19"/>
              </w:rPr>
              <w:t xml:space="preserve">R$640.000</w:t>
            </w:r>
          </w:p>
        </w:tc>
        <w:tc>
          <w:tcPr>
            <w:tcW w:type="dxa" w:w="2300"/>
            <w:tcMar>
              <w:top w:type="dxa" w:w="70"/>
              <w:left w:type="dxa" w:w="110"/>
              <w:bottom w:type="dxa" w:w="70"/>
              <w:right w:type="dxa" w:w="110"/>
            </w:tcMar>
          </w:tcPr>
          <w:p>
            <w:pPr>
              <w:spacing w:after="0"/>
            </w:pPr>
            <w:r>
              <w:rPr>
                <w:rFonts w:ascii="Calibri" w:cs="Calibri" w:eastAsia="Calibri" w:hAnsi="Calibri"/>
                <w:color w:val="2B2B2B"/>
                <w:sz w:val="19"/>
                <w:szCs w:val="19"/>
              </w:rPr>
              <w:t xml:space="preserve">≈ US$4.760</w:t>
            </w:r>
          </w:p>
        </w:tc>
        <w:tc>
          <w:tcPr>
            <w:tcW w:type="dxa" w:w="2106"/>
            <w:tcMar>
              <w:top w:type="dxa" w:w="70"/>
              <w:left w:type="dxa" w:w="110"/>
              <w:bottom w:type="dxa" w:w="70"/>
              <w:right w:type="dxa" w:w="110"/>
            </w:tcMar>
          </w:tcPr>
          <w:p>
            <w:pPr>
              <w:spacing w:after="0"/>
            </w:pPr>
            <w:r>
              <w:rPr>
                <w:rFonts w:ascii="Calibri" w:cs="Calibri" w:eastAsia="Calibri" w:hAnsi="Calibri"/>
                <w:color w:val="2B2B2B"/>
                <w:sz w:val="19"/>
                <w:szCs w:val="19"/>
              </w:rPr>
              <w:t xml:space="preserve">Number of wins</w:t>
            </w:r>
          </w:p>
        </w:tc>
      </w:tr>
      <w:tr>
        <w:tc>
          <w:tcPr>
            <w:tcW w:type="dxa" w:w="30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Year 3</w:t>
            </w:r>
          </w:p>
        </w:tc>
        <w:tc>
          <w:tcPr>
            <w:tcW w:type="dxa" w:w="21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R$1.000.000</w:t>
            </w:r>
          </w:p>
        </w:tc>
        <w:tc>
          <w:tcPr>
            <w:tcW w:type="dxa" w:w="23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 US$7.550</w:t>
            </w:r>
          </w:p>
        </w:tc>
        <w:tc>
          <w:tcPr>
            <w:tcW w:type="dxa" w:w="21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Number of wins</w:t>
            </w:r>
          </w:p>
        </w:tc>
      </w:tr>
    </w:tbl>
    <w:p>
      <w:r>
        <w:br w:type="page"/>
      </w:r>
    </w:p>
    <w:p>
      <w:pPr>
        <w:pStyle w:val="Heading1"/>
        <w:spacing w:after="160" w:before="360"/>
      </w:pPr>
      <w:r>
        <w:rPr>
          <w:rFonts w:ascii="Calibri" w:cs="Calibri" w:eastAsia="Calibri" w:hAnsi="Calibri"/>
          <w:b/>
          <w:bCs/>
          <w:color w:val="1F4E4A"/>
          <w:sz w:val="30"/>
          <w:szCs w:val="30"/>
        </w:rPr>
        <w:t xml:space="preserve">8.  Money — what you have, what you need</w:t>
      </w:r>
    </w:p>
    <w:p>
      <w:pPr>
        <w:spacing w:after="120" w:before="0" w:line="290"/>
      </w:pPr>
      <w:r>
        <w:rPr>
          <w:rFonts w:ascii="Calibri" w:cs="Calibri" w:eastAsia="Calibri" w:hAnsi="Calibri"/>
          <w:b/>
          <w:bCs/>
          <w:color w:val="2B2B2B"/>
          <w:sz w:val="21"/>
          <w:szCs w:val="21"/>
        </w:rPr>
        <w:t xml:space="preserve">You have R$15.600. That is enough to start. </w:t>
      </w:r>
      <w:r>
        <w:rPr>
          <w:rFonts w:ascii="Calibri" w:cs="Calibri" w:eastAsia="Calibri" w:hAnsi="Calibri"/>
          <w:color w:val="2B2B2B"/>
          <w:sz w:val="21"/>
          <w:szCs w:val="21"/>
        </w:rPr>
        <w:t xml:space="preserve">It is not stock money — it is gap money. You pay the wholesaler around day 11 and the town pays you around day 45, so you are covering a gap of roughly 34 days.</w:t>
      </w:r>
    </w:p>
    <w:p>
      <w:pPr>
        <w:spacing w:after="60"/>
      </w:pPr>
    </w:p>
    <w:tbl>
      <w:tblPr>
        <w:tblW w:type="dxa" w:w="9506"/>
        <w:tblBorders>
          <w:top w:val="single" w:color="8FA89B" w:sz="12"/>
          <w:left w:val="single" w:color="8FA89B" w:sz="12"/>
          <w:bottom w:val="single" w:color="8FA89B" w:sz="12"/>
          <w:right w:val="single" w:color="8FA89B" w:sz="12"/>
          <w:insideH w:val="none"/>
          <w:insideV w:val="none"/>
        </w:tblBorders>
      </w:tblPr>
      <w:tblGrid>
        <w:gridCol w:w="9506"/>
      </w:tblGrid>
      <w:tr>
        <w:tc>
          <w:tcPr>
            <w:tcW w:type="dxa" w:w="9506"/>
            <w:shd w:fill="F7F3EC" w:val="clear"/>
            <w:tcMar>
              <w:top w:type="dxa" w:w="160"/>
              <w:left w:type="dxa" w:w="200"/>
              <w:bottom w:type="dxa" w:w="160"/>
              <w:right w:type="dxa" w:w="200"/>
            </w:tcMar>
          </w:tcPr>
          <w:p>
            <w:pPr>
              <w:spacing w:after="130" w:before="0" w:line="290"/>
            </w:pPr>
            <w:r>
              <w:rPr>
                <w:rFonts w:ascii="Calibri" w:cs="Calibri" w:eastAsia="Calibri" w:hAnsi="Calibri"/>
                <w:b/>
                <w:bCs/>
                <w:color w:val="1F4E4A"/>
                <w:sz w:val="22"/>
                <w:szCs w:val="22"/>
              </w:rPr>
              <w:t xml:space="preserve">The clearest way to think about your capital</w:t>
            </w:r>
          </w:p>
          <w:p>
            <w:pPr>
              <w:spacing w:after="120" w:before="0" w:line="290"/>
            </w:pPr>
            <w:r>
              <w:rPr>
                <w:rFonts w:ascii="Calibri" w:cs="Calibri" w:eastAsia="Calibri" w:hAnsi="Calibri"/>
                <w:color w:val="2B2B2B"/>
                <w:sz w:val="21"/>
                <w:szCs w:val="21"/>
              </w:rPr>
              <w:t xml:space="preserve">With R$15.600 and no supplier credit you can carry exactly ONE average tender at a time. That caps you at about 8 or 9 orders a year no matter how good the script is.</w:t>
            </w:r>
          </w:p>
          <w:p>
            <w:pPr>
              <w:spacing w:after="0" w:before="0" w:line="290"/>
            </w:pPr>
            <w:r>
              <w:rPr>
                <w:rFonts w:ascii="Calibri" w:cs="Calibri" w:eastAsia="Calibri" w:hAnsi="Calibri"/>
                <w:b/>
                <w:bCs/>
                <w:color w:val="C96F4A"/>
                <w:sz w:val="21"/>
                <w:szCs w:val="21"/>
              </w:rPr>
              <w:t xml:space="preserve">Once a wholesaler gives you 28 days to pay, you can carry THREE at once — which is worth more than R$20.000 of borrowed money, and it is free.</w:t>
            </w:r>
          </w:p>
        </w:tc>
      </w:tr>
    </w:tbl>
    <w:p>
      <w:pPr>
        <w:pStyle w:val="Heading2"/>
        <w:spacing w:after="110" w:before="260"/>
      </w:pPr>
      <w:r>
        <w:rPr>
          <w:rFonts w:ascii="Calibri" w:cs="Calibri" w:eastAsia="Calibri" w:hAnsi="Calibri"/>
          <w:b/>
          <w:bCs/>
          <w:color w:val="C96F4A"/>
          <w:sz w:val="24"/>
          <w:szCs w:val="24"/>
        </w:rPr>
        <w:t xml:space="preserve">So the order of operations is: supplier credit first, bank loan second</w:t>
      </w:r>
    </w:p>
    <w:tbl>
      <w:tblPr>
        <w:tblW w:type="dxa" w:w="9506"/>
        <w:tblBorders>
          <w:top w:val="single" w:color="D8D2C6" w:sz="4"/>
          <w:left w:val="none"/>
          <w:bottom w:val="single" w:color="D8D2C6" w:sz="4"/>
          <w:right w:val="none"/>
          <w:insideH w:val="single" w:color="E6E1D8" w:sz="2"/>
          <w:insideV w:val="none"/>
        </w:tblBorders>
      </w:tblPr>
      <w:tblGrid>
        <w:gridCol w:w="3900"/>
        <w:gridCol w:w="3100"/>
        <w:gridCol w:w="2506"/>
      </w:tblGrid>
      <w:tr>
        <w:trPr>
          <w:tblHeader/>
        </w:trPr>
        <w:tc>
          <w:tcPr>
            <w:tcW w:type="dxa" w:w="39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Route</w:t>
            </w:r>
          </w:p>
        </w:tc>
        <w:tc>
          <w:tcPr>
            <w:tcW w:type="dxa" w:w="31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Cost</w:t>
            </w:r>
          </w:p>
        </w:tc>
        <w:tc>
          <w:tcPr>
            <w:tcW w:type="dxa" w:w="25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Orders you can run at once</w:t>
            </w:r>
          </w:p>
        </w:tc>
      </w:tr>
      <w:tr>
        <w:tc>
          <w:tcPr>
            <w:tcW w:type="dxa" w:w="3900"/>
            <w:tcMar>
              <w:top w:type="dxa" w:w="70"/>
              <w:left w:type="dxa" w:w="110"/>
              <w:bottom w:type="dxa" w:w="70"/>
              <w:right w:type="dxa" w:w="110"/>
            </w:tcMar>
          </w:tcPr>
          <w:p>
            <w:pPr>
              <w:spacing w:after="0"/>
            </w:pPr>
            <w:r>
              <w:rPr>
                <w:rFonts w:ascii="Calibri" w:cs="Calibri" w:eastAsia="Calibri" w:hAnsi="Calibri"/>
                <w:color w:val="2B2B2B"/>
                <w:sz w:val="19"/>
                <w:szCs w:val="19"/>
              </w:rPr>
              <w:t xml:space="preserve">Your own R$15.600, no credit</w:t>
            </w:r>
          </w:p>
        </w:tc>
        <w:tc>
          <w:tcPr>
            <w:tcW w:type="dxa" w:w="3100"/>
            <w:tcMar>
              <w:top w:type="dxa" w:w="70"/>
              <w:left w:type="dxa" w:w="110"/>
              <w:bottom w:type="dxa" w:w="70"/>
              <w:right w:type="dxa" w:w="110"/>
            </w:tcMar>
          </w:tcPr>
          <w:p>
            <w:pPr>
              <w:spacing w:after="0"/>
            </w:pPr>
            <w:r>
              <w:rPr>
                <w:rFonts w:ascii="Calibri" w:cs="Calibri" w:eastAsia="Calibri" w:hAnsi="Calibri"/>
                <w:color w:val="2B2B2B"/>
                <w:sz w:val="19"/>
                <w:szCs w:val="19"/>
              </w:rPr>
              <w:t xml:space="preserve">—</w:t>
            </w:r>
          </w:p>
        </w:tc>
        <w:tc>
          <w:tcPr>
            <w:tcW w:type="dxa" w:w="2506"/>
            <w:tcMar>
              <w:top w:type="dxa" w:w="70"/>
              <w:left w:type="dxa" w:w="110"/>
              <w:bottom w:type="dxa" w:w="70"/>
              <w:right w:type="dxa" w:w="110"/>
            </w:tcMar>
          </w:tcPr>
          <w:p>
            <w:pPr>
              <w:spacing w:after="0"/>
            </w:pPr>
            <w:r>
              <w:rPr>
                <w:rFonts w:ascii="Calibri" w:cs="Calibri" w:eastAsia="Calibri" w:hAnsi="Calibri"/>
                <w:color w:val="2B2B2B"/>
                <w:sz w:val="19"/>
                <w:szCs w:val="19"/>
              </w:rPr>
              <w:t xml:space="preserve">1,0</w:t>
            </w:r>
          </w:p>
        </w:tc>
      </w:tr>
      <w:tr>
        <w:tc>
          <w:tcPr>
            <w:tcW w:type="dxa" w:w="39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 R$20.000 borrowed (FGI PEAC)</w:t>
            </w:r>
          </w:p>
        </w:tc>
        <w:tc>
          <w:tcPr>
            <w:tcW w:type="dxa" w:w="31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R$8.200–23.000 a year in interest</w:t>
            </w:r>
          </w:p>
        </w:tc>
        <w:tc>
          <w:tcPr>
            <w:tcW w:type="dxa" w:w="25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2,4</w:t>
            </w:r>
          </w:p>
        </w:tc>
      </w:tr>
      <w:tr>
        <w:tc>
          <w:tcPr>
            <w:tcW w:type="dxa" w:w="3900"/>
            <w:tcMar>
              <w:top w:type="dxa" w:w="70"/>
              <w:left w:type="dxa" w:w="110"/>
              <w:bottom w:type="dxa" w:w="70"/>
              <w:right w:type="dxa" w:w="110"/>
            </w:tcMar>
          </w:tcPr>
          <w:p>
            <w:pPr>
              <w:spacing w:after="0"/>
            </w:pPr>
            <w:r>
              <w:rPr>
                <w:rFonts w:ascii="Calibri" w:cs="Calibri" w:eastAsia="Calibri" w:hAnsi="Calibri"/>
                <w:b/>
                <w:bCs/>
                <w:color w:val="1F4E4A"/>
                <w:sz w:val="19"/>
                <w:szCs w:val="19"/>
              </w:rPr>
              <w:t xml:space="preserve">28-day supplier terms — free</w:t>
            </w:r>
          </w:p>
        </w:tc>
        <w:tc>
          <w:tcPr>
            <w:tcW w:type="dxa" w:w="3100"/>
            <w:tcMar>
              <w:top w:type="dxa" w:w="70"/>
              <w:left w:type="dxa" w:w="110"/>
              <w:bottom w:type="dxa" w:w="70"/>
              <w:right w:type="dxa" w:w="110"/>
            </w:tcMar>
          </w:tcPr>
          <w:p>
            <w:pPr>
              <w:spacing w:after="0"/>
            </w:pPr>
            <w:r>
              <w:rPr>
                <w:rFonts w:ascii="Calibri" w:cs="Calibri" w:eastAsia="Calibri" w:hAnsi="Calibri"/>
                <w:b/>
                <w:bCs/>
                <w:color w:val="1F4E4A"/>
                <w:sz w:val="19"/>
                <w:szCs w:val="19"/>
              </w:rPr>
              <w:t xml:space="preserve">R$0</w:t>
            </w:r>
          </w:p>
        </w:tc>
        <w:tc>
          <w:tcPr>
            <w:tcW w:type="dxa" w:w="2506"/>
            <w:tcMar>
              <w:top w:type="dxa" w:w="70"/>
              <w:left w:type="dxa" w:w="110"/>
              <w:bottom w:type="dxa" w:w="70"/>
              <w:right w:type="dxa" w:w="110"/>
            </w:tcMar>
          </w:tcPr>
          <w:p>
            <w:pPr>
              <w:spacing w:after="0"/>
            </w:pPr>
            <w:r>
              <w:rPr>
                <w:rFonts w:ascii="Calibri" w:cs="Calibri" w:eastAsia="Calibri" w:hAnsi="Calibri"/>
                <w:b/>
                <w:bCs/>
                <w:color w:val="1F4E4A"/>
                <w:sz w:val="19"/>
                <w:szCs w:val="19"/>
              </w:rPr>
              <w:t xml:space="preserve">2,8–3,2</w:t>
            </w:r>
          </w:p>
        </w:tc>
      </w:tr>
    </w:tbl>
    <w:p>
      <w:pPr>
        <w:spacing w:after="120" w:before="100" w:line="290"/>
      </w:pPr>
      <w:r>
        <w:rPr>
          <w:rFonts w:ascii="Calibri" w:cs="Calibri" w:eastAsia="Calibri" w:hAnsi="Calibri"/>
          <w:color w:val="2B2B2B"/>
          <w:sz w:val="21"/>
          <w:szCs w:val="21"/>
        </w:rPr>
        <w:t xml:space="preserve">Most wholesalers say a new buyer must be trading 12 months before they give terms. But at least one says terms are reviewed from the second purchase onward. So: read the credit policy page before the price list, and choose suppliers on their credit rules, not on their prices. That single choice is the difference between year one and year two, and it costs nothing but reading.</w:t>
      </w:r>
    </w:p>
    <w:p>
      <w:pPr>
        <w:pStyle w:val="Heading2"/>
        <w:spacing w:after="110" w:before="260"/>
      </w:pPr>
      <w:r>
        <w:rPr>
          <w:rFonts w:ascii="Calibri" w:cs="Calibri" w:eastAsia="Calibri" w:hAnsi="Calibri"/>
          <w:b/>
          <w:bCs/>
          <w:color w:val="C96F4A"/>
          <w:sz w:val="24"/>
          <w:szCs w:val="24"/>
        </w:rPr>
        <w:t xml:space="preserve">If we do need to borrow</w:t>
      </w:r>
    </w:p>
    <w:p>
      <w:pPr>
        <w:spacing w:after="120" w:before="0" w:line="290"/>
      </w:pPr>
      <w:r>
        <w:rPr>
          <w:rFonts w:ascii="Calibri" w:cs="Calibri" w:eastAsia="Calibri" w:hAnsi="Calibri"/>
          <w:color w:val="2B2B2B"/>
          <w:sz w:val="21"/>
          <w:szCs w:val="21"/>
        </w:rPr>
        <w:t xml:space="preserve">FGI PEAC is the only credit instrument in Brazil whose published rules a company with no trading history actually passes — no minimum revenue, no minimum time in business, no personal guarantee required. Offered through 48 banks including Stone, Nubank, Sicoob and Sicredi. </w:t>
      </w:r>
      <w:r>
        <w:rPr>
          <w:rFonts w:ascii="Calibri" w:cs="Calibri" w:eastAsia="Calibri" w:hAnsi="Calibri"/>
          <w:b/>
          <w:bCs/>
          <w:color w:val="2B2B2B"/>
          <w:sz w:val="21"/>
          <w:szCs w:val="21"/>
        </w:rPr>
        <w:t xml:space="preserve">Take R$15–20.000, once, and no more.</w:t>
      </w:r>
      <w:r>
        <w:rPr>
          <w:rFonts w:ascii="Calibri" w:cs="Calibri" w:eastAsia="Calibri" w:hAnsi="Calibri"/>
          <w:color w:val="2B2B2B"/>
          <w:sz w:val="21"/>
          <w:szCs w:val="21"/>
        </w:rPr>
        <w:t xml:space="preserve"> Above about R$35.000 of cash the constraint stops being money and becomes how many tenders we can win, and more money just sits there costing interest.</w:t>
      </w:r>
    </w:p>
    <w:p>
      <w:pPr>
        <w:spacing w:after="120" w:before="0" w:line="290"/>
      </w:pPr>
      <w:r>
        <w:rPr>
          <w:rFonts w:ascii="Calibri" w:cs="Calibri" w:eastAsia="Calibri" w:hAnsi="Calibri"/>
          <w:b/>
          <w:bCs/>
          <w:color w:val="A63A3A"/>
          <w:sz w:val="21"/>
          <w:szCs w:val="21"/>
        </w:rPr>
        <w:t xml:space="preserve">Warning: </w:t>
      </w:r>
      <w:r>
        <w:rPr>
          <w:rFonts w:ascii="Calibri" w:cs="Calibri" w:eastAsia="Calibri" w:hAnsi="Calibri"/>
          <w:color w:val="2B2B2B"/>
          <w:sz w:val="21"/>
          <w:szCs w:val="21"/>
        </w:rPr>
        <w:t xml:space="preserve">no FGI PEAC bank publishes its rate. Budget against the only published Brazilian unsecured rate we could find — 2,91% to 6,60% per month — and check the real number before signing anything.</w:t>
      </w:r>
    </w:p>
    <w:p>
      <w:r>
        <w:br w:type="page"/>
      </w:r>
    </w:p>
    <w:p>
      <w:pPr>
        <w:pStyle w:val="Heading1"/>
        <w:spacing w:after="160" w:before="360"/>
      </w:pPr>
      <w:r>
        <w:rPr>
          <w:rFonts w:ascii="Calibri" w:cs="Calibri" w:eastAsia="Calibri" w:hAnsi="Calibri"/>
          <w:b/>
          <w:bCs/>
          <w:color w:val="1F4E4A"/>
          <w:sz w:val="30"/>
          <w:szCs w:val="30"/>
        </w:rPr>
        <w:t xml:space="preserve">9.  The bidding rules — this is the actual business</w:t>
      </w:r>
    </w:p>
    <w:p>
      <w:pPr>
        <w:spacing w:after="120" w:before="0" w:line="290"/>
      </w:pPr>
      <w:r>
        <w:rPr>
          <w:rFonts w:ascii="Calibri" w:cs="Calibri" w:eastAsia="Calibri" w:hAnsi="Calibri"/>
          <w:color w:val="2B2B2B"/>
          <w:sz w:val="21"/>
          <w:szCs w:val="21"/>
        </w:rPr>
        <w:t xml:space="preserve">There is no clever pricing that rescues a tender we should not have entered. The filters are the company. Every one of these has a measured reason behind it.</w:t>
      </w:r>
    </w:p>
    <w:tbl>
      <w:tblPr>
        <w:tblW w:type="dxa" w:w="9506"/>
        <w:tblBorders>
          <w:top w:val="single" w:color="D8D2C6" w:sz="4"/>
          <w:left w:val="none"/>
          <w:bottom w:val="single" w:color="D8D2C6" w:sz="4"/>
          <w:right w:val="none"/>
          <w:insideH w:val="single" w:color="E6E1D8" w:sz="2"/>
          <w:insideV w:val="none"/>
        </w:tblBorders>
      </w:tblPr>
      <w:tblGrid>
        <w:gridCol w:w="500"/>
        <w:gridCol w:w="3400"/>
        <w:gridCol w:w="5606"/>
      </w:tblGrid>
      <w:tr>
        <w:trPr>
          <w:tblHeader/>
        </w:trPr>
        <w:tc>
          <w:tcPr>
            <w:tcW w:type="dxa" w:w="5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34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Rule</w:t>
            </w:r>
          </w:p>
        </w:tc>
        <w:tc>
          <w:tcPr>
            <w:tcW w:type="dxa" w:w="56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Why</w:t>
            </w:r>
          </w:p>
        </w:tc>
      </w:tr>
      <w:tr>
        <w:tc>
          <w:tcPr>
            <w:tcW w:type="dxa" w:w="500"/>
            <w:tcMar>
              <w:top w:type="dxa" w:w="70"/>
              <w:left w:type="dxa" w:w="110"/>
              <w:bottom w:type="dxa" w:w="70"/>
              <w:right w:type="dxa" w:w="110"/>
            </w:tcMar>
          </w:tcPr>
          <w:p>
            <w:pPr>
              <w:spacing w:after="0"/>
            </w:pPr>
            <w:r>
              <w:rPr>
                <w:rFonts w:ascii="Calibri" w:cs="Calibri" w:eastAsia="Calibri" w:hAnsi="Calibri"/>
                <w:color w:val="2B2B2B"/>
                <w:sz w:val="19"/>
                <w:szCs w:val="19"/>
              </w:rPr>
              <w:t xml:space="preserve">1</w:t>
            </w:r>
          </w:p>
        </w:tc>
        <w:tc>
          <w:tcPr>
            <w:tcW w:type="dxa" w:w="3400"/>
            <w:tcMar>
              <w:top w:type="dxa" w:w="70"/>
              <w:left w:type="dxa" w:w="110"/>
              <w:bottom w:type="dxa" w:w="70"/>
              <w:right w:type="dxa" w:w="110"/>
            </w:tcMar>
          </w:tcPr>
          <w:p>
            <w:pPr>
              <w:spacing w:after="0"/>
            </w:pPr>
            <w:r>
              <w:rPr>
                <w:rFonts w:ascii="Calibri" w:cs="Calibri" w:eastAsia="Calibri" w:hAnsi="Calibri"/>
                <w:color w:val="2B2B2B"/>
                <w:sz w:val="19"/>
                <w:szCs w:val="19"/>
              </w:rPr>
              <w:t xml:space="preserve">Reject any lote único</w:t>
            </w:r>
          </w:p>
        </w:tc>
        <w:tc>
          <w:tcPr>
            <w:tcW w:type="dxa" w:w="5606"/>
            <w:tcMar>
              <w:top w:type="dxa" w:w="70"/>
              <w:left w:type="dxa" w:w="110"/>
              <w:bottom w:type="dxa" w:w="70"/>
              <w:right w:type="dxa" w:w="110"/>
            </w:tcMar>
          </w:tcPr>
          <w:p>
            <w:pPr>
              <w:spacing w:after="0"/>
            </w:pPr>
            <w:r>
              <w:rPr>
                <w:rFonts w:ascii="Calibri" w:cs="Calibri" w:eastAsia="Calibri" w:hAnsi="Calibri"/>
                <w:color w:val="2B2B2B"/>
                <w:sz w:val="19"/>
                <w:szCs w:val="19"/>
              </w:rPr>
              <w:t xml:space="preserve">They clear at 36–63% of estimate — that is where factories dump stock</w:t>
            </w:r>
          </w:p>
        </w:tc>
      </w:tr>
      <w:tr>
        <w:tc>
          <w:tcPr>
            <w:tcW w:type="dxa" w:w="5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2</w:t>
            </w:r>
          </w:p>
        </w:tc>
        <w:tc>
          <w:tcPr>
            <w:tcW w:type="dxa" w:w="34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Reject any atestado clause with a NUMBER in it</w:t>
            </w:r>
          </w:p>
        </w:tc>
        <w:tc>
          <w:tcPr>
            <w:tcW w:type="dxa" w:w="56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A percentage or quantity excludes a first-time supplier. A plain atestado clause does not — one prior sale of any size satisfies it</w:t>
            </w:r>
          </w:p>
        </w:tc>
      </w:tr>
      <w:tr>
        <w:tc>
          <w:tcPr>
            <w:tcW w:type="dxa" w:w="500"/>
            <w:tcMar>
              <w:top w:type="dxa" w:w="70"/>
              <w:left w:type="dxa" w:w="110"/>
              <w:bottom w:type="dxa" w:w="70"/>
              <w:right w:type="dxa" w:w="110"/>
            </w:tcMar>
          </w:tcPr>
          <w:p>
            <w:pPr>
              <w:spacing w:after="0"/>
            </w:pPr>
            <w:r>
              <w:rPr>
                <w:rFonts w:ascii="Calibri" w:cs="Calibri" w:eastAsia="Calibri" w:hAnsi="Calibri"/>
                <w:color w:val="2B2B2B"/>
                <w:sz w:val="19"/>
                <w:szCs w:val="19"/>
              </w:rPr>
              <w:t xml:space="preserve">3</w:t>
            </w:r>
          </w:p>
        </w:tc>
        <w:tc>
          <w:tcPr>
            <w:tcW w:type="dxa" w:w="3400"/>
            <w:tcMar>
              <w:top w:type="dxa" w:w="70"/>
              <w:left w:type="dxa" w:w="110"/>
              <w:bottom w:type="dxa" w:w="70"/>
              <w:right w:type="dxa" w:w="110"/>
            </w:tcMar>
          </w:tcPr>
          <w:p>
            <w:pPr>
              <w:spacing w:after="0"/>
            </w:pPr>
            <w:r>
              <w:rPr>
                <w:rFonts w:ascii="Calibri" w:cs="Calibri" w:eastAsia="Calibri" w:hAnsi="Calibri"/>
                <w:color w:val="2B2B2B"/>
                <w:sz w:val="19"/>
                <w:szCs w:val="19"/>
              </w:rPr>
              <w:t xml:space="preserve">Reject “conforme modelo do órgão”</w:t>
            </w:r>
          </w:p>
        </w:tc>
        <w:tc>
          <w:tcPr>
            <w:tcW w:type="dxa" w:w="5606"/>
            <w:tcMar>
              <w:top w:type="dxa" w:w="70"/>
              <w:left w:type="dxa" w:w="110"/>
              <w:bottom w:type="dxa" w:w="70"/>
              <w:right w:type="dxa" w:w="110"/>
            </w:tcMar>
          </w:tcPr>
          <w:p>
            <w:pPr>
              <w:spacing w:after="0"/>
            </w:pPr>
            <w:r>
              <w:rPr>
                <w:rFonts w:ascii="Calibri" w:cs="Calibri" w:eastAsia="Calibri" w:hAnsi="Calibri"/>
                <w:color w:val="2B2B2B"/>
                <w:sz w:val="19"/>
                <w:szCs w:val="19"/>
              </w:rPr>
              <w:t xml:space="preserve">Custom spec we cannot source</w:t>
            </w:r>
          </w:p>
        </w:tc>
      </w:tr>
      <w:tr>
        <w:tc>
          <w:tcPr>
            <w:tcW w:type="dxa" w:w="5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4</w:t>
            </w:r>
          </w:p>
        </w:tc>
        <w:tc>
          <w:tcPr>
            <w:tcW w:type="dxa" w:w="34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Reject kits over ~18 items</w:t>
            </w:r>
          </w:p>
        </w:tc>
        <w:tc>
          <w:tcPr>
            <w:tcW w:type="dxa" w:w="56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Too many sourcing points to be safe on</w:t>
            </w:r>
          </w:p>
        </w:tc>
      </w:tr>
      <w:tr>
        <w:tc>
          <w:tcPr>
            <w:tcW w:type="dxa" w:w="500"/>
            <w:tcMar>
              <w:top w:type="dxa" w:w="70"/>
              <w:left w:type="dxa" w:w="110"/>
              <w:bottom w:type="dxa" w:w="70"/>
              <w:right w:type="dxa" w:w="110"/>
            </w:tcMar>
          </w:tcPr>
          <w:p>
            <w:pPr>
              <w:spacing w:after="0"/>
            </w:pPr>
            <w:r>
              <w:rPr>
                <w:rFonts w:ascii="Calibri" w:cs="Calibri" w:eastAsia="Calibri" w:hAnsi="Calibri"/>
                <w:color w:val="2B2B2B"/>
                <w:sz w:val="19"/>
                <w:szCs w:val="19"/>
              </w:rPr>
              <w:t xml:space="preserve">5</w:t>
            </w:r>
          </w:p>
        </w:tc>
        <w:tc>
          <w:tcPr>
            <w:tcW w:type="dxa" w:w="3400"/>
            <w:tcMar>
              <w:top w:type="dxa" w:w="70"/>
              <w:left w:type="dxa" w:w="110"/>
              <w:bottom w:type="dxa" w:w="70"/>
              <w:right w:type="dxa" w:w="110"/>
            </w:tcMar>
          </w:tcPr>
          <w:p>
            <w:pPr>
              <w:spacing w:after="0"/>
            </w:pPr>
            <w:r>
              <w:rPr>
                <w:rFonts w:ascii="Calibri" w:cs="Calibri" w:eastAsia="Calibri" w:hAnsi="Calibri"/>
                <w:color w:val="2B2B2B"/>
                <w:sz w:val="19"/>
                <w:szCs w:val="19"/>
              </w:rPr>
              <w:t xml:space="preserve">Reject deadlines we cannot physically hit</w:t>
            </w:r>
          </w:p>
        </w:tc>
        <w:tc>
          <w:tcPr>
            <w:tcW w:type="dxa" w:w="5606"/>
            <w:tcMar>
              <w:top w:type="dxa" w:w="70"/>
              <w:left w:type="dxa" w:w="110"/>
              <w:bottom w:type="dxa" w:w="70"/>
              <w:right w:type="dxa" w:w="110"/>
            </w:tcMar>
          </w:tcPr>
          <w:p>
            <w:pPr>
              <w:spacing w:after="0"/>
            </w:pPr>
            <w:r>
              <w:rPr>
                <w:rFonts w:ascii="Calibri" w:cs="Calibri" w:eastAsia="Calibri" w:hAnsi="Calibri"/>
                <w:color w:val="2B2B2B"/>
                <w:sz w:val="19"/>
                <w:szCs w:val="19"/>
              </w:rPr>
              <w:t xml:space="preserve">One in three tenders gives 5 days or fewer</w:t>
            </w:r>
          </w:p>
        </w:tc>
      </w:tr>
      <w:tr>
        <w:tc>
          <w:tcPr>
            <w:tcW w:type="dxa" w:w="5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6</w:t>
            </w:r>
          </w:p>
        </w:tc>
        <w:tc>
          <w:tcPr>
            <w:tcW w:type="dxa" w:w="34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Check the buyer's payment record before bidding</w:t>
            </w:r>
          </w:p>
        </w:tc>
        <w:tc>
          <w:tcPr>
            <w:tcW w:type="dxa" w:w="56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Free, one web call. Some towns have paid 0% of last year's invoices</w:t>
            </w:r>
          </w:p>
        </w:tc>
      </w:tr>
      <w:tr>
        <w:tc>
          <w:tcPr>
            <w:tcW w:type="dxa" w:w="500"/>
            <w:tcMar>
              <w:top w:type="dxa" w:w="70"/>
              <w:left w:type="dxa" w:w="110"/>
              <w:bottom w:type="dxa" w:w="70"/>
              <w:right w:type="dxa" w:w="110"/>
            </w:tcMar>
          </w:tcPr>
          <w:p>
            <w:pPr>
              <w:spacing w:after="0"/>
            </w:pPr>
            <w:r>
              <w:rPr>
                <w:rFonts w:ascii="Calibri" w:cs="Calibri" w:eastAsia="Calibri" w:hAnsi="Calibri"/>
                <w:color w:val="2B2B2B"/>
                <w:sz w:val="19"/>
                <w:szCs w:val="19"/>
              </w:rPr>
              <w:t xml:space="preserve">7</w:t>
            </w:r>
          </w:p>
        </w:tc>
        <w:tc>
          <w:tcPr>
            <w:tcW w:type="dxa" w:w="3400"/>
            <w:tcMar>
              <w:top w:type="dxa" w:w="70"/>
              <w:left w:type="dxa" w:w="110"/>
              <w:bottom w:type="dxa" w:w="70"/>
              <w:right w:type="dxa" w:w="110"/>
            </w:tcMar>
          </w:tcPr>
          <w:p>
            <w:pPr>
              <w:spacing w:after="0"/>
            </w:pPr>
            <w:r>
              <w:rPr>
                <w:rFonts w:ascii="Calibri" w:cs="Calibri" w:eastAsia="Calibri" w:hAnsi="Calibri"/>
                <w:color w:val="2B2B2B"/>
                <w:sz w:val="19"/>
                <w:szCs w:val="19"/>
              </w:rPr>
              <w:t xml:space="preserve">Check whether the line is under R$80.000</w:t>
            </w:r>
          </w:p>
        </w:tc>
        <w:tc>
          <w:tcPr>
            <w:tcW w:type="dxa" w:w="5606"/>
            <w:tcMar>
              <w:top w:type="dxa" w:w="70"/>
              <w:left w:type="dxa" w:w="110"/>
              <w:bottom w:type="dxa" w:w="70"/>
              <w:right w:type="dxa" w:w="110"/>
            </w:tcMar>
          </w:tcPr>
          <w:p>
            <w:pPr>
              <w:spacing w:after="0"/>
            </w:pPr>
            <w:r>
              <w:rPr>
                <w:rFonts w:ascii="Calibri" w:cs="Calibri" w:eastAsia="Calibri" w:hAnsi="Calibri"/>
                <w:color w:val="2B2B2B"/>
                <w:sz w:val="19"/>
                <w:szCs w:val="19"/>
              </w:rPr>
              <w:t xml:space="preserve">Those are legally reserved for small companies only — less competition</w:t>
            </w:r>
          </w:p>
        </w:tc>
      </w:tr>
      <w:tr>
        <w:tc>
          <w:tcPr>
            <w:tcW w:type="dxa" w:w="5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8</w:t>
            </w:r>
          </w:p>
        </w:tc>
        <w:tc>
          <w:tcPr>
            <w:tcW w:type="dxa" w:w="34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Price every line from our own cost table, spec by spec</w:t>
            </w:r>
          </w:p>
        </w:tc>
        <w:tc>
          <w:tcPr>
            <w:tcW w:type="dxa" w:w="56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A “baby bath” at 17 litres and at 24 litres are different products with a 36-point margin difference</w:t>
            </w:r>
          </w:p>
        </w:tc>
      </w:tr>
      <w:tr>
        <w:tc>
          <w:tcPr>
            <w:tcW w:type="dxa" w:w="500"/>
            <w:tcMar>
              <w:top w:type="dxa" w:w="70"/>
              <w:left w:type="dxa" w:w="110"/>
              <w:bottom w:type="dxa" w:w="70"/>
              <w:right w:type="dxa" w:w="110"/>
            </w:tcMar>
          </w:tcPr>
          <w:p>
            <w:pPr>
              <w:spacing w:after="0"/>
            </w:pPr>
            <w:r>
              <w:rPr>
                <w:rFonts w:ascii="Calibri" w:cs="Calibri" w:eastAsia="Calibri" w:hAnsi="Calibri"/>
                <w:color w:val="2B2B2B"/>
                <w:sz w:val="19"/>
                <w:szCs w:val="19"/>
              </w:rPr>
              <w:t xml:space="preserve">9</w:t>
            </w:r>
          </w:p>
        </w:tc>
        <w:tc>
          <w:tcPr>
            <w:tcW w:type="dxa" w:w="3400"/>
            <w:tcMar>
              <w:top w:type="dxa" w:w="70"/>
              <w:left w:type="dxa" w:w="110"/>
              <w:bottom w:type="dxa" w:w="70"/>
              <w:right w:type="dxa" w:w="110"/>
            </w:tcMar>
          </w:tcPr>
          <w:p>
            <w:pPr>
              <w:spacing w:after="0"/>
            </w:pPr>
            <w:r>
              <w:rPr>
                <w:rFonts w:ascii="Calibri" w:cs="Calibri" w:eastAsia="Calibri" w:hAnsi="Calibri"/>
                <w:color w:val="2B2B2B"/>
                <w:sz w:val="19"/>
                <w:szCs w:val="19"/>
              </w:rPr>
              <w:t xml:space="preserve">Log every bid — win or lose</w:t>
            </w:r>
          </w:p>
        </w:tc>
        <w:tc>
          <w:tcPr>
            <w:tcW w:type="dxa" w:w="5606"/>
            <w:tcMar>
              <w:top w:type="dxa" w:w="70"/>
              <w:left w:type="dxa" w:w="110"/>
              <w:bottom w:type="dxa" w:w="70"/>
              <w:right w:type="dxa" w:w="110"/>
            </w:tcMar>
          </w:tcPr>
          <w:p>
            <w:pPr>
              <w:spacing w:after="0"/>
            </w:pPr>
            <w:r>
              <w:rPr>
                <w:rFonts w:ascii="Calibri" w:cs="Calibri" w:eastAsia="Calibri" w:hAnsi="Calibri"/>
                <w:color w:val="2B2B2B"/>
                <w:sz w:val="19"/>
                <w:szCs w:val="19"/>
              </w:rPr>
              <w:t xml:space="preserve">See below</w:t>
            </w:r>
          </w:p>
        </w:tc>
      </w:tr>
    </w:tbl>
    <w:p>
      <w:pPr>
        <w:spacing w:after="80"/>
      </w:pPr>
    </w:p>
    <w:tbl>
      <w:tblPr>
        <w:tblW w:type="dxa" w:w="9506"/>
        <w:tblBorders>
          <w:top w:val="single" w:color="8FA89B" w:sz="12"/>
          <w:left w:val="single" w:color="8FA89B" w:sz="12"/>
          <w:bottom w:val="single" w:color="8FA89B" w:sz="12"/>
          <w:right w:val="single" w:color="8FA89B" w:sz="12"/>
          <w:insideH w:val="none"/>
          <w:insideV w:val="none"/>
        </w:tblBorders>
      </w:tblPr>
      <w:tblGrid>
        <w:gridCol w:w="9506"/>
      </w:tblGrid>
      <w:tr>
        <w:tc>
          <w:tcPr>
            <w:tcW w:type="dxa" w:w="9506"/>
            <w:shd w:fill="F7F3EC" w:val="clear"/>
            <w:tcMar>
              <w:top w:type="dxa" w:w="160"/>
              <w:left w:type="dxa" w:w="200"/>
              <w:bottom w:type="dxa" w:w="160"/>
              <w:right w:type="dxa" w:w="200"/>
            </w:tcMar>
          </w:tcPr>
          <w:p>
            <w:pPr>
              <w:spacing w:after="130" w:before="0" w:line="290"/>
            </w:pPr>
            <w:r>
              <w:rPr>
                <w:rFonts w:ascii="Calibri" w:cs="Calibri" w:eastAsia="Calibri" w:hAnsi="Calibri"/>
                <w:b/>
                <w:bCs/>
                <w:color w:val="1F4E4A"/>
                <w:sz w:val="22"/>
                <w:szCs w:val="22"/>
              </w:rPr>
              <w:t xml:space="preserve">The one asset that compounds</w:t>
            </w:r>
          </w:p>
          <w:p>
            <w:pPr>
              <w:spacing w:after="120" w:before="0" w:line="290"/>
            </w:pPr>
            <w:r>
              <w:rPr>
                <w:rFonts w:ascii="Calibri" w:cs="Calibri" w:eastAsia="Calibri" w:hAnsi="Calibri"/>
                <w:color w:val="2B2B2B"/>
                <w:sz w:val="21"/>
                <w:szCs w:val="21"/>
              </w:rPr>
              <w:t xml:space="preserve">Brazil publishes who WON a tender. It never publishes who lost, or what they bid. That means nobody — not us, not any competitor, not the R$4.000-a-year software vendors — can know the real win rate or the real losing prices.</w:t>
            </w:r>
          </w:p>
          <w:p>
            <w:pPr>
              <w:spacing w:after="0" w:before="0" w:line="290"/>
            </w:pPr>
            <w:r>
              <w:rPr>
                <w:rFonts w:ascii="Calibri" w:cs="Calibri" w:eastAsia="Calibri" w:hAnsi="Calibri"/>
                <w:b/>
                <w:bCs/>
                <w:color w:val="2B2B2B"/>
                <w:sz w:val="21"/>
                <w:szCs w:val="21"/>
              </w:rPr>
              <w:t xml:space="preserve">Except us, about our own bids. From day one, log: date, town, item, spec, quantity, our cost, our bid, result, and the winning price when we lose. After six months that file tells us exactly where to bid, and it is a file nobody can buy.</w:t>
            </w:r>
          </w:p>
        </w:tc>
      </w:tr>
    </w:tbl>
    <w:p>
      <w:pPr>
        <w:spacing w:after="120" w:before="120" w:line="290"/>
      </w:pPr>
      <w:r>
        <w:rPr>
          <w:rFonts w:ascii="Calibri" w:cs="Calibri" w:eastAsia="Calibri" w:hAnsi="Calibri"/>
          <w:color w:val="2B2B2B"/>
          <w:sz w:val="21"/>
          <w:szCs w:val="21"/>
        </w:rPr>
        <w:t xml:space="preserve">Worth knowing: there are already companies selling tender-alert software (SIGA Pregão charges R$3.997 a year). They sell what the STATE paid. </w:t>
      </w:r>
      <w:r>
        <w:rPr>
          <w:rFonts w:ascii="Calibri" w:cs="Calibri" w:eastAsia="Calibri" w:hAnsi="Calibri"/>
          <w:b/>
          <w:bCs/>
          <w:color w:val="2B2B2B"/>
          <w:sz w:val="21"/>
          <w:szCs w:val="21"/>
        </w:rPr>
        <w:t xml:space="preserve">None of them can sell what WE pay, because that is our own invoice.</w:t>
      </w:r>
      <w:r>
        <w:rPr>
          <w:rFonts w:ascii="Calibri" w:cs="Calibri" w:eastAsia="Calibri" w:hAnsi="Calibri"/>
          <w:color w:val="2B2B2B"/>
          <w:sz w:val="21"/>
          <w:szCs w:val="21"/>
        </w:rPr>
        <w:t xml:space="preserve"> The cost side is the only part of this nobody can package and resell.</w:t>
      </w:r>
    </w:p>
    <w:p>
      <w:r>
        <w:br w:type="page"/>
      </w:r>
    </w:p>
    <w:p>
      <w:pPr>
        <w:pStyle w:val="Heading1"/>
        <w:spacing w:after="160" w:before="360"/>
      </w:pPr>
      <w:r>
        <w:rPr>
          <w:rFonts w:ascii="Calibri" w:cs="Calibri" w:eastAsia="Calibri" w:hAnsi="Calibri"/>
          <w:b/>
          <w:bCs/>
          <w:color w:val="1F4E4A"/>
          <w:sz w:val="30"/>
          <w:szCs w:val="30"/>
        </w:rPr>
        <w:t xml:space="preserve">10.  Everything that needs doing</w:t>
      </w:r>
    </w:p>
    <w:p>
      <w:pPr>
        <w:spacing w:after="120" w:before="0" w:line="290"/>
      </w:pPr>
      <w:r>
        <w:rPr>
          <w:rFonts w:ascii="Calibri" w:cs="Calibri" w:eastAsia="Calibri" w:hAnsi="Calibri"/>
          <w:color w:val="2B2B2B"/>
          <w:sz w:val="21"/>
          <w:szCs w:val="21"/>
        </w:rPr>
        <w:t xml:space="preserve">In order. Do not skip ahead — step 0 decides whether the rest is worth doing at all.</w:t>
      </w:r>
    </w:p>
    <w:p>
      <w:pPr>
        <w:pStyle w:val="Heading2"/>
        <w:spacing w:after="110" w:before="260"/>
      </w:pPr>
      <w:r>
        <w:rPr>
          <w:rFonts w:ascii="Calibri" w:cs="Calibri" w:eastAsia="Calibri" w:hAnsi="Calibri"/>
          <w:b/>
          <w:bCs/>
          <w:color w:val="C96F4A"/>
          <w:sz w:val="24"/>
          <w:szCs w:val="24"/>
        </w:rPr>
        <w:t xml:space="preserve">STEP 0 — this week, costs nothing</w:t>
      </w:r>
    </w:p>
    <w:tbl>
      <w:tblPr>
        <w:tblW w:type="dxa" w:w="9506"/>
        <w:tblBorders>
          <w:top w:val="single" w:color="8FA89B" w:sz="12"/>
          <w:left w:val="single" w:color="8FA89B" w:sz="12"/>
          <w:bottom w:val="single" w:color="8FA89B" w:sz="12"/>
          <w:right w:val="single" w:color="8FA89B" w:sz="12"/>
          <w:insideH w:val="none"/>
          <w:insideV w:val="none"/>
        </w:tblBorders>
      </w:tblPr>
      <w:tblGrid>
        <w:gridCol w:w="9506"/>
      </w:tblGrid>
      <w:tr>
        <w:tc>
          <w:tcPr>
            <w:tcW w:type="dxa" w:w="9506"/>
            <w:shd w:fill="F7F3EC" w:val="clear"/>
            <w:tcMar>
              <w:top w:type="dxa" w:w="160"/>
              <w:left w:type="dxa" w:w="200"/>
              <w:bottom w:type="dxa" w:w="160"/>
              <w:right w:type="dxa" w:w="200"/>
            </w:tcMar>
          </w:tcPr>
          <w:p>
            <w:pPr>
              <w:spacing w:after="120" w:before="0" w:line="290"/>
            </w:pPr>
            <w:r>
              <w:rPr>
                <w:rFonts w:ascii="Calibri" w:cs="Calibri" w:eastAsia="Calibri" w:hAnsi="Calibri"/>
                <w:b/>
                <w:bCs/>
                <w:color w:val="1F4E4A"/>
                <w:sz w:val="23"/>
                <w:szCs w:val="23"/>
              </w:rPr>
              <w:t xml:space="preserve">Price the other 11 items in the kit.</w:t>
            </w:r>
          </w:p>
          <w:p>
            <w:pPr>
              <w:spacing w:after="120" w:before="0" w:line="290"/>
            </w:pPr>
            <w:r>
              <w:rPr>
                <w:rFonts w:ascii="Calibri" w:cs="Calibri" w:eastAsia="Calibri" w:hAnsi="Calibri"/>
                <w:color w:val="2B2B2B"/>
                <w:sz w:val="21"/>
                <w:szCs w:val="21"/>
              </w:rPr>
              <w:t xml:space="preserve">We have verified São Paulo prices for 6 of the 17 items. The missing ones — above all the backpack, the most expensive item in the kit — have no price anywhere in our research. Spend an afternoon on the Brás wholesalers' websites and fill in the table.</w:t>
            </w:r>
          </w:p>
          <w:p>
            <w:pPr>
              <w:spacing w:after="0" w:before="0" w:line="290"/>
            </w:pPr>
            <w:r>
              <w:rPr>
                <w:rFonts w:ascii="Calibri" w:cs="Calibri" w:eastAsia="Calibri" w:hAnsi="Calibri"/>
                <w:b/>
                <w:bCs/>
                <w:color w:val="C96F4A"/>
                <w:sz w:val="21"/>
                <w:szCs w:val="21"/>
              </w:rPr>
              <w:t xml:space="preserve">Bar, decided in advance: total under R$200 → start the business now. Over R$230 → we need a proper supplier account before anything else.</w:t>
            </w:r>
          </w:p>
        </w:tc>
      </w:tr>
    </w:tbl>
    <w:p>
      <w:pPr>
        <w:pStyle w:val="Heading2"/>
        <w:spacing w:after="110" w:before="260"/>
      </w:pPr>
      <w:r>
        <w:rPr>
          <w:rFonts w:ascii="Calibri" w:cs="Calibri" w:eastAsia="Calibri" w:hAnsi="Calibri"/>
          <w:b/>
          <w:bCs/>
          <w:color w:val="C96F4A"/>
          <w:sz w:val="24"/>
          <w:szCs w:val="24"/>
        </w:rPr>
        <w:t xml:space="preserve">STEP 1 — open the company  (~R$1.500–2.500)</w:t>
      </w:r>
    </w:p>
    <w:tbl>
      <w:tblPr>
        <w:tblW w:type="dxa" w:w="9506"/>
        <w:tblBorders>
          <w:top w:val="single" w:color="D8D2C6" w:sz="4"/>
          <w:left w:val="none"/>
          <w:bottom w:val="single" w:color="D8D2C6" w:sz="4"/>
          <w:right w:val="none"/>
          <w:insideH w:val="single" w:color="E6E1D8" w:sz="2"/>
          <w:insideV w:val="none"/>
        </w:tblBorders>
      </w:tblPr>
      <w:tblGrid>
        <w:gridCol w:w="3000"/>
        <w:gridCol w:w="1800"/>
        <w:gridCol w:w="4706"/>
      </w:tblGrid>
      <w:tr>
        <w:trPr>
          <w:tblHeader/>
        </w:trPr>
        <w:tc>
          <w:tcPr>
            <w:tcW w:type="dxa" w:w="30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Task</w:t>
            </w:r>
          </w:p>
        </w:tc>
        <w:tc>
          <w:tcPr>
            <w:tcW w:type="dxa" w:w="18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Cost</w:t>
            </w:r>
          </w:p>
        </w:tc>
        <w:tc>
          <w:tcPr>
            <w:tcW w:type="dxa" w:w="47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Note</w:t>
            </w:r>
          </w:p>
        </w:tc>
      </w:tr>
      <w:tr>
        <w:tc>
          <w:tcPr>
            <w:tcW w:type="dxa" w:w="3000"/>
            <w:tcMar>
              <w:top w:type="dxa" w:w="70"/>
              <w:left w:type="dxa" w:w="110"/>
              <w:bottom w:type="dxa" w:w="70"/>
              <w:right w:type="dxa" w:w="110"/>
            </w:tcMar>
          </w:tcPr>
          <w:p>
            <w:pPr>
              <w:spacing w:after="0"/>
            </w:pPr>
            <w:r>
              <w:rPr>
                <w:rFonts w:ascii="Calibri" w:cs="Calibri" w:eastAsia="Calibri" w:hAnsi="Calibri"/>
                <w:color w:val="2B2B2B"/>
                <w:sz w:val="19"/>
                <w:szCs w:val="19"/>
              </w:rPr>
              <w:t xml:space="preserve">Hire a contador</w:t>
            </w:r>
          </w:p>
        </w:tc>
        <w:tc>
          <w:tcPr>
            <w:tcW w:type="dxa" w:w="1800"/>
            <w:tcMar>
              <w:top w:type="dxa" w:w="70"/>
              <w:left w:type="dxa" w:w="110"/>
              <w:bottom w:type="dxa" w:w="70"/>
              <w:right w:type="dxa" w:w="110"/>
            </w:tcMar>
          </w:tcPr>
          <w:p>
            <w:pPr>
              <w:spacing w:after="0"/>
            </w:pPr>
            <w:r>
              <w:rPr>
                <w:rFonts w:ascii="Calibri" w:cs="Calibri" w:eastAsia="Calibri" w:hAnsi="Calibri"/>
                <w:color w:val="2B2B2B"/>
                <w:sz w:val="19"/>
                <w:szCs w:val="19"/>
              </w:rPr>
              <w:t xml:space="preserve">R$200–400 / month</w:t>
            </w:r>
          </w:p>
        </w:tc>
        <w:tc>
          <w:tcPr>
            <w:tcW w:type="dxa" w:w="4706"/>
            <w:tcMar>
              <w:top w:type="dxa" w:w="70"/>
              <w:left w:type="dxa" w:w="110"/>
              <w:bottom w:type="dxa" w:w="70"/>
              <w:right w:type="dxa" w:w="110"/>
            </w:tcMar>
          </w:tcPr>
          <w:p>
            <w:pPr>
              <w:spacing w:after="0"/>
            </w:pPr>
            <w:r>
              <w:rPr>
                <w:rFonts w:ascii="Calibri" w:cs="Calibri" w:eastAsia="Calibri" w:hAnsi="Calibri"/>
                <w:color w:val="2B2B2B"/>
                <w:sz w:val="19"/>
                <w:szCs w:val="19"/>
              </w:rPr>
              <w:t xml:space="preserve">Non-negotiable. Handles Simples, notas fiscais, the opening balance sheet</w:t>
            </w:r>
          </w:p>
        </w:tc>
      </w:tr>
      <w:tr>
        <w:tc>
          <w:tcPr>
            <w:tcW w:type="dxa" w:w="30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Open an ME on Simples Nacional, Anexo I</w:t>
            </w:r>
          </w:p>
        </w:tc>
        <w:tc>
          <w:tcPr>
            <w:tcW w:type="dxa" w:w="18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~R$1.000 one-off</w:t>
            </w:r>
          </w:p>
        </w:tc>
        <w:tc>
          <w:tcPr>
            <w:tcW w:type="dxa" w:w="47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Tax is 4,0% of sales up to R$180k, 5,65% up to R$360k</w:t>
            </w:r>
          </w:p>
        </w:tc>
      </w:tr>
      <w:tr>
        <w:tc>
          <w:tcPr>
            <w:tcW w:type="dxa" w:w="3000"/>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Register SEVERAL CNAEs</w:t>
            </w:r>
          </w:p>
        </w:tc>
        <w:tc>
          <w:tcPr>
            <w:tcW w:type="dxa" w:w="1800"/>
            <w:tcMar>
              <w:top w:type="dxa" w:w="70"/>
              <w:left w:type="dxa" w:w="110"/>
              <w:bottom w:type="dxa" w:w="70"/>
              <w:right w:type="dxa" w:w="110"/>
            </w:tcMar>
          </w:tcPr>
          <w:p>
            <w:pPr>
              <w:spacing w:after="0"/>
            </w:pPr>
            <w:r>
              <w:rPr>
                <w:rFonts w:ascii="Calibri" w:cs="Calibri" w:eastAsia="Calibri" w:hAnsi="Calibri"/>
                <w:color w:val="2B2B2B"/>
                <w:sz w:val="19"/>
                <w:szCs w:val="19"/>
              </w:rPr>
              <w:t xml:space="preserve">included</w:t>
            </w:r>
          </w:p>
        </w:tc>
        <w:tc>
          <w:tcPr>
            <w:tcW w:type="dxa" w:w="4706"/>
            <w:tcMar>
              <w:top w:type="dxa" w:w="70"/>
              <w:left w:type="dxa" w:w="110"/>
              <w:bottom w:type="dxa" w:w="70"/>
              <w:right w:type="dxa" w:w="110"/>
            </w:tcMar>
          </w:tcPr>
          <w:p>
            <w:pPr>
              <w:spacing w:after="0"/>
            </w:pPr>
            <w:r>
              <w:rPr>
                <w:rFonts w:ascii="Calibri" w:cs="Calibri" w:eastAsia="Calibri" w:hAnsi="Calibri"/>
                <w:color w:val="2B2B2B"/>
                <w:sz w:val="19"/>
                <w:szCs w:val="19"/>
              </w:rPr>
              <w:t xml:space="preserve">Vestuário, enxoval, higiene pessoal, brinquedos. A tender can disqualify you if your registered objeto social does not cover what it is buying. This is a real and avoidable loss</w:t>
            </w:r>
          </w:p>
        </w:tc>
      </w:tr>
      <w:tr>
        <w:tc>
          <w:tcPr>
            <w:tcW w:type="dxa" w:w="30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Capital social R$20–30.000 integralizado</w:t>
            </w:r>
          </w:p>
        </w:tc>
        <w:tc>
          <w:tcPr>
            <w:tcW w:type="dxa" w:w="18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your own money</w:t>
            </w:r>
          </w:p>
        </w:tc>
        <w:tc>
          <w:tcPr>
            <w:tcW w:type="dxa" w:w="47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Not a fee. It caps what any tender may legally demand of you and makes the opening balance sheet pass</w:t>
            </w:r>
          </w:p>
        </w:tc>
      </w:tr>
      <w:tr>
        <w:tc>
          <w:tcPr>
            <w:tcW w:type="dxa" w:w="3000"/>
            <w:tcMar>
              <w:top w:type="dxa" w:w="70"/>
              <w:left w:type="dxa" w:w="110"/>
              <w:bottom w:type="dxa" w:w="70"/>
              <w:right w:type="dxa" w:w="110"/>
            </w:tcMar>
          </w:tcPr>
          <w:p>
            <w:pPr>
              <w:spacing w:after="0"/>
            </w:pPr>
            <w:r>
              <w:rPr>
                <w:rFonts w:ascii="Calibri" w:cs="Calibri" w:eastAsia="Calibri" w:hAnsi="Calibri"/>
                <w:color w:val="2B2B2B"/>
                <w:sz w:val="19"/>
                <w:szCs w:val="19"/>
              </w:rPr>
              <w:t xml:space="preserve">Certificado digital e-CNPJ A1</w:t>
            </w:r>
          </w:p>
        </w:tc>
        <w:tc>
          <w:tcPr>
            <w:tcW w:type="dxa" w:w="1800"/>
            <w:tcMar>
              <w:top w:type="dxa" w:w="70"/>
              <w:left w:type="dxa" w:w="110"/>
              <w:bottom w:type="dxa" w:w="70"/>
              <w:right w:type="dxa" w:w="110"/>
            </w:tcMar>
          </w:tcPr>
          <w:p>
            <w:pPr>
              <w:spacing w:after="0"/>
            </w:pPr>
            <w:r>
              <w:rPr>
                <w:rFonts w:ascii="Calibri" w:cs="Calibri" w:eastAsia="Calibri" w:hAnsi="Calibri"/>
                <w:color w:val="2B2B2B"/>
                <w:sz w:val="19"/>
                <w:szCs w:val="19"/>
              </w:rPr>
              <w:t xml:space="preserve">~R$200–300 / year</w:t>
            </w:r>
          </w:p>
        </w:tc>
        <w:tc>
          <w:tcPr>
            <w:tcW w:type="dxa" w:w="4706"/>
            <w:tcMar>
              <w:top w:type="dxa" w:w="70"/>
              <w:left w:type="dxa" w:w="110"/>
              <w:bottom w:type="dxa" w:w="70"/>
              <w:right w:type="dxa" w:w="110"/>
            </w:tcMar>
          </w:tcPr>
          <w:p>
            <w:pPr>
              <w:spacing w:after="0"/>
            </w:pPr>
            <w:r>
              <w:rPr>
                <w:rFonts w:ascii="Calibri" w:cs="Calibri" w:eastAsia="Calibri" w:hAnsi="Calibri"/>
                <w:color w:val="2B2B2B"/>
                <w:sz w:val="19"/>
                <w:szCs w:val="19"/>
              </w:rPr>
              <w:t xml:space="preserve">Required to bid</w:t>
            </w:r>
          </w:p>
        </w:tc>
      </w:tr>
      <w:tr>
        <w:tc>
          <w:tcPr>
            <w:tcW w:type="dxa" w:w="30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Conta PJ</w:t>
            </w:r>
          </w:p>
        </w:tc>
        <w:tc>
          <w:tcPr>
            <w:tcW w:type="dxa" w:w="18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free</w:t>
            </w:r>
          </w:p>
        </w:tc>
        <w:tc>
          <w:tcPr>
            <w:tcW w:type="dxa" w:w="47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Cora or Nubank PJ</w:t>
            </w:r>
          </w:p>
        </w:tc>
      </w:tr>
    </w:tbl>
    <w:p>
      <w:pPr>
        <w:spacing w:after="120" w:before="100" w:line="290"/>
      </w:pPr>
      <w:r>
        <w:rPr>
          <w:rFonts w:ascii="Calibri" w:cs="Calibri" w:eastAsia="Calibri" w:hAnsi="Calibri"/>
          <w:color w:val="6B6B6B"/>
          <w:sz w:val="19"/>
          <w:szCs w:val="19"/>
        </w:rPr>
        <w:t xml:space="preserve">Two things we were worried about turn out not to be problems, both settled in law: a first-year company cannot be required to show a balanço patrimonial for ready-delivery goods (Decreto 8.538/2015, art. 3), and no tender may demand a minimum past revenue (Lei 14.133, art. 69 §2).</w:t>
      </w:r>
    </w:p>
    <w:p>
      <w:pPr>
        <w:pStyle w:val="Heading2"/>
        <w:spacing w:after="110" w:before="260"/>
      </w:pPr>
      <w:r>
        <w:rPr>
          <w:rFonts w:ascii="Calibri" w:cs="Calibri" w:eastAsia="Calibri" w:hAnsi="Calibri"/>
          <w:b/>
          <w:bCs/>
          <w:color w:val="C96F4A"/>
          <w:sz w:val="24"/>
          <w:szCs w:val="24"/>
        </w:rPr>
        <w:t xml:space="preserve">STEP 2 — get registered to bid  (free)</w:t>
      </w:r>
    </w:p>
    <w:p>
      <w:pPr>
        <w:spacing w:after="120" w:before="0" w:line="290"/>
      </w:pPr>
      <w:r>
        <w:rPr>
          <w:rFonts w:ascii="Calibri" w:cs="Calibri" w:eastAsia="Calibri" w:hAnsi="Calibri"/>
          <w:color w:val="2B2B2B"/>
          <w:sz w:val="21"/>
          <w:szCs w:val="21"/>
        </w:rPr>
        <w:t xml:space="preserve">Five free registrations reach 74% of kit tenders. Eight reach 83%.</w:t>
      </w:r>
    </w:p>
    <w:p>
      <w:pPr>
        <w:pStyle w:val="ListParagraph"/>
        <w:numPr>
          <w:ilvl w:val="0"/>
          <w:numId w:val="2"/>
        </w:numPr>
        <w:spacing w:after="70" w:line="280"/>
      </w:pPr>
      <w:r>
        <w:rPr>
          <w:rFonts w:ascii="Calibri" w:cs="Calibri" w:eastAsia="Calibri" w:hAnsi="Calibri"/>
          <w:color w:val="2B2B2B"/>
          <w:sz w:val="21"/>
          <w:szCs w:val="21"/>
        </w:rPr>
        <w:t xml:space="preserve">Compras.gov.br / SICAF  ·  Portal de Compras Públicas  ·  BLL  ·  BNC  ·  Licitanet</w:t>
      </w:r>
    </w:p>
    <w:p>
      <w:pPr>
        <w:spacing w:after="120" w:before="0" w:line="290"/>
      </w:pPr>
      <w:r>
        <w:rPr>
          <w:rFonts w:ascii="Calibri" w:cs="Calibri" w:eastAsia="Calibri" w:hAnsi="Calibri"/>
          <w:color w:val="6B6B6B"/>
          <w:sz w:val="19"/>
          <w:szCs w:val="19"/>
        </w:rPr>
        <w:t xml:space="preserve">Bidding itself is free on Compras.gov.br. BLL charges 1,5% capped at R$600 — and only if we win.</w:t>
      </w:r>
    </w:p>
    <w:p>
      <w:pPr>
        <w:pStyle w:val="Heading2"/>
        <w:spacing w:after="110" w:before="260"/>
      </w:pPr>
      <w:r>
        <w:rPr>
          <w:rFonts w:ascii="Calibri" w:cs="Calibri" w:eastAsia="Calibri" w:hAnsi="Calibri"/>
          <w:b/>
          <w:bCs/>
          <w:color w:val="C96F4A"/>
          <w:sz w:val="24"/>
          <w:szCs w:val="24"/>
        </w:rPr>
        <w:t xml:space="preserve">STEP 3 — the supplier account  (free, and it is the real gate)</w:t>
      </w:r>
    </w:p>
    <w:p>
      <w:pPr>
        <w:spacing w:after="120" w:before="0" w:line="290"/>
      </w:pPr>
      <w:r>
        <w:rPr>
          <w:rFonts w:ascii="Calibri" w:cs="Calibri" w:eastAsia="Calibri" w:hAnsi="Calibri"/>
          <w:color w:val="2B2B2B"/>
          <w:sz w:val="21"/>
          <w:szCs w:val="21"/>
        </w:rPr>
        <w:t xml:space="preserve">Fifteen emails to São Paulo wholesalers. Ask for a faturado price on specific items, whether they do venda à ordem (shipping straight to our customer), and what their credit terms are for a new buyer.</w:t>
      </w:r>
    </w:p>
    <w:tbl>
      <w:tblPr>
        <w:tblW w:type="dxa" w:w="9506"/>
        <w:tblBorders>
          <w:top w:val="single" w:color="D8D2C6" w:sz="4"/>
          <w:left w:val="none"/>
          <w:bottom w:val="single" w:color="D8D2C6" w:sz="4"/>
          <w:right w:val="none"/>
          <w:insideH w:val="single" w:color="E6E1D8" w:sz="2"/>
          <w:insideV w:val="none"/>
        </w:tblBorders>
      </w:tblPr>
      <w:tblGrid>
        <w:gridCol w:w="4700"/>
        <w:gridCol w:w="4806"/>
      </w:tblGrid>
      <w:tr>
        <w:trPr>
          <w:tblHeader/>
        </w:trPr>
        <w:tc>
          <w:tcPr>
            <w:tcW w:type="dxa" w:w="47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Item</w:t>
            </w:r>
          </w:p>
        </w:tc>
        <w:tc>
          <w:tcPr>
            <w:tcW w:type="dxa" w:w="48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Price we need</w:t>
            </w:r>
          </w:p>
        </w:tc>
      </w:tr>
      <w:tr>
        <w:tc>
          <w:tcPr>
            <w:tcW w:type="dxa" w:w="4700"/>
            <w:tcMar>
              <w:top w:type="dxa" w:w="70"/>
              <w:left w:type="dxa" w:w="110"/>
              <w:bottom w:type="dxa" w:w="70"/>
              <w:right w:type="dxa" w:w="110"/>
            </w:tcMar>
          </w:tcPr>
          <w:p>
            <w:pPr>
              <w:spacing w:after="0"/>
            </w:pPr>
            <w:r>
              <w:rPr>
                <w:rFonts w:ascii="Calibri" w:cs="Calibri" w:eastAsia="Calibri" w:hAnsi="Calibri"/>
                <w:color w:val="2B2B2B"/>
                <w:sz w:val="19"/>
                <w:szCs w:val="19"/>
              </w:rPr>
              <w:t xml:space="preserve">Body</w:t>
            </w:r>
          </w:p>
        </w:tc>
        <w:tc>
          <w:tcPr>
            <w:tcW w:type="dxa" w:w="4806"/>
            <w:tcMar>
              <w:top w:type="dxa" w:w="70"/>
              <w:left w:type="dxa" w:w="110"/>
              <w:bottom w:type="dxa" w:w="70"/>
              <w:right w:type="dxa" w:w="110"/>
            </w:tcMar>
          </w:tcPr>
          <w:p>
            <w:pPr>
              <w:spacing w:after="0"/>
            </w:pPr>
            <w:r>
              <w:rPr>
                <w:rFonts w:ascii="Calibri" w:cs="Calibri" w:eastAsia="Calibri" w:hAnsi="Calibri"/>
                <w:color w:val="2B2B2B"/>
                <w:sz w:val="19"/>
                <w:szCs w:val="19"/>
              </w:rPr>
              <w:t xml:space="preserve">≤ R$8,40</w:t>
            </w:r>
          </w:p>
        </w:tc>
      </w:tr>
      <w:tr>
        <w:tc>
          <w:tcPr>
            <w:tcW w:type="dxa" w:w="47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Macacão / pagão</w:t>
            </w:r>
          </w:p>
        </w:tc>
        <w:tc>
          <w:tcPr>
            <w:tcW w:type="dxa" w:w="48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 R$13,70</w:t>
            </w:r>
          </w:p>
        </w:tc>
      </w:tr>
      <w:tr>
        <w:tc>
          <w:tcPr>
            <w:tcW w:type="dxa" w:w="4700"/>
            <w:tcMar>
              <w:top w:type="dxa" w:w="70"/>
              <w:left w:type="dxa" w:w="110"/>
              <w:bottom w:type="dxa" w:w="70"/>
              <w:right w:type="dxa" w:w="110"/>
            </w:tcMar>
          </w:tcPr>
          <w:p>
            <w:pPr>
              <w:spacing w:after="0"/>
            </w:pPr>
            <w:r>
              <w:rPr>
                <w:rFonts w:ascii="Calibri" w:cs="Calibri" w:eastAsia="Calibri" w:hAnsi="Calibri"/>
                <w:color w:val="2B2B2B"/>
                <w:sz w:val="19"/>
                <w:szCs w:val="19"/>
              </w:rPr>
              <w:t xml:space="preserve">Toalha com capuz</w:t>
            </w:r>
          </w:p>
        </w:tc>
        <w:tc>
          <w:tcPr>
            <w:tcW w:type="dxa" w:w="4806"/>
            <w:tcMar>
              <w:top w:type="dxa" w:w="70"/>
              <w:left w:type="dxa" w:w="110"/>
              <w:bottom w:type="dxa" w:w="70"/>
              <w:right w:type="dxa" w:w="110"/>
            </w:tcMar>
          </w:tcPr>
          <w:p>
            <w:pPr>
              <w:spacing w:after="0"/>
            </w:pPr>
            <w:r>
              <w:rPr>
                <w:rFonts w:ascii="Calibri" w:cs="Calibri" w:eastAsia="Calibri" w:hAnsi="Calibri"/>
                <w:color w:val="2B2B2B"/>
                <w:sz w:val="19"/>
                <w:szCs w:val="19"/>
              </w:rPr>
              <w:t xml:space="preserve">≤ R$10,50</w:t>
            </w:r>
          </w:p>
        </w:tc>
      </w:tr>
      <w:tr>
        <w:tc>
          <w:tcPr>
            <w:tcW w:type="dxa" w:w="47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Banheira 24 L</w:t>
            </w:r>
          </w:p>
        </w:tc>
        <w:tc>
          <w:tcPr>
            <w:tcW w:type="dxa" w:w="48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 R$14,85</w:t>
            </w:r>
          </w:p>
        </w:tc>
      </w:tr>
      <w:tr>
        <w:tc>
          <w:tcPr>
            <w:tcW w:type="dxa" w:w="4700"/>
            <w:tcMar>
              <w:top w:type="dxa" w:w="70"/>
              <w:left w:type="dxa" w:w="110"/>
              <w:bottom w:type="dxa" w:w="70"/>
              <w:right w:type="dxa" w:w="110"/>
            </w:tcMar>
          </w:tcPr>
          <w:p>
            <w:pPr>
              <w:spacing w:after="0"/>
            </w:pPr>
            <w:r>
              <w:rPr>
                <w:rFonts w:ascii="Calibri" w:cs="Calibri" w:eastAsia="Calibri" w:hAnsi="Calibri"/>
                <w:color w:val="2B2B2B"/>
                <w:sz w:val="19"/>
                <w:szCs w:val="19"/>
              </w:rPr>
              <w:t xml:space="preserve">Manta</w:t>
            </w:r>
          </w:p>
        </w:tc>
        <w:tc>
          <w:tcPr>
            <w:tcW w:type="dxa" w:w="4806"/>
            <w:tcMar>
              <w:top w:type="dxa" w:w="70"/>
              <w:left w:type="dxa" w:w="110"/>
              <w:bottom w:type="dxa" w:w="70"/>
              <w:right w:type="dxa" w:w="110"/>
            </w:tcMar>
          </w:tcPr>
          <w:p>
            <w:pPr>
              <w:spacing w:after="0"/>
            </w:pPr>
            <w:r>
              <w:rPr>
                <w:rFonts w:ascii="Calibri" w:cs="Calibri" w:eastAsia="Calibri" w:hAnsi="Calibri"/>
                <w:color w:val="2B2B2B"/>
                <w:sz w:val="19"/>
                <w:szCs w:val="19"/>
              </w:rPr>
              <w:t xml:space="preserve">≤ R$10,00</w:t>
            </w:r>
          </w:p>
        </w:tc>
      </w:tr>
      <w:tr>
        <w:tc>
          <w:tcPr>
            <w:tcW w:type="dxa" w:w="4700"/>
            <w:shd w:fill="F4F1EB" w:val="clear"/>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Mochila</w:t>
            </w:r>
          </w:p>
        </w:tc>
        <w:tc>
          <w:tcPr>
            <w:tcW w:type="dxa" w:w="4806"/>
            <w:shd w:fill="F4F1EB" w:val="clear"/>
            <w:tcMar>
              <w:top w:type="dxa" w:w="70"/>
              <w:left w:type="dxa" w:w="110"/>
              <w:bottom w:type="dxa" w:w="70"/>
              <w:right w:type="dxa" w:w="110"/>
            </w:tcMar>
          </w:tcPr>
          <w:p>
            <w:pPr>
              <w:spacing w:after="0"/>
            </w:pPr>
            <w:r>
              <w:rPr>
                <w:rFonts w:ascii="Calibri" w:cs="Calibri" w:eastAsia="Calibri" w:hAnsi="Calibri"/>
                <w:b/>
                <w:bCs/>
                <w:color w:val="C96F4A"/>
                <w:sz w:val="19"/>
                <w:szCs w:val="19"/>
              </w:rPr>
              <w:t xml:space="preserve">≤ R$25,00  — no price found anywhere yet</w:t>
            </w:r>
          </w:p>
        </w:tc>
      </w:tr>
    </w:tbl>
    <w:p>
      <w:pPr>
        <w:spacing w:after="120" w:before="100" w:line="290"/>
      </w:pPr>
      <w:r>
        <w:rPr>
          <w:rFonts w:ascii="Calibri" w:cs="Calibri" w:eastAsia="Calibri" w:hAnsi="Calibri"/>
          <w:b/>
          <w:bCs/>
          <w:color w:val="2B2B2B"/>
          <w:sz w:val="21"/>
          <w:szCs w:val="21"/>
        </w:rPr>
        <w:t xml:space="preserve">Bar: three of fifteen answering with a number that clears. Below that, we are a smaller business than this document describes and we should say so out loud.</w:t>
      </w:r>
    </w:p>
    <w:p>
      <w:pPr>
        <w:pStyle w:val="Heading2"/>
        <w:spacing w:after="110" w:before="260"/>
      </w:pPr>
      <w:r>
        <w:rPr>
          <w:rFonts w:ascii="Calibri" w:cs="Calibri" w:eastAsia="Calibri" w:hAnsi="Calibri"/>
          <w:b/>
          <w:bCs/>
          <w:color w:val="C96F4A"/>
          <w:sz w:val="24"/>
          <w:szCs w:val="24"/>
        </w:rPr>
        <w:t xml:space="preserve">STEP 4 — the machine  (~R$2.000–4.000, or your own time)</w:t>
      </w:r>
    </w:p>
    <w:p>
      <w:pPr>
        <w:pStyle w:val="ListParagraph"/>
        <w:numPr>
          <w:ilvl w:val="0"/>
          <w:numId w:val="2"/>
        </w:numPr>
        <w:spacing w:after="70" w:line="280"/>
      </w:pPr>
      <w:r>
        <w:rPr>
          <w:rFonts w:ascii="Calibri" w:cs="Calibri" w:eastAsia="Calibri" w:hAnsi="Calibri"/>
          <w:color w:val="2B2B2B"/>
          <w:sz w:val="21"/>
          <w:szCs w:val="21"/>
        </w:rPr>
        <w:t xml:space="preserve">A script that reads the national tender site every morning, pulls the item lists, applies the nine rules, prices each line against our cost table, and produces a short list of tenders worth bidding on.</w:t>
      </w:r>
    </w:p>
    <w:p>
      <w:pPr>
        <w:pStyle w:val="ListParagraph"/>
        <w:numPr>
          <w:ilvl w:val="0"/>
          <w:numId w:val="2"/>
        </w:numPr>
        <w:spacing w:after="70" w:line="280"/>
      </w:pPr>
      <w:r>
        <w:rPr>
          <w:rFonts w:ascii="Calibri" w:cs="Calibri" w:eastAsia="Calibri" w:hAnsi="Calibri"/>
          <w:color w:val="2B2B2B"/>
          <w:sz w:val="21"/>
          <w:szCs w:val="21"/>
        </w:rPr>
        <w:t xml:space="preserve">Runs on a R$30/month server. No subscriptions — a per-seat software subscription would cost more per year than our entire startup budget.</w:t>
      </w:r>
    </w:p>
    <w:p>
      <w:pPr>
        <w:pStyle w:val="ListParagraph"/>
        <w:numPr>
          <w:ilvl w:val="0"/>
          <w:numId w:val="2"/>
        </w:numPr>
        <w:spacing w:after="70" w:line="280"/>
      </w:pPr>
      <w:r>
        <w:rPr>
          <w:rFonts w:ascii="Calibri" w:cs="Calibri" w:eastAsia="Calibri" w:hAnsi="Calibri"/>
          <w:color w:val="2B2B2B"/>
          <w:sz w:val="21"/>
          <w:szCs w:val="21"/>
        </w:rPr>
        <w:t xml:space="preserve">Builds the bid log from the first day.</w:t>
      </w:r>
    </w:p>
    <w:p>
      <w:pPr>
        <w:pStyle w:val="Heading2"/>
        <w:spacing w:after="110" w:before="260"/>
      </w:pPr>
      <w:r>
        <w:rPr>
          <w:rFonts w:ascii="Calibri" w:cs="Calibri" w:eastAsia="Calibri" w:hAnsi="Calibri"/>
          <w:b/>
          <w:bCs/>
          <w:color w:val="C96F4A"/>
          <w:sz w:val="24"/>
          <w:szCs w:val="24"/>
        </w:rPr>
        <w:t xml:space="preserve">STEP 5 — the website  (~R$300 first year)</w:t>
      </w:r>
    </w:p>
    <w:p>
      <w:pPr>
        <w:spacing w:after="120" w:before="0" w:line="290"/>
      </w:pPr>
      <w:r>
        <w:rPr>
          <w:rFonts w:ascii="Calibri" w:cs="Calibri" w:eastAsia="Calibri" w:hAnsi="Calibri"/>
          <w:color w:val="2B2B2B"/>
          <w:sz w:val="21"/>
          <w:szCs w:val="21"/>
        </w:rPr>
        <w:t xml:space="preserve">We need one, but not for the reason websites usually exist. Nobody will find us through it. It exists so that a procurement officer, a wholesaler's credit department and a bank can check in ten seconds that we are real.</w:t>
      </w:r>
    </w:p>
    <w:tbl>
      <w:tblPr>
        <w:tblW w:type="dxa" w:w="9506"/>
        <w:tblBorders>
          <w:top w:val="single" w:color="D8D2C6" w:sz="4"/>
          <w:left w:val="none"/>
          <w:bottom w:val="single" w:color="D8D2C6" w:sz="4"/>
          <w:right w:val="none"/>
          <w:insideH w:val="single" w:color="E6E1D8" w:sz="2"/>
          <w:insideV w:val="none"/>
        </w:tblBorders>
      </w:tblPr>
      <w:tblGrid>
        <w:gridCol w:w="4700"/>
        <w:gridCol w:w="4806"/>
      </w:tblGrid>
      <w:tr>
        <w:trPr>
          <w:tblHeader/>
        </w:trPr>
        <w:tc>
          <w:tcPr>
            <w:tcW w:type="dxa" w:w="47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Must have</w:t>
            </w:r>
          </w:p>
        </w:tc>
        <w:tc>
          <w:tcPr>
            <w:tcW w:type="dxa" w:w="48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Must NOT have</w:t>
            </w:r>
          </w:p>
        </w:tc>
      </w:tr>
      <w:tr>
        <w:tc>
          <w:tcPr>
            <w:tcW w:type="dxa" w:w="4700"/>
            <w:tcMar>
              <w:top w:type="dxa" w:w="70"/>
              <w:left w:type="dxa" w:w="110"/>
              <w:bottom w:type="dxa" w:w="70"/>
              <w:right w:type="dxa" w:w="110"/>
            </w:tcMar>
          </w:tcPr>
          <w:p>
            <w:pPr>
              <w:spacing w:after="0"/>
            </w:pPr>
            <w:r>
              <w:rPr>
                <w:rFonts w:ascii="Calibri" w:cs="Calibri" w:eastAsia="Calibri" w:hAnsi="Calibri"/>
                <w:color w:val="2B2B2B"/>
                <w:sz w:val="19"/>
                <w:szCs w:val="19"/>
              </w:rPr>
              <w:t xml:space="preserve">Company name, CNPJ, full address</w:t>
            </w:r>
          </w:p>
        </w:tc>
        <w:tc>
          <w:tcPr>
            <w:tcW w:type="dxa" w:w="4806"/>
            <w:tcMar>
              <w:top w:type="dxa" w:w="70"/>
              <w:left w:type="dxa" w:w="110"/>
              <w:bottom w:type="dxa" w:w="70"/>
              <w:right w:type="dxa" w:w="110"/>
            </w:tcMar>
          </w:tcPr>
          <w:p>
            <w:pPr>
              <w:spacing w:after="0"/>
            </w:pPr>
            <w:r>
              <w:rPr>
                <w:rFonts w:ascii="Calibri" w:cs="Calibri" w:eastAsia="Calibri" w:hAnsi="Calibri"/>
                <w:color w:val="2B2B2B"/>
                <w:sz w:val="19"/>
                <w:szCs w:val="19"/>
              </w:rPr>
              <w:t xml:space="preserve">A shop or any prices</w:t>
            </w:r>
          </w:p>
        </w:tc>
      </w:tr>
      <w:tr>
        <w:tc>
          <w:tcPr>
            <w:tcW w:type="dxa" w:w="47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What we supply, in one paragraph</w:t>
            </w:r>
          </w:p>
        </w:tc>
        <w:tc>
          <w:tcPr>
            <w:tcW w:type="dxa" w:w="48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Any founder photo, name or bio</w:t>
            </w:r>
          </w:p>
        </w:tc>
      </w:tr>
      <w:tr>
        <w:tc>
          <w:tcPr>
            <w:tcW w:type="dxa" w:w="4700"/>
            <w:tcMar>
              <w:top w:type="dxa" w:w="70"/>
              <w:left w:type="dxa" w:w="110"/>
              <w:bottom w:type="dxa" w:w="70"/>
              <w:right w:type="dxa" w:w="110"/>
            </w:tcMar>
          </w:tcPr>
          <w:p>
            <w:pPr>
              <w:spacing w:after="0"/>
            </w:pPr>
            <w:r>
              <w:rPr>
                <w:rFonts w:ascii="Calibri" w:cs="Calibri" w:eastAsia="Calibri" w:hAnsi="Calibri"/>
                <w:color w:val="2B2B2B"/>
                <w:sz w:val="19"/>
                <w:szCs w:val="19"/>
              </w:rPr>
              <w:t xml:space="preserve">A products page — the kit and its components</w:t>
            </w:r>
          </w:p>
        </w:tc>
        <w:tc>
          <w:tcPr>
            <w:tcW w:type="dxa" w:w="4806"/>
            <w:tcMar>
              <w:top w:type="dxa" w:w="70"/>
              <w:left w:type="dxa" w:w="110"/>
              <w:bottom w:type="dxa" w:w="70"/>
              <w:right w:type="dxa" w:w="110"/>
            </w:tcMar>
          </w:tcPr>
          <w:p>
            <w:pPr>
              <w:spacing w:after="0"/>
            </w:pPr>
            <w:r>
              <w:rPr>
                <w:rFonts w:ascii="Calibri" w:cs="Calibri" w:eastAsia="Calibri" w:hAnsi="Calibri"/>
                <w:color w:val="2B2B2B"/>
                <w:sz w:val="19"/>
                <w:szCs w:val="19"/>
              </w:rPr>
              <w:t xml:space="preserve">Any social media links</w:t>
            </w:r>
          </w:p>
        </w:tc>
      </w:tr>
      <w:tr>
        <w:tc>
          <w:tcPr>
            <w:tcW w:type="dxa" w:w="47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A licitações page: “we supply the public sector”</w:t>
            </w:r>
          </w:p>
        </w:tc>
        <w:tc>
          <w:tcPr>
            <w:tcW w:type="dxa" w:w="48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A blog, a newsletter, a chatbot</w:t>
            </w:r>
          </w:p>
        </w:tc>
      </w:tr>
      <w:tr>
        <w:tc>
          <w:tcPr>
            <w:tcW w:type="dxa" w:w="4700"/>
            <w:tcMar>
              <w:top w:type="dxa" w:w="70"/>
              <w:left w:type="dxa" w:w="110"/>
              <w:bottom w:type="dxa" w:w="70"/>
              <w:right w:type="dxa" w:w="110"/>
            </w:tcMar>
          </w:tcPr>
          <w:p>
            <w:pPr>
              <w:spacing w:after="0"/>
            </w:pPr>
            <w:r>
              <w:rPr>
                <w:rFonts w:ascii="Calibri" w:cs="Calibri" w:eastAsia="Calibri" w:hAnsi="Calibri"/>
                <w:color w:val="2B2B2B"/>
                <w:sz w:val="19"/>
                <w:szCs w:val="19"/>
              </w:rPr>
              <w:t xml:space="preserve">One email address and one phone number</w:t>
            </w:r>
          </w:p>
        </w:tc>
        <w:tc>
          <w:tcPr>
            <w:tcW w:type="dxa" w:w="4806"/>
            <w:tcMar>
              <w:top w:type="dxa" w:w="70"/>
              <w:left w:type="dxa" w:w="110"/>
              <w:bottom w:type="dxa" w:w="70"/>
              <w:right w:type="dxa" w:w="110"/>
            </w:tcMar>
          </w:tcPr>
          <w:p>
            <w:pPr>
              <w:spacing w:after="0"/>
            </w:pPr>
            <w:r>
              <w:rPr>
                <w:rFonts w:ascii="Calibri" w:cs="Calibri" w:eastAsia="Calibri" w:hAnsi="Calibri"/>
                <w:color w:val="2B2B2B"/>
                <w:sz w:val="19"/>
                <w:szCs w:val="19"/>
              </w:rPr>
              <w:t xml:space="preserve">Anything aimed at mothers</w:t>
            </w:r>
          </w:p>
        </w:tc>
      </w:tr>
    </w:tbl>
    <w:p>
      <w:pPr>
        <w:spacing w:after="120" w:before="100" w:line="290"/>
      </w:pPr>
      <w:r>
        <w:rPr>
          <w:rFonts w:ascii="Calibri" w:cs="Calibri" w:eastAsia="Calibri" w:hAnsi="Calibri"/>
          <w:color w:val="6B6B6B"/>
          <w:sz w:val="19"/>
          <w:szCs w:val="19"/>
        </w:rPr>
        <w:t xml:space="preserve">One page, calm, in the brand colours. A domain is about R$40/year and a one-page site can be built free. Budget R$300 and half a day.</w:t>
      </w:r>
    </w:p>
    <w:p>
      <w:pPr>
        <w:pStyle w:val="Heading2"/>
        <w:spacing w:after="110" w:before="260"/>
      </w:pPr>
      <w:r>
        <w:rPr>
          <w:rFonts w:ascii="Calibri" w:cs="Calibri" w:eastAsia="Calibri" w:hAnsi="Calibri"/>
          <w:b/>
          <w:bCs/>
          <w:color w:val="C96F4A"/>
          <w:sz w:val="24"/>
          <w:szCs w:val="24"/>
        </w:rPr>
        <w:t xml:space="preserve">STEP 6 — first bids</w:t>
      </w:r>
    </w:p>
    <w:p>
      <w:pPr>
        <w:pStyle w:val="ListParagraph"/>
        <w:numPr>
          <w:ilvl w:val="0"/>
          <w:numId w:val="2"/>
        </w:numPr>
        <w:spacing w:after="70" w:line="280"/>
      </w:pPr>
      <w:r>
        <w:rPr>
          <w:rFonts w:ascii="Calibri" w:cs="Calibri" w:eastAsia="Calibri" w:hAnsi="Calibri"/>
          <w:color w:val="2B2B2B"/>
          <w:sz w:val="21"/>
          <w:szCs w:val="21"/>
        </w:rPr>
        <w:t xml:space="preserve">Start with </w:t>
      </w:r>
      <w:r>
        <w:rPr>
          <w:rFonts w:ascii="Calibri" w:cs="Calibri" w:eastAsia="Calibri" w:hAnsi="Calibri"/>
          <w:b/>
          <w:bCs/>
          <w:i/>
          <w:iCs/>
          <w:color w:val="2B2B2B"/>
          <w:sz w:val="21"/>
          <w:szCs w:val="21"/>
        </w:rPr>
        <w:t xml:space="preserve">dispensa</w:t>
      </w:r>
      <w:r>
        <w:rPr>
          <w:rFonts w:ascii="Calibri" w:cs="Calibri" w:eastAsia="Calibri" w:hAnsi="Calibri"/>
          <w:color w:val="2B2B2B"/>
          <w:sz w:val="21"/>
          <w:szCs w:val="21"/>
        </w:rPr>
        <w:t xml:space="preserve"> — the small fast purchases. Median R$281, decided in days, lowest capital at risk.</w:t>
      </w:r>
    </w:p>
    <w:p>
      <w:pPr>
        <w:pStyle w:val="ListParagraph"/>
        <w:numPr>
          <w:ilvl w:val="0"/>
          <w:numId w:val="2"/>
        </w:numPr>
        <w:spacing w:after="70" w:line="280"/>
      </w:pPr>
      <w:r>
        <w:rPr>
          <w:rFonts w:ascii="Calibri" w:cs="Calibri" w:eastAsia="Calibri" w:hAnsi="Calibri"/>
          <w:color w:val="2B2B2B"/>
          <w:sz w:val="21"/>
          <w:szCs w:val="21"/>
        </w:rPr>
        <w:t xml:space="preserve">The goal of the first few is not profit. It is the </w:t>
      </w:r>
      <w:r>
        <w:rPr>
          <w:rFonts w:ascii="Calibri" w:cs="Calibri" w:eastAsia="Calibri" w:hAnsi="Calibri"/>
          <w:b/>
          <w:bCs/>
          <w:color w:val="2B2B2B"/>
          <w:sz w:val="21"/>
          <w:szCs w:val="21"/>
        </w:rPr>
        <w:t xml:space="preserve">atestado de capacidade técnica</w:t>
      </w:r>
      <w:r>
        <w:rPr>
          <w:rFonts w:ascii="Calibri" w:cs="Calibri" w:eastAsia="Calibri" w:hAnsi="Calibri"/>
          <w:color w:val="2B2B2B"/>
          <w:sz w:val="21"/>
          <w:szCs w:val="21"/>
        </w:rPr>
        <w:t xml:space="preserve"> — a reference letter from a completed delivery, which unlocks the half of the market that asks for one. One sale of any size does it, and a private customer can issue it too.</w:t>
      </w:r>
    </w:p>
    <w:p>
      <w:pPr>
        <w:pStyle w:val="ListParagraph"/>
        <w:numPr>
          <w:ilvl w:val="0"/>
          <w:numId w:val="2"/>
        </w:numPr>
        <w:spacing w:after="70" w:line="280"/>
      </w:pPr>
      <w:r>
        <w:rPr>
          <w:rFonts w:ascii="Calibri" w:cs="Calibri" w:eastAsia="Calibri" w:hAnsi="Calibri"/>
          <w:color w:val="2B2B2B"/>
          <w:sz w:val="21"/>
          <w:szCs w:val="21"/>
        </w:rPr>
        <w:t xml:space="preserve">Then move up to assembled kits.</w:t>
      </w:r>
    </w:p>
    <w:p>
      <w:pPr>
        <w:pStyle w:val="Heading2"/>
        <w:spacing w:after="110" w:before="260"/>
      </w:pPr>
      <w:r>
        <w:rPr>
          <w:rFonts w:ascii="Calibri" w:cs="Calibri" w:eastAsia="Calibri" w:hAnsi="Calibri"/>
          <w:b/>
          <w:bCs/>
          <w:color w:val="C96F4A"/>
          <w:sz w:val="24"/>
          <w:szCs w:val="24"/>
        </w:rPr>
        <w:t xml:space="preserve">STEP 7 — financing, only if step 3 fails</w:t>
      </w:r>
    </w:p>
    <w:p>
      <w:pPr>
        <w:pStyle w:val="ListParagraph"/>
        <w:numPr>
          <w:ilvl w:val="0"/>
          <w:numId w:val="2"/>
        </w:numPr>
        <w:spacing w:after="70" w:line="280"/>
      </w:pPr>
      <w:r>
        <w:rPr>
          <w:rFonts w:ascii="Calibri" w:cs="Calibri" w:eastAsia="Calibri" w:hAnsi="Calibri"/>
          <w:color w:val="2B2B2B"/>
          <w:sz w:val="21"/>
          <w:szCs w:val="21"/>
        </w:rPr>
        <w:t xml:space="preserve">Apply for FGI PEAC, R$15–20.000, through Stone / Nubank / Sicoob / Sicredi.</w:t>
      </w:r>
    </w:p>
    <w:p>
      <w:pPr>
        <w:pStyle w:val="ListParagraph"/>
        <w:numPr>
          <w:ilvl w:val="0"/>
          <w:numId w:val="2"/>
        </w:numPr>
        <w:spacing w:after="70" w:line="280"/>
      </w:pPr>
      <w:r>
        <w:rPr>
          <w:rFonts w:ascii="Calibri" w:cs="Calibri" w:eastAsia="Calibri" w:hAnsi="Calibri"/>
          <w:color w:val="2B2B2B"/>
          <w:sz w:val="21"/>
          <w:szCs w:val="21"/>
        </w:rPr>
        <w:t xml:space="preserve">Do this only after supplier terms have been asked for and refused. Terms are worth more and cost nothing.</w:t>
      </w:r>
    </w:p>
    <w:p>
      <w:r>
        <w:br w:type="page"/>
      </w:r>
    </w:p>
    <w:p>
      <w:pPr>
        <w:pStyle w:val="Heading1"/>
        <w:spacing w:after="160" w:before="360"/>
      </w:pPr>
      <w:r>
        <w:rPr>
          <w:rFonts w:ascii="Calibri" w:cs="Calibri" w:eastAsia="Calibri" w:hAnsi="Calibri"/>
          <w:b/>
          <w:bCs/>
          <w:color w:val="1F4E4A"/>
          <w:sz w:val="30"/>
          <w:szCs w:val="30"/>
        </w:rPr>
        <w:t xml:space="preserve">11.  What we still do not know</w:t>
      </w:r>
    </w:p>
    <w:p>
      <w:pPr>
        <w:spacing w:after="120" w:before="0" w:line="290"/>
      </w:pPr>
      <w:r>
        <w:rPr>
          <w:rFonts w:ascii="Calibri" w:cs="Calibri" w:eastAsia="Calibri" w:hAnsi="Calibri"/>
          <w:color w:val="2B2B2B"/>
          <w:sz w:val="21"/>
          <w:szCs w:val="21"/>
        </w:rPr>
        <w:t xml:space="preserve">None of these is a reason not to start. All four are answerable inside about two months for under R$5.000, and we should be honest that they are open.</w:t>
      </w:r>
    </w:p>
    <w:tbl>
      <w:tblPr>
        <w:tblW w:type="dxa" w:w="9506"/>
        <w:tblBorders>
          <w:top w:val="single" w:color="D8D2C6" w:sz="4"/>
          <w:left w:val="none"/>
          <w:bottom w:val="single" w:color="D8D2C6" w:sz="4"/>
          <w:right w:val="none"/>
          <w:insideH w:val="single" w:color="E6E1D8" w:sz="2"/>
          <w:insideV w:val="none"/>
        </w:tblBorders>
      </w:tblPr>
      <w:tblGrid>
        <w:gridCol w:w="2900"/>
        <w:gridCol w:w="3700"/>
        <w:gridCol w:w="2906"/>
      </w:tblGrid>
      <w:tr>
        <w:trPr>
          <w:tblHeader/>
        </w:trPr>
        <w:tc>
          <w:tcPr>
            <w:tcW w:type="dxa" w:w="29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Open question</w:t>
            </w:r>
          </w:p>
        </w:tc>
        <w:tc>
          <w:tcPr>
            <w:tcW w:type="dxa" w:w="37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Why it matters</w:t>
            </w:r>
          </w:p>
        </w:tc>
        <w:tc>
          <w:tcPr>
            <w:tcW w:type="dxa" w:w="29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How we close it</w:t>
            </w:r>
          </w:p>
        </w:tc>
      </w:tr>
      <w:tr>
        <w:tc>
          <w:tcPr>
            <w:tcW w:type="dxa" w:w="2900"/>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11 of the 17 kit items have no verified price</w:t>
            </w:r>
          </w:p>
        </w:tc>
        <w:tc>
          <w:tcPr>
            <w:tcW w:type="dxa" w:w="3700"/>
            <w:tcMar>
              <w:top w:type="dxa" w:w="70"/>
              <w:left w:type="dxa" w:w="110"/>
              <w:bottom w:type="dxa" w:w="70"/>
              <w:right w:type="dxa" w:w="110"/>
            </w:tcMar>
          </w:tcPr>
          <w:p>
            <w:pPr>
              <w:spacing w:after="0"/>
            </w:pPr>
            <w:r>
              <w:rPr>
                <w:rFonts w:ascii="Calibri" w:cs="Calibri" w:eastAsia="Calibri" w:hAnsi="Calibri"/>
                <w:color w:val="2B2B2B"/>
                <w:sz w:val="19"/>
                <w:szCs w:val="19"/>
              </w:rPr>
              <w:t xml:space="preserve">45% of our cost estimate is a guess, and the worst gap is the backpack — the most expensive item</w:t>
            </w:r>
          </w:p>
        </w:tc>
        <w:tc>
          <w:tcPr>
            <w:tcW w:type="dxa" w:w="2906"/>
            <w:tcMar>
              <w:top w:type="dxa" w:w="70"/>
              <w:left w:type="dxa" w:w="110"/>
              <w:bottom w:type="dxa" w:w="70"/>
              <w:right w:type="dxa" w:w="110"/>
            </w:tcMar>
          </w:tcPr>
          <w:p>
            <w:pPr>
              <w:spacing w:after="0"/>
            </w:pPr>
            <w:r>
              <w:rPr>
                <w:rFonts w:ascii="Calibri" w:cs="Calibri" w:eastAsia="Calibri" w:hAnsi="Calibri"/>
                <w:color w:val="2B2B2B"/>
                <w:sz w:val="19"/>
                <w:szCs w:val="19"/>
              </w:rPr>
              <w:t xml:space="preserve">One afternoon on wholesaler websites. This is STEP 0</w:t>
            </w:r>
          </w:p>
        </w:tc>
      </w:tr>
      <w:tr>
        <w:tc>
          <w:tcPr>
            <w:tcW w:type="dxa" w:w="2900"/>
            <w:shd w:fill="F4F1EB" w:val="clear"/>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One town is a third of the good business</w:t>
            </w:r>
          </w:p>
        </w:tc>
        <w:tc>
          <w:tcPr>
            <w:tcW w:type="dxa" w:w="37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Coari, in the Amazon, is 34,8% of everything we could win at a real margin. If they do not buy again, the market shrinks</w:t>
            </w:r>
          </w:p>
        </w:tc>
        <w:tc>
          <w:tcPr>
            <w:tcW w:type="dxa" w:w="29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Plan on the number excluding them and treat a repeat as a bonus</w:t>
            </w:r>
          </w:p>
        </w:tc>
      </w:tr>
      <w:tr>
        <w:tc>
          <w:tcPr>
            <w:tcW w:type="dxa" w:w="2900"/>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Freight is not quoted</w:t>
            </w:r>
          </w:p>
        </w:tc>
        <w:tc>
          <w:tcPr>
            <w:tcW w:type="dxa" w:w="3700"/>
            <w:tcMar>
              <w:top w:type="dxa" w:w="70"/>
              <w:left w:type="dxa" w:w="110"/>
              <w:bottom w:type="dxa" w:w="70"/>
              <w:right w:type="dxa" w:w="110"/>
            </w:tcMar>
          </w:tcPr>
          <w:p>
            <w:pPr>
              <w:spacing w:after="0"/>
            </w:pPr>
            <w:r>
              <w:rPr>
                <w:rFonts w:ascii="Calibri" w:cs="Calibri" w:eastAsia="Calibri" w:hAnsi="Calibri"/>
                <w:color w:val="2B2B2B"/>
                <w:sz w:val="19"/>
                <w:szCs w:val="19"/>
              </w:rPr>
              <w:t xml:space="preserve">A baby bath is big and light — it ships on volume, not weight. Every freight company refuses to quote without a contract</w:t>
            </w:r>
          </w:p>
        </w:tc>
        <w:tc>
          <w:tcPr>
            <w:tcW w:type="dxa" w:w="2906"/>
            <w:tcMar>
              <w:top w:type="dxa" w:w="70"/>
              <w:left w:type="dxa" w:w="110"/>
              <w:bottom w:type="dxa" w:w="70"/>
              <w:right w:type="dxa" w:w="110"/>
            </w:tcMar>
          </w:tcPr>
          <w:p>
            <w:pPr>
              <w:spacing w:after="0"/>
            </w:pPr>
            <w:r>
              <w:rPr>
                <w:rFonts w:ascii="Calibri" w:cs="Calibri" w:eastAsia="Calibri" w:hAnsi="Calibri"/>
                <w:color w:val="2B2B2B"/>
                <w:sz w:val="19"/>
                <w:szCs w:val="19"/>
              </w:rPr>
              <w:t xml:space="preserve">Get one real quote before bidding anything heading north</w:t>
            </w:r>
          </w:p>
        </w:tc>
      </w:tr>
      <w:tr>
        <w:tc>
          <w:tcPr>
            <w:tcW w:type="dxa" w:w="2900"/>
            <w:shd w:fill="F4F1EB" w:val="clear"/>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Nobody can know the win rate</w:t>
            </w:r>
          </w:p>
        </w:tc>
        <w:tc>
          <w:tcPr>
            <w:tcW w:type="dxa" w:w="3700"/>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Brazil publishes winners, never losers. We cannot know how many bids make one win until we bid</w:t>
            </w:r>
          </w:p>
        </w:tc>
        <w:tc>
          <w:tcPr>
            <w:tcW w:type="dxa" w:w="29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Bid small first, log everything, and know the answer in 90 days</w:t>
            </w:r>
          </w:p>
        </w:tc>
      </w:tr>
    </w:tbl>
    <w:p>
      <w:pPr>
        <w:spacing w:after="120"/>
      </w:pPr>
    </w:p>
    <w:tbl>
      <w:tblPr>
        <w:tblW w:type="dxa" w:w="9506"/>
        <w:tblBorders>
          <w:top w:val="single" w:color="8FA89B" w:sz="12"/>
          <w:left w:val="single" w:color="8FA89B" w:sz="12"/>
          <w:bottom w:val="single" w:color="8FA89B" w:sz="12"/>
          <w:right w:val="single" w:color="8FA89B" w:sz="12"/>
          <w:insideH w:val="none"/>
          <w:insideV w:val="none"/>
        </w:tblBorders>
      </w:tblPr>
      <w:tblGrid>
        <w:gridCol w:w="9506"/>
      </w:tblGrid>
      <w:tr>
        <w:tc>
          <w:tcPr>
            <w:tcW w:type="dxa" w:w="9506"/>
            <w:shd w:fill="F7F3EC" w:val="clear"/>
            <w:tcMar>
              <w:top w:type="dxa" w:w="160"/>
              <w:left w:type="dxa" w:w="200"/>
              <w:bottom w:type="dxa" w:w="160"/>
              <w:right w:type="dxa" w:w="200"/>
            </w:tcMar>
          </w:tcPr>
          <w:p>
            <w:pPr>
              <w:spacing w:after="130" w:before="0" w:line="290"/>
            </w:pPr>
            <w:r>
              <w:rPr>
                <w:rFonts w:ascii="Calibri" w:cs="Calibri" w:eastAsia="Calibri" w:hAnsi="Calibri"/>
                <w:b/>
                <w:bCs/>
                <w:color w:val="1F4E4A"/>
                <w:sz w:val="22"/>
                <w:szCs w:val="22"/>
              </w:rPr>
              <w:t xml:space="preserve">And one piece of good news hiding in that last risk</w:t>
            </w:r>
          </w:p>
          <w:p>
            <w:pPr>
              <w:spacing w:after="120" w:before="0" w:line="290"/>
            </w:pPr>
            <w:r>
              <w:rPr>
                <w:rFonts w:ascii="Calibri" w:cs="Calibri" w:eastAsia="Calibri" w:hAnsi="Calibri"/>
                <w:color w:val="2B2B2B"/>
                <w:sz w:val="21"/>
                <w:szCs w:val="21"/>
              </w:rPr>
              <w:t xml:space="preserve">Because we bid on whole tenders worth around R$31.000 rather than tiny R$6.000 lines, the win rate almost stops mattering. Even if only one bid in twenty wins, that is 36 hours of work a month — comfortably inside what you want to work. On small lines the same win rate would need 138 hours a month and the business would be impossible.</w:t>
            </w:r>
          </w:p>
          <w:p>
            <w:pPr>
              <w:spacing w:after="0" w:before="0" w:line="290"/>
            </w:pPr>
            <w:r>
              <w:rPr>
                <w:rFonts w:ascii="Calibri" w:cs="Calibri" w:eastAsia="Calibri" w:hAnsi="Calibri"/>
                <w:b/>
                <w:bCs/>
                <w:color w:val="C96F4A"/>
                <w:sz w:val="21"/>
                <w:szCs w:val="21"/>
              </w:rPr>
              <w:t xml:space="preserve">Bidding bigger tenders does not raise the return. It removes our dependence on the one number nobody can measure.</w:t>
            </w:r>
          </w:p>
        </w:tc>
      </w:tr>
    </w:tbl>
    <w:p>
      <w:pPr>
        <w:pStyle w:val="Heading1"/>
        <w:spacing w:after="160" w:before="360"/>
      </w:pPr>
      <w:r>
        <w:rPr>
          <w:rFonts w:ascii="Calibri" w:cs="Calibri" w:eastAsia="Calibri" w:hAnsi="Calibri"/>
          <w:b/>
          <w:bCs/>
          <w:color w:val="1F4E4A"/>
          <w:sz w:val="30"/>
          <w:szCs w:val="30"/>
        </w:rPr>
        <w:t xml:space="preserve">12.  The decision this week</w:t>
      </w:r>
    </w:p>
    <w:p>
      <w:pPr>
        <w:spacing w:after="120" w:before="0" w:line="290"/>
      </w:pPr>
      <w:r>
        <w:rPr>
          <w:rFonts w:ascii="Calibri" w:cs="Calibri" w:eastAsia="Calibri" w:hAnsi="Calibri"/>
          <w:color w:val="2B2B2B"/>
          <w:sz w:val="21"/>
          <w:szCs w:val="21"/>
        </w:rPr>
        <w:t xml:space="preserve">Nothing above requires a commitment yet. </w:t>
      </w:r>
      <w:r>
        <w:rPr>
          <w:rFonts w:ascii="Calibri" w:cs="Calibri" w:eastAsia="Calibri" w:hAnsi="Calibri"/>
          <w:b/>
          <w:bCs/>
          <w:color w:val="1F4E4A"/>
          <w:sz w:val="23"/>
          <w:szCs w:val="23"/>
        </w:rPr>
        <w:t xml:space="preserve">One afternoon pricing eleven items decides whether this is a business or not.</w:t>
      </w:r>
    </w:p>
    <w:p>
      <w:pPr>
        <w:spacing w:after="60"/>
      </w:pPr>
    </w:p>
    <w:tbl>
      <w:tblPr>
        <w:tblW w:type="dxa" w:w="9506"/>
        <w:tblBorders>
          <w:top w:val="single" w:color="D8D2C6" w:sz="4"/>
          <w:left w:val="none"/>
          <w:bottom w:val="single" w:color="D8D2C6" w:sz="4"/>
          <w:right w:val="none"/>
          <w:insideH w:val="single" w:color="E6E1D8" w:sz="2"/>
          <w:insideV w:val="none"/>
        </w:tblBorders>
      </w:tblPr>
      <w:tblGrid>
        <w:gridCol w:w="2600"/>
        <w:gridCol w:w="6906"/>
      </w:tblGrid>
      <w:tr>
        <w:trPr>
          <w:tblHeader/>
        </w:trPr>
        <w:tc>
          <w:tcPr>
            <w:tcW w:type="dxa" w:w="2600"/>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If the kit costs…</w:t>
            </w:r>
          </w:p>
        </w:tc>
        <w:tc>
          <w:tcPr>
            <w:tcW w:type="dxa" w:w="6906"/>
            <w:shd w:fill="1F4E4A"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Then…</w:t>
            </w:r>
          </w:p>
        </w:tc>
      </w:tr>
      <w:tr>
        <w:tc>
          <w:tcPr>
            <w:tcW w:type="dxa" w:w="2600"/>
            <w:tcMar>
              <w:top w:type="dxa" w:w="70"/>
              <w:left w:type="dxa" w:w="110"/>
              <w:bottom w:type="dxa" w:w="70"/>
              <w:right w:type="dxa" w:w="110"/>
            </w:tcMar>
          </w:tcPr>
          <w:p>
            <w:pPr>
              <w:spacing w:after="0"/>
            </w:pPr>
            <w:r>
              <w:rPr>
                <w:rFonts w:ascii="Calibri" w:cs="Calibri" w:eastAsia="Calibri" w:hAnsi="Calibri"/>
                <w:b/>
                <w:bCs/>
                <w:color w:val="1F4E4A"/>
                <w:sz w:val="19"/>
                <w:szCs w:val="19"/>
              </w:rPr>
              <w:t xml:space="preserve">under R$200</w:t>
            </w:r>
          </w:p>
        </w:tc>
        <w:tc>
          <w:tcPr>
            <w:tcW w:type="dxa" w:w="6906"/>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The margin is real at prices we can already buy at. Open the company and start.</w:t>
            </w:r>
          </w:p>
        </w:tc>
      </w:tr>
      <w:tr>
        <w:tc>
          <w:tcPr>
            <w:tcW w:type="dxa" w:w="2600"/>
            <w:shd w:fill="F4F1EB" w:val="clear"/>
            <w:tcMar>
              <w:top w:type="dxa" w:w="70"/>
              <w:left w:type="dxa" w:w="110"/>
              <w:bottom w:type="dxa" w:w="70"/>
              <w:right w:type="dxa" w:w="110"/>
            </w:tcMar>
          </w:tcPr>
          <w:p>
            <w:pPr>
              <w:spacing w:after="0"/>
            </w:pPr>
            <w:r>
              <w:rPr>
                <w:rFonts w:ascii="Calibri" w:cs="Calibri" w:eastAsia="Calibri" w:hAnsi="Calibri"/>
                <w:b/>
                <w:bCs/>
                <w:color w:val="2B2B2B"/>
                <w:sz w:val="19"/>
                <w:szCs w:val="19"/>
              </w:rPr>
              <w:t xml:space="preserve">R$200–230</w:t>
            </w:r>
          </w:p>
        </w:tc>
        <w:tc>
          <w:tcPr>
            <w:tcW w:type="dxa" w:w="6906"/>
            <w:shd w:fill="F4F1EB" w:val="clear"/>
            <w:tcMar>
              <w:top w:type="dxa" w:w="70"/>
              <w:left w:type="dxa" w:w="110"/>
              <w:bottom w:type="dxa" w:w="70"/>
              <w:right w:type="dxa" w:w="110"/>
            </w:tcMar>
          </w:tcPr>
          <w:p>
            <w:pPr>
              <w:spacing w:after="0"/>
            </w:pPr>
            <w:r>
              <w:rPr>
                <w:rFonts w:ascii="Calibri" w:cs="Calibri" w:eastAsia="Calibri" w:hAnsi="Calibri"/>
                <w:color w:val="2B2B2B"/>
                <w:sz w:val="19"/>
                <w:szCs w:val="19"/>
              </w:rPr>
              <w:t xml:space="preserve">It works but it is tight. Open the company and make the supplier account the first priority.</w:t>
            </w:r>
          </w:p>
        </w:tc>
      </w:tr>
      <w:tr>
        <w:tc>
          <w:tcPr>
            <w:tcW w:type="dxa" w:w="2600"/>
            <w:tcMar>
              <w:top w:type="dxa" w:w="70"/>
              <w:left w:type="dxa" w:w="110"/>
              <w:bottom w:type="dxa" w:w="70"/>
              <w:right w:type="dxa" w:w="110"/>
            </w:tcMar>
          </w:tcPr>
          <w:p>
            <w:pPr>
              <w:spacing w:after="0"/>
            </w:pPr>
            <w:r>
              <w:rPr>
                <w:rFonts w:ascii="Calibri" w:cs="Calibri" w:eastAsia="Calibri" w:hAnsi="Calibri"/>
                <w:b/>
                <w:bCs/>
                <w:color w:val="C96F4A"/>
                <w:sz w:val="19"/>
                <w:szCs w:val="19"/>
              </w:rPr>
              <w:t xml:space="preserve">over R$230</w:t>
            </w:r>
          </w:p>
        </w:tc>
        <w:tc>
          <w:tcPr>
            <w:tcW w:type="dxa" w:w="6906"/>
            <w:tcMar>
              <w:top w:type="dxa" w:w="70"/>
              <w:left w:type="dxa" w:w="110"/>
              <w:bottom w:type="dxa" w:w="70"/>
              <w:right w:type="dxa" w:w="110"/>
            </w:tcMar>
          </w:tcPr>
          <w:p>
            <w:pPr>
              <w:spacing w:after="0"/>
            </w:pPr>
            <w:r>
              <w:rPr>
                <w:rFonts w:ascii="Calibri" w:cs="Calibri" w:eastAsia="Calibri" w:hAnsi="Calibri"/>
                <w:color w:val="2B2B2B"/>
                <w:sz w:val="19"/>
                <w:szCs w:val="19"/>
              </w:rPr>
              <w:t xml:space="preserve">Do not open anything yet. Send the fifteen supplier emails first and decide on the answers.</w:t>
            </w:r>
          </w:p>
        </w:tc>
      </w:tr>
    </w:tbl>
    <w:p>
      <w:pPr>
        <w:spacing w:after="200"/>
      </w:pPr>
    </w:p>
    <w:p>
      <w:pPr>
        <w:spacing w:after="0" w:before="0" w:line="290"/>
        <w:jc w:val="center"/>
      </w:pPr>
      <w:r>
        <w:rPr>
          <w:rFonts w:ascii="Calibri" w:cs="Calibri" w:eastAsia="Calibri" w:hAnsi="Calibri"/>
          <w:i/>
          <w:iCs/>
          <w:color w:val="6B6B6B"/>
          <w:sz w:val="18"/>
          <w:szCs w:val="18"/>
        </w:rPr>
        <w:t xml:space="preserve">Sources and every calculation behind this document: THE_KIT_DESK.md in the repository.</w:t>
      </w:r>
    </w:p>
    <w:sectPr>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1F4E4A"/>
      </w:rPr>
    </w:lvl>
  </w:abstractNum>
  <w:abstractNum w:abstractNumId="3" w15:restartNumberingAfterBreak="0">
    <w:multiLevelType w:val="hybridMultilevel"/>
    <w:lvl w:ilvl="0" w15:tentative="1">
      <w:start w:val="1"/>
      <w:numFmt w:val="decimal"/>
      <w:lvlText w:val="%1."/>
      <w:lvlJc w:val="left"/>
      <w:pPr>
        <w:ind w:left="340" w:hanging="200"/>
      </w:pPr>
      <w:rPr>
        <w:b/>
        <w:bCs/>
        <w:color w:val="1F4E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09293f09833db0f07b8ebb4dc0152b29d34890.png"/><Relationship Id="rId8" Type="http://schemas.openxmlformats.org/officeDocument/2006/relationships/image" Target="media/bfa28694dc534d91f2bcdd3b5706f0abc9617263.png"/><Relationship Id="rId9" Type="http://schemas.openxmlformats.org/officeDocument/2006/relationships/image" Target="media/6f83d3f9e696048c9c6d73117eb2963ef89748f1.png"/><Relationship Id="rId10" Type="http://schemas.openxmlformats.org/officeDocument/2006/relationships/image" Target="media/270bfaaa596d9aa5b0caac0b6aaecadaceb8daf4.png"/><Relationship Id="rId11" Type="http://schemas.openxmlformats.org/officeDocument/2006/relationships/image" Target="media/de83b4788cdc2e99e4508f22e1f176d468aa458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ACOLHE — business overview</dc:title>
  <dc:creator>ACOLHE</dc:creator>
  <cp:lastModifiedBy>Un-named</cp:lastModifiedBy>
  <cp:revision>1</cp:revision>
  <dcterms:created xsi:type="dcterms:W3CDTF">2026-09-18T15:35:45.198Z</dcterms:created>
  <dcterms:modified xsi:type="dcterms:W3CDTF">2026-09-18T15:35:45.198Z</dcterms:modified>
</cp:coreProperties>
</file>

<file path=docProps/custom.xml><?xml version="1.0" encoding="utf-8"?>
<Properties xmlns="http://schemas.openxmlformats.org/officeDocument/2006/custom-properties" xmlns:vt="http://schemas.openxmlformats.org/officeDocument/2006/docPropsVTypes"/>
</file>