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
      </w:pPr>
      <w:r>
        <w:rPr>
          <w:rFonts w:ascii="Calibri" w:cs="Calibri" w:eastAsia="Calibri" w:hAnsi="Calibri"/>
          <w:b/>
          <w:bCs/>
          <w:color w:val="1F3A5F"/>
          <w:sz w:val="38"/>
          <w:szCs w:val="38"/>
        </w:rPr>
        <w:t xml:space="preserve">THE BOARD</w:t>
      </w:r>
    </w:p>
    <w:p>
      <w:pPr>
        <w:spacing w:after="16" w:before="0" w:line="214" w:lineRule="auto"/>
      </w:pPr>
      <w:r>
        <w:rPr>
          <w:rFonts w:ascii="Calibri" w:cs="Calibri" w:eastAsia="Calibri" w:hAnsi="Calibri"/>
          <w:b/>
          <w:bCs/>
          <w:i w:val="false"/>
          <w:iCs w:val="false"/>
          <w:color w:val="46658A"/>
          <w:sz w:val="19"/>
          <w:szCs w:val="19"/>
        </w:rPr>
        <w:t xml:space="preserve">Three candidates, ~120 hunted, ~60 laws. Compared on identical axes.</w:t>
      </w:r>
    </w:p>
    <w:p>
      <w:pPr>
        <w:spacing w:after="80" w:before="0" w:line="214" w:lineRule="auto"/>
      </w:pPr>
      <w:r>
        <w:rPr>
          <w:rFonts w:ascii="Calibri" w:cs="Calibri" w:eastAsia="Calibri" w:hAnsi="Calibri"/>
          <w:i/>
          <w:iCs/>
          <w:color w:val="6B6B6B"/>
          <w:sz w:val="15"/>
          <w:szCs w:val="15"/>
        </w:rPr>
        <w:t xml:space="preserve">Prepared for Sol · 21 August 2026 · every number traces to the repo or is marked UNVERIFIED</w:t>
      </w:r>
    </w:p>
    <w:tbl>
      <w:tblPr>
        <w:tblW w:type="dxa" w:w="11340"/>
        <w:tblBorders>
          <w:top w:val="none"/>
          <w:left w:val="none"/>
          <w:bottom w:val="none"/>
          <w:right w:val="none"/>
          <w:insideH w:val="single" w:color="C9D4E0" w:sz="4"/>
          <w:insideV w:val="single" w:color="C9D4E0" w:sz="4"/>
        </w:tblBorders>
      </w:tblPr>
      <w:tblGrid>
        <w:gridCol w:w="1800"/>
        <w:gridCol w:w="3180"/>
        <w:gridCol w:w="3180"/>
        <w:gridCol w:w="3180"/>
      </w:tblGrid>
      <w:tr>
        <w:tc>
          <w:tcPr>
            <w:tcW w:type="dxa" w:w="180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6"/>
                <w:szCs w:val="16"/>
              </w:rPr>
              <w:t xml:space="preserve"/>
            </w:r>
          </w:p>
        </w:tc>
        <w:tc>
          <w:tcPr>
            <w:tcW w:type="dxa" w:w="318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6"/>
                <w:szCs w:val="16"/>
              </w:rPr>
              <w:t xml:space="preserve">#1 GATELEDGER</w:t>
            </w:r>
          </w:p>
        </w:tc>
        <w:tc>
          <w:tcPr>
            <w:tcW w:type="dxa" w:w="318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6"/>
                <w:szCs w:val="16"/>
              </w:rPr>
              <w:t xml:space="preserve">#2 DECRS CHANGE-LOG</w:t>
            </w:r>
          </w:p>
        </w:tc>
        <w:tc>
          <w:tcPr>
            <w:tcW w:type="dxa" w:w="318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6"/>
                <w:szCs w:val="16"/>
              </w:rPr>
              <w:t xml:space="preserve">#3 SCAN KEEPSAKE</w:t>
            </w:r>
          </w:p>
        </w:tc>
      </w:tr>
      <w:tr>
        <w:tc>
          <w:tcPr>
            <w:tcW w:type="dxa" w:w="18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6"/>
                <w:szCs w:val="16"/>
              </w:rPr>
              <w:t xml:space="preserve">Evidence</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Best. Statute, tariff, 404 erasure all fetched. Demand: zero observations.</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Data measured cold: 10.414 rows, 100% email ×2 fields, one named removal. Demand: zero.</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Weakest. Only print cost verified ($19,57+$1,75). Price and 3-min claim unmeasured.</w:t>
            </w:r>
          </w:p>
        </w:tc>
      </w:tr>
      <w:tr>
        <w:tc>
          <w:tcPr>
            <w:tcW w:type="dxa" w:w="18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6"/>
                <w:szCs w:val="16"/>
              </w:rPr>
              <w:t xml:space="preserve">Buyer pool</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~10 US firms named; 20–40 ESTIMATED, never counted. 18 subs ≈ 50% of market.</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7.404 inboxes inside the product. But WHO PAYS is unmeasured — zero job titles.</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Studio census never counted. One UK HQ = 35 clinics (measured).</w:t>
            </w:r>
          </w:p>
        </w:tc>
      </w:tr>
      <w:tr>
        <w:tc>
          <w:tcPr>
            <w:tcW w:type="dxa" w:w="18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6"/>
                <w:szCs w:val="16"/>
              </w:rPr>
              <w:t xml:space="preserve">Moat</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Accumulating + probabilistic. Raw capture copyable at $29/mo.</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Weakest. Static .gov file; FOIA is a front door; 2020 snapshot purchasable.</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Thinnest — a signed channel. Incumbent one integration away.</w:t>
            </w:r>
          </w:p>
        </w:tc>
      </w:tr>
      <w:tr>
        <w:tc>
          <w:tcPr>
            <w:tcW w:type="dxa" w:w="18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6"/>
                <w:szCs w:val="16"/>
              </w:rPr>
              <w:t xml:space="preserve">Founder fit</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Every constraint clean. Domain fully alien — US container ports.</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Every constraint clean. Domain alien — pharma regulatory.</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Closest to her world. But costs her minutes per marginal order.</w:t>
            </w:r>
          </w:p>
        </w:tc>
      </w:tr>
      <w:tr>
        <w:tc>
          <w:tcPr>
            <w:tcW w:type="dxa" w:w="18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6"/>
                <w:szCs w:val="16"/>
              </w:rPr>
              <w:t xml:space="preserve">Capital / time</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&lt;$20/mo, &lt;$1.000 total. Needs 1–2 white-label signings.</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$0 spent. Q4 window (1 Oct–31 Dec) decides it; revenue 2027.</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≤$1.000 + $30 sample. Fastest to revenue IF stopwatch passes.</w:t>
            </w:r>
          </w:p>
        </w:tc>
      </w:tr>
      <w:tr>
        <w:tc>
          <w:tcPr>
            <w:tcW w:type="dxa" w:w="18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6"/>
                <w:szCs w:val="16"/>
              </w:rPr>
              <w:t xml:space="preserve">Kills it</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Pool too thin for 18 subs — or BlueCargo already serves past-date data.</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Register churns too little — or a sub-$50 monitor exists (NEVER CHECKED).</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Median &gt;5 min/unit ⇒ her hands on every unit at consumer prices.</w:t>
            </w:r>
          </w:p>
        </w:tc>
      </w:tr>
      <w:tr>
        <w:tc>
          <w:tcPr>
            <w:tcW w:type="dxa" w:w="18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6"/>
                <w:szCs w:val="16"/>
              </w:rPr>
              <w:t xml:space="preserve">Next test</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$0. 20 min + ~4 h + one week.</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$0. Five minutes.</w:t>
            </w:r>
          </w:p>
        </w:tc>
        <w:tc>
          <w:tcPr>
            <w:tcW w:type="dxa" w:w="318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6"/>
                <w:szCs w:val="16"/>
              </w:rPr>
              <w:t xml:space="preserve">$0 now. One week, ~6–8 h of her own hands.</w:t>
            </w:r>
          </w:p>
        </w:tc>
      </w:tr>
    </w:tbl>
    <w:p>
      <w:pPr>
        <w:pBdr>
          <w:bottom w:val="single" w:color="C9D4E0" w:sz="5" w:space="2"/>
        </w:pBdr>
        <w:spacing w:after="36" w:before="130"/>
      </w:pPr>
      <w:r>
        <w:rPr>
          <w:rFonts w:ascii="Calibri" w:cs="Calibri" w:eastAsia="Calibri" w:hAnsi="Calibri"/>
          <w:b/>
          <w:bCs/>
          <w:color w:val="1F3A5F"/>
          <w:sz w:val="20"/>
          <w:szCs w:val="20"/>
        </w:rPr>
        <w:t xml:space="preserve">WHAT THE COMPARISON SHOWS</w:t>
      </w:r>
    </w:p>
    <w:p>
      <w:pPr>
        <w:spacing w:after="52" w:before="0" w:line="214" w:lineRule="auto"/>
      </w:pPr>
      <w:r>
        <w:rPr>
          <w:rFonts w:ascii="Calibri" w:cs="Calibri" w:eastAsia="Calibri" w:hAnsi="Calibri"/>
          <w:b/>
          <w:bCs/>
          <w:i w:val="false"/>
          <w:iCs w:val="false"/>
          <w:color w:val="1A1A1A"/>
          <w:sz w:val="18"/>
          <w:szCs w:val="18"/>
        </w:rPr>
        <w:t xml:space="preserve">Each is proven on a different half and unproven on the other — and no two fail in the same place. </w:t>
      </w:r>
      <w:r>
        <w:rPr>
          <w:rFonts w:ascii="Calibri" w:cs="Calibri" w:eastAsia="Calibri" w:hAnsi="Calibri"/>
          <w:i w:val="false"/>
          <w:iCs w:val="false"/>
          <w:color w:val="1A1A1A"/>
          <w:sz w:val="18"/>
          <w:szCs w:val="18"/>
        </w:rPr>
        <w:t xml:space="preserve">#1 proves the MECHANISM, not the market: the legal hook, the measured erasure and the one-in-48-industries uniqueness are all fetched, while the buyer pool is ~10 named firms and nobody has been observed paying anything. #2 proves the DATA, not the moat: 10.414 rows at 100% email fill and one establishment watched vanishing — sitting on a static government file with FOIA behind it. #3 proves NEITHER, but is the only one whose central risk she can settle alone, in a week, with no counterparty and no reply required. </w:t>
      </w:r>
      <w:r>
        <w:rPr>
          <w:rFonts w:ascii="Calibri" w:cs="Calibri" w:eastAsia="Calibri" w:hAnsi="Calibri"/>
          <w:b/>
          <w:bCs/>
          <w:i w:val="false"/>
          <w:iCs w:val="false"/>
          <w:color w:val="1A1A1A"/>
          <w:sz w:val="18"/>
          <w:szCs w:val="18"/>
        </w:rPr>
        <w:t xml:space="preserve">Demand is unmeasured on all three. That is the honest state of the board.</w:t>
      </w:r>
    </w:p>
    <w:p>
      <w:pPr>
        <w:pBdr>
          <w:bottom w:val="single" w:color="C9D4E0" w:sz="5" w:space="2"/>
        </w:pBdr>
        <w:spacing w:after="36" w:before="74"/>
      </w:pPr>
      <w:r>
        <w:rPr>
          <w:rFonts w:ascii="Calibri" w:cs="Calibri" w:eastAsia="Calibri" w:hAnsi="Calibri"/>
          <w:b/>
          <w:bCs/>
          <w:color w:val="1F3A5F"/>
          <w:sz w:val="20"/>
          <w:szCs w:val="20"/>
        </w:rPr>
        <w:t xml:space="preserve">SO DON'T PICK A CANDIDATE — PICK AN ORDER</w:t>
      </w:r>
    </w:p>
    <w:p>
      <w:pPr>
        <w:spacing w:after="52" w:before="0" w:line="214" w:lineRule="auto"/>
      </w:pPr>
      <w:r>
        <w:rPr>
          <w:rFonts w:ascii="Calibri" w:cs="Calibri" w:eastAsia="Calibri" w:hAnsi="Calibri"/>
          <w:i w:val="false"/>
          <w:iCs w:val="false"/>
          <w:color w:val="1A1A1A"/>
          <w:sz w:val="18"/>
          <w:szCs w:val="18"/>
        </w:rPr>
        <w:t xml:space="preserve">The three next tests cost ~$0, are independent, and fit in one week. Cheapest kill-power first:</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1. #2's Wayback query — 5 minutes. </w:t>
      </w:r>
      <w:r>
        <w:rPr>
          <w:rFonts w:ascii="Calibri" w:cs="Calibri" w:eastAsia="Calibri" w:hAnsi="Calibri"/>
          <w:i w:val="false"/>
          <w:iCs w:val="false"/>
          <w:color w:val="1A1A1A"/>
          <w:sz w:val="18"/>
          <w:szCs w:val="18"/>
        </w:rPr>
        <w:t xml:space="preserve">Decides whether the DECRS archive is worth anything at all.</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2. #1's BlueCargo free-tier check — 20 minutes. </w:t>
      </w:r>
      <w:r>
        <w:rPr>
          <w:rFonts w:ascii="Calibri" w:cs="Calibri" w:eastAsia="Calibri" w:hAnsi="Calibri"/>
          <w:i w:val="false"/>
          <w:iCs w:val="false"/>
          <w:color w:val="1A1A1A"/>
          <w:sz w:val="18"/>
          <w:szCs w:val="18"/>
        </w:rPr>
        <w:t xml:space="preserve">One pre-committed kill bar, answerable outright.</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3. #1's 30-email probe — ~4 hours. </w:t>
      </w:r>
      <w:r>
        <w:rPr>
          <w:rFonts w:ascii="Calibri" w:cs="Calibri" w:eastAsia="Calibri" w:hAnsi="Calibri"/>
          <w:i w:val="false"/>
          <w:iCs w:val="false"/>
          <w:color w:val="1A1A1A"/>
          <w:sz w:val="18"/>
          <w:szCs w:val="18"/>
        </w:rPr>
        <w:t xml:space="preserve">Six independent finders, told to beat this board, each put the marginal hour here.</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4. #3's 20-image stopwatch — same week, in parallel. </w:t>
      </w:r>
      <w:r>
        <w:rPr>
          <w:rFonts w:ascii="Calibri" w:cs="Calibri" w:eastAsia="Calibri" w:hAnsi="Calibri"/>
          <w:i w:val="false"/>
          <w:iCs w:val="false"/>
          <w:color w:val="1A1A1A"/>
          <w:sz w:val="18"/>
          <w:szCs w:val="18"/>
        </w:rPr>
        <w:t xml:space="preserve">Needs no replies, competes for nothing.</w:t>
      </w:r>
    </w:p>
    <w:p>
      <w:pPr>
        <w:spacing w:after="52" w:before="44" w:line="214" w:lineRule="auto"/>
      </w:pPr>
      <w:r>
        <w:rPr>
          <w:rFonts w:ascii="Calibri" w:cs="Calibri" w:eastAsia="Calibri" w:hAnsi="Calibri"/>
          <w:b/>
          <w:bCs/>
          <w:i w:val="false"/>
          <w:iCs w:val="false"/>
          <w:color w:val="1A1A1A"/>
          <w:sz w:val="18"/>
          <w:szCs w:val="18"/>
        </w:rPr>
        <w:t xml:space="preserve">Keep #2's capture running regardless </w:t>
      </w:r>
      <w:r>
        <w:rPr>
          <w:rFonts w:ascii="Calibri" w:cs="Calibri" w:eastAsia="Calibri" w:hAnsi="Calibri"/>
          <w:i w:val="false"/>
          <w:iCs w:val="false"/>
          <w:color w:val="1A1A1A"/>
          <w:sz w:val="18"/>
          <w:szCs w:val="18"/>
        </w:rPr>
        <w:t xml:space="preserve">— it costs nothing and the Q4 window cannot be re-entered for twelve months. </w:t>
      </w:r>
      <w:r>
        <w:rPr>
          <w:rFonts w:ascii="Calibri" w:cs="Calibri" w:eastAsia="Calibri" w:hAnsi="Calibri"/>
          <w:b/>
          <w:bCs/>
          <w:i w:val="false"/>
          <w:iCs w:val="false"/>
          <w:color w:val="9B2C2C"/>
          <w:sz w:val="18"/>
          <w:szCs w:val="18"/>
        </w:rPr>
        <w:t xml:space="preserve">Build nothing on any of them until a number comes back.</w:t>
      </w:r>
    </w:p>
    <w:p>
      <w:r>
        <w:br w:type="page"/>
      </w:r>
    </w:p>
    <w:p>
      <w:pPr>
        <w:spacing w:after="10"/>
      </w:pPr>
      <w:r>
        <w:rPr>
          <w:rFonts w:ascii="Calibri" w:cs="Calibri" w:eastAsia="Calibri" w:hAnsi="Calibri"/>
          <w:b/>
          <w:bCs/>
          <w:color w:val="1F3A5F"/>
          <w:sz w:val="32"/>
          <w:szCs w:val="32"/>
        </w:rPr>
        <w:t xml:space="preserve">#1 · GATELEDGER</w:t>
      </w:r>
    </w:p>
    <w:p>
      <w:pPr>
        <w:spacing w:after="70" w:before="0" w:line="214" w:lineRule="auto"/>
      </w:pPr>
      <w:r>
        <w:rPr>
          <w:rFonts w:ascii="Calibri" w:cs="Calibri" w:eastAsia="Calibri" w:hAnsi="Calibri"/>
          <w:i/>
          <w:iCs/>
          <w:color w:val="46658A"/>
          <w:sz w:val="19"/>
          <w:szCs w:val="19"/>
        </w:rPr>
        <w:t xml:space="preserve">A robot keeps the records US container terminals and carriers overwrite within days — which empty containers each shipping line would take back, and which yard areas were shut — and sells the history to firms that fight port late-fees for a percentage.</w:t>
      </w:r>
    </w:p>
    <w:p>
      <w:pPr>
        <w:pBdr>
          <w:bottom w:val="single" w:color="C9D4E0" w:sz="5" w:space="2"/>
        </w:pBdr>
        <w:spacing w:after="36" w:before="74"/>
      </w:pPr>
      <w:r>
        <w:rPr>
          <w:rFonts w:ascii="Calibri" w:cs="Calibri" w:eastAsia="Calibri" w:hAnsi="Calibri"/>
          <w:b/>
          <w:bCs/>
          <w:color w:val="1F3A5F"/>
          <w:sz w:val="20"/>
          <w:szCs w:val="20"/>
        </w:rPr>
        <w:t xml:space="preserve">WHAT IT IS</w:t>
      </w:r>
    </w:p>
    <w:p>
      <w:pPr>
        <w:spacing w:after="52" w:before="0" w:line="214" w:lineRule="auto"/>
      </w:pPr>
      <w:r>
        <w:rPr>
          <w:rFonts w:ascii="Calibri" w:cs="Calibri" w:eastAsia="Calibri" w:hAnsi="Calibri"/>
          <w:i w:val="false"/>
          <w:iCs w:val="false"/>
          <w:color w:val="1A1A1A"/>
          <w:sz w:val="18"/>
          <w:szCs w:val="18"/>
        </w:rPr>
        <w:t xml:space="preserve">Twice a day a script downloads the same handful of public terminal pages, hashes them, and has four certificate authorities countersign the hash for free. Nothing is judged or interpreted: the record says what the screen showed, when, with what hash. The pages are overwritten within days — Maersk's 2,7 MB empty-return directory dies at each publish (five prior dates fetched, all 404) — so after a week the only copy is hers. Customers buy the history: a monthly feed, or a one-off evidence pack for one terminal and date range. Her hours go to the parser; the machine serves everyone without her touching a unit.</w:t>
      </w:r>
    </w:p>
    <w:p>
      <w:pPr>
        <w:pBdr>
          <w:bottom w:val="single" w:color="C9D4E0" w:sz="5" w:space="2"/>
        </w:pBdr>
        <w:spacing w:after="36" w:before="74"/>
      </w:pPr>
      <w:r>
        <w:rPr>
          <w:rFonts w:ascii="Calibri" w:cs="Calibri" w:eastAsia="Calibri" w:hAnsi="Calibri"/>
          <w:b/>
          <w:bCs/>
          <w:color w:val="1F3A5F"/>
          <w:sz w:val="20"/>
          <w:szCs w:val="20"/>
        </w:rPr>
        <w:t xml:space="preserve">WHY IT WORKS</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The number is legally load-bearing, not persuasive. </w:t>
      </w:r>
      <w:r>
        <w:rPr>
          <w:rFonts w:ascii="Calibri" w:cs="Calibri" w:eastAsia="Calibri" w:hAnsi="Calibri"/>
          <w:i w:val="false"/>
          <w:iCs w:val="false"/>
          <w:color w:val="1A1A1A"/>
          <w:sz w:val="18"/>
          <w:szCs w:val="18"/>
        </w:rPr>
        <w:t xml:space="preserve">46 CFR 541.6 makes free-time dates MANDATORY invoice contents and 541.5 states that missing required fields </w:t>
      </w:r>
      <w:r>
        <w:rPr>
          <w:rFonts w:ascii="Calibri" w:cs="Calibri" w:eastAsia="Calibri" w:hAnsi="Calibri"/>
          <w:b/>
          <w:bCs/>
          <w:i w:val="false"/>
          <w:iCs w:val="false"/>
          <w:color w:val="1A1A1A"/>
          <w:sz w:val="18"/>
          <w:szCs w:val="18"/>
        </w:rPr>
        <w:t xml:space="preserve">"eliminates any obligation of the billed party to pay."</w:t>
      </w:r>
      <w:r>
        <w:rPr>
          <w:rFonts w:ascii="Calibri" w:cs="Calibri" w:eastAsia="Calibri" w:hAnsi="Calibri"/>
          <w:i w:val="false"/>
          <w:iCs w:val="false"/>
          <w:color w:val="1A1A1A"/>
          <w:sz w:val="18"/>
          <w:szCs w:val="18"/>
        </w:rPr>
        <w:t xml:space="preserve"> And 46 CFR 545.5(c)(2)(ii): detention charged when </w:t>
      </w:r>
      <w:r>
        <w:rPr>
          <w:rFonts w:ascii="Calibri" w:cs="Calibri" w:eastAsia="Calibri" w:hAnsi="Calibri"/>
          <w:b/>
          <w:bCs/>
          <w:i w:val="false"/>
          <w:iCs w:val="false"/>
          <w:color w:val="1A1A1A"/>
          <w:sz w:val="18"/>
          <w:szCs w:val="18"/>
        </w:rPr>
        <w:t xml:space="preserve">"empty containers cannot be returned"</w:t>
      </w:r>
      <w:r>
        <w:rPr>
          <w:rFonts w:ascii="Calibri" w:cs="Calibri" w:eastAsia="Calibri" w:hAnsi="Calibri"/>
          <w:i w:val="false"/>
          <w:iCs w:val="false"/>
          <w:color w:val="1A1A1A"/>
          <w:sz w:val="18"/>
          <w:szCs w:val="18"/>
        </w:rPr>
        <w:t xml:space="preserve"> is "likely to be found unreasonable." She states the observed fact; the customer does the subtraction. No expertise asserted.</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Poster ≠ invoice-issuer — and it occurs once. </w:t>
      </w:r>
      <w:r>
        <w:rPr>
          <w:rFonts w:ascii="Calibri" w:cs="Calibri" w:eastAsia="Calibri" w:hAnsi="Calibri"/>
          <w:i w:val="false"/>
          <w:iCs w:val="false"/>
          <w:color w:val="1A1A1A"/>
          <w:sz w:val="18"/>
          <w:szCs w:val="18"/>
        </w:rPr>
        <w:t xml:space="preserve">The terminal posts; the CARRIER invoices. Everywhere else the poster archives its own schedule to defend its own invoices (47 CFR 42.10 posts and 42.11 retains, same part). Two companies means nobody keeps the series. Censused across 24 recovery industries: one instance; re-hunted </w:t>
      </w:r>
      <w:r>
        <w:rPr>
          <w:rFonts w:ascii="Calibri" w:cs="Calibri" w:eastAsia="Calibri" w:hAnsi="Calibri"/>
          <w:b/>
          <w:bCs/>
          <w:i w:val="false"/>
          <w:iCs w:val="false"/>
          <w:color w:val="1A1A1A"/>
          <w:sz w:val="18"/>
          <w:szCs w:val="18"/>
        </w:rPr>
        <w:t xml:space="preserve">three independent ways across ~48 industries: still one.</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The erasure is measured. </w:t>
      </w:r>
      <w:r>
        <w:rPr>
          <w:rFonts w:ascii="Calibri" w:cs="Calibri" w:eastAsia="Calibri" w:hAnsi="Calibri"/>
          <w:i w:val="false"/>
          <w:iCs w:val="false"/>
          <w:color w:val="1A1A1A"/>
          <w:sz w:val="18"/>
          <w:szCs w:val="18"/>
        </w:rPr>
        <w:t xml:space="preserve">Maersk's directory: 19 Aug live at 2.709.258 bytes; 08-18, 08-15, 08-12, 08-05 and 07-19 all 404. And the empty-return pages genuinely change daily — ITS dated 8/19→8/21, PNCT 8/20→8/21, TraPac and YTI's closed-area matrix both altered across the banked captures.</w:t>
      </w:r>
    </w:p>
    <w:p>
      <w:pPr>
        <w:pStyle w:val="ListParagraph"/>
        <w:numPr>
          <w:ilvl w:val="0"/>
          <w:numId w:val="2"/>
        </w:numPr>
        <w:spacing w:after="34" w:line="212" w:lineRule="auto"/>
      </w:pPr>
      <w:r>
        <w:rPr>
          <w:rFonts w:ascii="Calibri" w:cs="Calibri" w:eastAsia="Calibri" w:hAnsi="Calibri"/>
          <w:b/>
          <w:bCs/>
          <w:i w:val="false"/>
          <w:iCs w:val="false"/>
          <w:color w:val="9B2C2C"/>
          <w:sz w:val="18"/>
          <w:szCs w:val="18"/>
        </w:rPr>
        <w:t xml:space="preserve">⚠ CORRECTED 21 AUG — the gate calendar is the WEAK leg, not the strong one. </w:t>
      </w:r>
      <w:r>
        <w:rPr>
          <w:rFonts w:ascii="Calibri" w:cs="Calibri" w:eastAsia="Calibri" w:hAnsi="Calibri"/>
          <w:i w:val="false"/>
          <w:iCs w:val="false"/>
          <w:color w:val="1A1A1A"/>
          <w:sz w:val="18"/>
          <w:szCs w:val="18"/>
        </w:rPr>
        <w:t xml:space="preserve">YTI's gate schedule publishes a static 14-day window (17→30 Aug) that was </w:t>
      </w:r>
      <w:r>
        <w:rPr>
          <w:rFonts w:ascii="Calibri" w:cs="Calibri" w:eastAsia="Calibri" w:hAnsi="Calibri"/>
          <w:b/>
          <w:bCs/>
          <w:i w:val="false"/>
          <w:iCs w:val="false"/>
          <w:color w:val="1A1A1A"/>
          <w:sz w:val="18"/>
          <w:szCs w:val="18"/>
        </w:rPr>
        <w:t xml:space="preserve">byte-identical across three days</w:t>
      </w:r>
      <w:r>
        <w:rPr>
          <w:rFonts w:ascii="Calibri" w:cs="Calibri" w:eastAsia="Calibri" w:hAnsi="Calibri"/>
          <w:i w:val="false"/>
          <w:iCs w:val="false"/>
          <w:color w:val="1A1A1A"/>
          <w:sz w:val="18"/>
          <w:szCs w:val="18"/>
        </w:rPr>
        <w:t xml:space="preserve">, with 9–11 days published FORWARD, and its only full-day closures are weekends. Maersk's tariff also says </w:t>
      </w:r>
      <w:r>
        <w:rPr>
          <w:rFonts w:ascii="Calibri" w:cs="Calibri" w:eastAsia="Calibri" w:hAnsi="Calibri"/>
          <w:b/>
          <w:bCs/>
          <w:i w:val="false"/>
          <w:iCs w:val="false"/>
          <w:color w:val="1A1A1A"/>
          <w:sz w:val="18"/>
          <w:szCs w:val="18"/>
        </w:rPr>
        <w:t xml:space="preserve">"partial day closures are considered as a full working day"</w:t>
      </w:r>
      <w:r>
        <w:rPr>
          <w:rFonts w:ascii="Calibri" w:cs="Calibri" w:eastAsia="Calibri" w:hAnsi="Calibri"/>
          <w:i w:val="false"/>
          <w:iCs w:val="false"/>
          <w:color w:val="1A1A1A"/>
          <w:sz w:val="18"/>
          <w:szCs w:val="18"/>
        </w:rPr>
        <w:t xml:space="preserve"> — so shift-level data does not move the denominator. </w:t>
      </w:r>
      <w:r>
        <w:rPr>
          <w:rFonts w:ascii="Calibri" w:cs="Calibri" w:eastAsia="Calibri" w:hAnsi="Calibri"/>
          <w:b/>
          <w:bCs/>
          <w:i w:val="false"/>
          <w:iCs w:val="false"/>
          <w:color w:val="1A1A1A"/>
          <w:sz w:val="18"/>
          <w:szCs w:val="18"/>
        </w:rPr>
        <w:t xml:space="preserve">The scarce facts are empty-return acceptance and yard closures, not gate-open days.</w:t>
      </w:r>
    </w:p>
    <w:p>
      <w:pPr>
        <w:pBdr>
          <w:bottom w:val="single" w:color="C9D4E0" w:sz="5" w:space="2"/>
        </w:pBdr>
        <w:spacing w:after="36" w:before="74"/>
      </w:pPr>
      <w:r>
        <w:rPr>
          <w:rFonts w:ascii="Calibri" w:cs="Calibri" w:eastAsia="Calibri" w:hAnsi="Calibri"/>
          <w:b/>
          <w:bCs/>
          <w:color w:val="1F3A5F"/>
          <w:sz w:val="20"/>
          <w:szCs w:val="20"/>
        </w:rPr>
        <w:t xml:space="preserve">THE MONEY</w:t>
      </w:r>
    </w:p>
    <w:p>
      <w:pPr>
        <w:spacing w:after="52" w:before="0" w:line="214" w:lineRule="auto"/>
      </w:pPr>
      <w:r>
        <w:rPr>
          <w:rFonts w:ascii="Calibri" w:cs="Calibri" w:eastAsia="Calibri" w:hAnsi="Calibri"/>
          <w:b/>
          <w:bCs/>
          <w:i w:val="false"/>
          <w:iCs w:val="false"/>
          <w:color w:val="1A1A1A"/>
          <w:sz w:val="18"/>
          <w:szCs w:val="18"/>
        </w:rPr>
        <w:t xml:space="preserve">2 white-label × $1.500 + 8 × $649 + 6 × $249 + 15 packs × $95 = $11.111/mo. </w:t>
      </w:r>
      <w:r>
        <w:rPr>
          <w:rFonts w:ascii="Calibri" w:cs="Calibri" w:eastAsia="Calibri" w:hAnsi="Calibri"/>
          <w:i w:val="false"/>
          <w:iCs w:val="false"/>
          <w:color w:val="1A1A1A"/>
          <w:sz w:val="18"/>
          <w:szCs w:val="18"/>
        </w:rPr>
        <w:t xml:space="preserve">Runs on under $20/month (Cloudflare R2 + Workers, ~5,8 GB/year); total capital under $1.000. Zero marginal hours per subscriber. Exported service taxed at 8,1%, invoiced via Wise (~0,5%), never card. </w:t>
      </w:r>
      <w:r>
        <w:rPr>
          <w:rFonts w:ascii="Calibri" w:cs="Calibri" w:eastAsia="Calibri" w:hAnsi="Calibri"/>
          <w:b/>
          <w:bCs/>
          <w:i w:val="false"/>
          <w:iCs w:val="false"/>
          <w:color w:val="9B2C2C"/>
          <w:sz w:val="18"/>
          <w:szCs w:val="18"/>
        </w:rPr>
        <w:t xml:space="preserve">⚠ Two honest caveats. </w:t>
      </w:r>
      <w:r>
        <w:rPr>
          <w:rFonts w:ascii="Calibri" w:cs="Calibri" w:eastAsia="Calibri" w:hAnsi="Calibri"/>
          <w:i w:val="false"/>
          <w:iCs w:val="false"/>
          <w:color w:val="1A1A1A"/>
          <w:sz w:val="18"/>
          <w:szCs w:val="18"/>
        </w:rPr>
        <w:t xml:space="preserve">(a) The blueprint tiers sit NEXT TO an adversarial corridor of $150–350/mo + $49–99 per extract; if that corridor is right, the white-label anchor becomes load-bearing. (b) Maersk's $210–395/container/day is what the </w:t>
      </w:r>
      <w:r>
        <w:rPr>
          <w:rFonts w:ascii="Calibri" w:cs="Calibri" w:eastAsia="Calibri" w:hAnsi="Calibri"/>
          <w:b/>
          <w:bCs/>
          <w:i w:val="false"/>
          <w:iCs w:val="false"/>
          <w:color w:val="1A1A1A"/>
          <w:sz w:val="18"/>
          <w:szCs w:val="18"/>
        </w:rPr>
        <w:t xml:space="preserve">IMPORTER</w:t>
      </w:r>
      <w:r>
        <w:rPr>
          <w:rFonts w:ascii="Calibri" w:cs="Calibri" w:eastAsia="Calibri" w:hAnsi="Calibri"/>
          <w:i w:val="false"/>
          <w:iCs w:val="false"/>
          <w:color w:val="1A1A1A"/>
          <w:sz w:val="18"/>
          <w:szCs w:val="18"/>
        </w:rPr>
        <w:t xml:space="preserve"> saves — the recovery firm earns 25–35% of it, so the per-firm value is a fraction of the headline. </w:t>
      </w:r>
      <w:r>
        <w:rPr>
          <w:rFonts w:ascii="Calibri" w:cs="Calibri" w:eastAsia="Calibri" w:hAnsi="Calibri"/>
          <w:b/>
          <w:bCs/>
          <w:i w:val="false"/>
          <w:iCs w:val="false"/>
          <w:color w:val="9B2C2C"/>
          <w:sz w:val="18"/>
          <w:szCs w:val="18"/>
        </w:rPr>
        <w:t xml:space="preserve">Nobody has ever been observed paying anything for this product.</w:t>
      </w:r>
    </w:p>
    <w:p>
      <w:pPr>
        <w:pBdr>
          <w:bottom w:val="single" w:color="C9D4E0" w:sz="5" w:space="2"/>
        </w:pBdr>
        <w:spacing w:after="36" w:before="74"/>
      </w:pPr>
      <w:r>
        <w:rPr>
          <w:rFonts w:ascii="Calibri" w:cs="Calibri" w:eastAsia="Calibri" w:hAnsi="Calibri"/>
          <w:b/>
          <w:bCs/>
          <w:color w:val="1F3A5F"/>
          <w:sz w:val="20"/>
          <w:szCs w:val="20"/>
        </w:rPr>
        <w:t xml:space="preserve">THE BUYER</w:t>
      </w:r>
    </w:p>
    <w:p>
      <w:pPr>
        <w:spacing w:after="52" w:before="0" w:line="214" w:lineRule="auto"/>
      </w:pPr>
      <w:r>
        <w:rPr>
          <w:rFonts w:ascii="Calibri" w:cs="Calibri" w:eastAsia="Calibri" w:hAnsi="Calibri"/>
          <w:b/>
          <w:bCs/>
          <w:i w:val="false"/>
          <w:iCs w:val="false"/>
          <w:color w:val="1A1A1A"/>
          <w:sz w:val="18"/>
          <w:szCs w:val="18"/>
        </w:rPr>
        <w:t xml:space="preserve">Demurrage-and-detention recovery firms on 25–35% success fees </w:t>
      </w:r>
      <w:r>
        <w:rPr>
          <w:rFonts w:ascii="Calibri" w:cs="Calibri" w:eastAsia="Calibri" w:hAnsi="Calibri"/>
          <w:i w:val="false"/>
          <w:iCs w:val="false"/>
          <w:color w:val="1A1A1A"/>
          <w:sz w:val="18"/>
          <w:szCs w:val="18"/>
        </w:rPr>
        <w:t xml:space="preserve">(Unwaived.com's own page, primary). They run calendar-aware analysis off the CUSTOMER'S connectors and hold no historical archive — they hold conduct evidence and cannot buy back the past; she holds the past and can never hold conduct evidence. </w:t>
      </w:r>
      <w:r>
        <w:rPr>
          <w:rFonts w:ascii="Calibri" w:cs="Calibri" w:eastAsia="Calibri" w:hAnsi="Calibri"/>
          <w:b/>
          <w:bCs/>
          <w:i w:val="false"/>
          <w:iCs w:val="false"/>
          <w:color w:val="9B2C2C"/>
          <w:sz w:val="18"/>
          <w:szCs w:val="18"/>
        </w:rPr>
        <w:t xml:space="preserve">⚠ The pool is the weakness and it is estimated, not counted: </w:t>
      </w:r>
      <w:r>
        <w:rPr>
          <w:rFonts w:ascii="Calibri" w:cs="Calibri" w:eastAsia="Calibri" w:hAnsi="Calibri"/>
          <w:i w:val="false"/>
          <w:iCs w:val="false"/>
          <w:color w:val="1A1A1A"/>
          <w:sz w:val="18"/>
          <w:szCs w:val="18"/>
        </w:rPr>
        <w:t xml:space="preserve">~10 US firms named, plausibly 20–40 total. Eighteen subscriptions would be ~50% market penetration. </w:t>
      </w:r>
      <w:r>
        <w:rPr>
          <w:rFonts w:ascii="Calibri" w:cs="Calibri" w:eastAsia="Calibri" w:hAnsi="Calibri"/>
          <w:b/>
          <w:bCs/>
          <w:i w:val="false"/>
          <w:iCs w:val="false"/>
          <w:color w:val="1A1A1A"/>
          <w:sz w:val="18"/>
          <w:szCs w:val="18"/>
        </w:rPr>
        <w:t xml:space="preserve">The mitigation is the plan: sell 1–2 white-label deals, not 18 subscriptions. </w:t>
      </w:r>
      <w:r>
        <w:rPr>
          <w:rFonts w:ascii="Calibri" w:cs="Calibri" w:eastAsia="Calibri" w:hAnsi="Calibri"/>
          <w:i w:val="false"/>
          <w:iCs w:val="false"/>
          <w:color w:val="1A1A1A"/>
          <w:sz w:val="18"/>
          <w:szCs w:val="18"/>
        </w:rPr>
        <w:t xml:space="preserve">Free named prospect list: IANA publishes its arbitration decisions, each naming a carrier that lost money for want of this record. </w:t>
      </w:r>
      <w:r>
        <w:rPr>
          <w:rFonts w:ascii="Calibri" w:cs="Calibri" w:eastAsia="Calibri" w:hAnsi="Calibri"/>
          <w:b/>
          <w:bCs/>
          <w:i w:val="false"/>
          <w:iCs w:val="false"/>
          <w:color w:val="9B2C2C"/>
          <w:sz w:val="18"/>
          <w:szCs w:val="18"/>
        </w:rPr>
        <w:t xml:space="preserve">⚠ The 75,2% email figure is FMCSA property BROKERS, not motor carriers — the measured carrier figure is 29,6%.</w:t>
      </w:r>
    </w:p>
    <w:p>
      <w:pPr>
        <w:pBdr>
          <w:bottom w:val="single" w:color="C9D4E0" w:sz="5" w:space="2"/>
        </w:pBdr>
        <w:spacing w:after="36" w:before="74"/>
      </w:pPr>
      <w:r>
        <w:rPr>
          <w:rFonts w:ascii="Calibri" w:cs="Calibri" w:eastAsia="Calibri" w:hAnsi="Calibri"/>
          <w:b/>
          <w:bCs/>
          <w:color w:val="1F3A5F"/>
          <w:sz w:val="20"/>
          <w:szCs w:val="20"/>
        </w:rPr>
        <w:t xml:space="preserve">THE MOAT — STATED HONESTLY</w:t>
      </w:r>
    </w:p>
    <w:p>
      <w:pPr>
        <w:spacing w:after="52" w:before="0" w:line="214" w:lineRule="auto"/>
      </w:pPr>
      <w:r>
        <w:rPr>
          <w:rFonts w:ascii="Calibri" w:cs="Calibri" w:eastAsia="Calibri" w:hAnsi="Calibri"/>
          <w:b/>
          <w:bCs/>
          <w:i w:val="false"/>
          <w:iCs w:val="false"/>
          <w:color w:val="1A1A1A"/>
          <w:sz w:val="18"/>
          <w:szCs w:val="18"/>
        </w:rPr>
        <w:t xml:space="preserve">Accumulating + probabilistic — not structural, and the repo says so in those words. </w:t>
      </w:r>
      <w:r>
        <w:rPr>
          <w:rFonts w:ascii="Calibri" w:cs="Calibri" w:eastAsia="Calibri" w:hAnsi="Calibri"/>
          <w:i w:val="false"/>
          <w:iCs w:val="false"/>
          <w:color w:val="1A1A1A"/>
          <w:sz w:val="18"/>
          <w:szCs w:val="18"/>
        </w:rPr>
        <w:t xml:space="preserve">Plain GET pages, crawlable in principle; what protects them is that no crawler visits a terminal page twice a day, and one snapshot cannot rebuild a per-day series. </w:t>
      </w:r>
      <w:r>
        <w:rPr>
          <w:rFonts w:ascii="Calibri" w:cs="Calibri" w:eastAsia="Calibri" w:hAnsi="Calibri"/>
          <w:b/>
          <w:bCs/>
          <w:i w:val="false"/>
          <w:iCs w:val="false"/>
          <w:color w:val="1A1A1A"/>
          <w:sz w:val="18"/>
          <w:szCs w:val="18"/>
        </w:rPr>
        <w:t xml:space="preserve">The raw capture is a $29/month commodity (Stillio) — the moat is the archive ONLY in combination with the parse. </w:t>
      </w:r>
      <w:r>
        <w:rPr>
          <w:rFonts w:ascii="Calibri" w:cs="Calibri" w:eastAsia="Calibri" w:hAnsi="Calibri"/>
          <w:i w:val="false"/>
          <w:iCs w:val="false"/>
          <w:color w:val="1A1A1A"/>
          <w:sz w:val="18"/>
          <w:szCs w:val="18"/>
        </w:rPr>
        <w:t xml:space="preserve">The head start compounds daily. The hash chain answers "who are you" with arithmetic (FRE 902(13)/(14) custodian certification, never an expert opinion), though </w:t>
      </w:r>
      <w:r>
        <w:rPr>
          <w:rFonts w:ascii="Calibri" w:cs="Calibri" w:eastAsia="Calibri" w:hAnsi="Calibri"/>
          <w:b/>
          <w:bCs/>
          <w:i w:val="false"/>
          <w:iCs w:val="false"/>
          <w:color w:val="9B2C2C"/>
          <w:sz w:val="18"/>
          <w:szCs w:val="18"/>
        </w:rPr>
        <w:t xml:space="preserve">no carrier has been observed accepting such a record, and carrier policies specify human desktop screenshots.</w:t>
      </w:r>
    </w:p>
    <w:p>
      <w:pPr>
        <w:pBdr>
          <w:bottom w:val="single" w:color="C9D4E0" w:sz="5" w:space="2"/>
        </w:pBdr>
        <w:spacing w:after="36" w:before="74"/>
      </w:pPr>
      <w:r>
        <w:rPr>
          <w:rFonts w:ascii="Calibri" w:cs="Calibri" w:eastAsia="Calibri" w:hAnsi="Calibri"/>
          <w:b/>
          <w:bCs/>
          <w:color w:val="1F3A5F"/>
          <w:sz w:val="20"/>
          <w:szCs w:val="20"/>
        </w:rPr>
        <w:t xml:space="preserve">WHAT MUST BE TRUE</w:t>
      </w:r>
    </w:p>
    <w:tbl>
      <w:tblPr>
        <w:tblW w:type="dxa" w:w="10800"/>
        <w:tblBorders>
          <w:top w:val="none"/>
          <w:left w:val="none"/>
          <w:bottom w:val="none"/>
          <w:right w:val="none"/>
          <w:insideH w:val="single" w:color="C9D4E0" w:sz="4"/>
          <w:insideV w:val="single" w:color="C9D4E0" w:sz="4"/>
        </w:tblBorders>
      </w:tblPr>
      <w:tblGrid>
        <w:gridCol w:w="3400"/>
        <w:gridCol w:w="4100"/>
        <w:gridCol w:w="3300"/>
      </w:tblGrid>
      <w:tr>
        <w:tc>
          <w:tcPr>
            <w:tcW w:type="dxa" w:w="340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Risk</w:t>
            </w:r>
          </w:p>
        </w:tc>
        <w:tc>
          <w:tcPr>
            <w:tcW w:type="dxa" w:w="410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Test</w:t>
            </w:r>
          </w:p>
        </w:tc>
        <w:tc>
          <w:tcPr>
            <w:tcW w:type="dxa" w:w="330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Pre-committed bar</w:t>
            </w:r>
          </w:p>
        </w:tc>
      </w:tr>
      <w:tr>
        <w:tc>
          <w:tcPr>
            <w:tcW w:type="dxa" w:w="34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1. Demand never measured</w:t>
            </w:r>
          </w:p>
        </w:tc>
        <w:tc>
          <w:tcPr>
            <w:tcW w:type="dxa" w:w="41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30 emails: "where do you get the terminal's state for a date three months ago?"</w:t>
            </w:r>
          </w:p>
        </w:tc>
        <w:tc>
          <w:tcPr>
            <w:tcW w:type="dxa" w:w="33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KILL &lt;4/30 reply, or ≥⅓ name a source they hold</w:t>
            </w:r>
          </w:p>
        </w:tc>
      </w:tr>
      <w:tr>
        <w:tc>
          <w:tcPr>
            <w:tcW w:type="dxa" w:w="34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2. BlueCargo already serves it</w:t>
            </w:r>
          </w:p>
        </w:tc>
        <w:tc>
          <w:tcPr>
            <w:tcW w:type="dxa" w:w="41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Free-tier signup; pull past-date data &gt;30 days back</w:t>
            </w:r>
          </w:p>
        </w:tc>
        <w:tc>
          <w:tcPr>
            <w:tcW w:type="dxa" w:w="33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KILL if any past-date calendar serves</w:t>
            </w:r>
          </w:p>
        </w:tc>
      </w:tr>
      <w:tr>
        <w:tc>
          <w:tcPr>
            <w:tcW w:type="dxa" w:w="34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3. Disputes need claimant conduct, not world-state</w:t>
            </w:r>
          </w:p>
        </w:tc>
        <w:tc>
          <w:tcPr>
            <w:tcW w:type="dxa" w:w="41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Read 20 published IANA arbitration decisions</w:t>
            </w:r>
          </w:p>
        </w:tc>
        <w:tc>
          <w:tcPr>
            <w:tcW w:type="dxa" w:w="33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KILL &lt;5/20 on world-state evidence</w:t>
            </w:r>
          </w:p>
        </w:tc>
      </w:tr>
      <w:tr>
        <w:tc>
          <w:tcPr>
            <w:tcW w:type="dxa" w:w="34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4. Coverage thinner than believed</w:t>
            </w:r>
          </w:p>
        </w:tc>
        <w:tc>
          <w:tcPr>
            <w:tcW w:type="dxa" w:w="41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Name the terminals in writing, then the 10-day capture</w:t>
            </w:r>
          </w:p>
        </w:tc>
        <w:tc>
          <w:tcPr>
            <w:tcW w:type="dxa" w:w="33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Repo's only ENUMERATED census is 5 of 17; running capture covers 4</w:t>
            </w:r>
          </w:p>
        </w:tc>
      </w:tr>
    </w:tbl>
    <w:p>
      <w:pPr>
        <w:pBdr>
          <w:bottom w:val="single" w:color="C9D4E0" w:sz="5" w:space="2"/>
        </w:pBdr>
        <w:spacing w:after="36" w:before="74"/>
      </w:pPr>
      <w:r>
        <w:rPr>
          <w:rFonts w:ascii="Calibri" w:cs="Calibri" w:eastAsia="Calibri" w:hAnsi="Calibri"/>
          <w:b/>
          <w:bCs/>
          <w:color w:val="1F3A5F"/>
          <w:sz w:val="20"/>
          <w:szCs w:val="20"/>
        </w:rPr>
        <w:t xml:space="preserve">FIRST MOVE</w:t>
      </w:r>
    </w:p>
    <w:p>
      <w:pPr>
        <w:spacing w:after="52" w:before="0" w:line="214" w:lineRule="auto"/>
      </w:pPr>
      <w:r>
        <w:rPr>
          <w:rFonts w:ascii="Calibri" w:cs="Calibri" w:eastAsia="Calibri" w:hAnsi="Calibri"/>
          <w:b/>
          <w:bCs/>
          <w:i w:val="false"/>
          <w:iCs w:val="false"/>
          <w:color w:val="1A1A1A"/>
          <w:sz w:val="18"/>
          <w:szCs w:val="18"/>
        </w:rPr>
        <w:t xml:space="preserve">The BlueCargo free-tier check — 20 minutes, $0. </w:t>
      </w:r>
      <w:r>
        <w:rPr>
          <w:rFonts w:ascii="Calibri" w:cs="Calibri" w:eastAsia="Calibri" w:hAnsi="Calibri"/>
          <w:i w:val="false"/>
          <w:iCs w:val="false"/>
          <w:color w:val="1A1A1A"/>
          <w:sz w:val="18"/>
          <w:szCs w:val="18"/>
        </w:rPr>
        <w:t xml:space="preserve">Then the 30-email probe (~4 h). Then the ten-day capture, which </w:t>
      </w:r>
      <w:r>
        <w:rPr>
          <w:rFonts w:ascii="Calibri" w:cs="Calibri" w:eastAsia="Calibri" w:hAnsi="Calibri"/>
          <w:b/>
          <w:bCs/>
          <w:i w:val="false"/>
          <w:iCs w:val="false"/>
          <w:color w:val="1A1A1A"/>
          <w:sz w:val="18"/>
          <w:szCs w:val="18"/>
        </w:rPr>
        <w:t xml:space="preserve">is</w:t>
      </w:r>
      <w:r>
        <w:rPr>
          <w:rFonts w:ascii="Calibri" w:cs="Calibri" w:eastAsia="Calibri" w:hAnsi="Calibri"/>
          <w:i w:val="false"/>
          <w:iCs w:val="false"/>
          <w:color w:val="1A1A1A"/>
          <w:sz w:val="18"/>
          <w:szCs w:val="18"/>
        </w:rPr>
        <w:t xml:space="preserve"> the build: its ten days are the first ten days of the asset.</w:t>
      </w:r>
    </w:p>
    <w:p>
      <w:pPr>
        <w:spacing w:after="0" w:before="34" w:line="214" w:lineRule="auto"/>
      </w:pPr>
      <w:r>
        <w:rPr>
          <w:rFonts w:ascii="Calibri" w:cs="Calibri" w:eastAsia="Calibri" w:hAnsi="Calibri"/>
          <w:i/>
          <w:iCs/>
          <w:color w:val="6B6B6B"/>
          <w:sz w:val="15"/>
          <w:szCs w:val="15"/>
        </w:rPr>
        <w:t xml:space="preserve">STATUS: three days banked (19–21 Aug). ⚠ Only Day 0 carries timestamp tokens; no Maersk edition was captured on 20 Aug (one permanent hole); the Day-0 root does not reproduce from the captured files (tokens genuine, over the root file's hash); filenames drifted between days — fix before the ten-day run.</w:t>
      </w:r>
    </w:p>
    <w:p>
      <w:r>
        <w:br w:type="page"/>
      </w:r>
    </w:p>
    <w:p>
      <w:pPr>
        <w:spacing w:after="10"/>
      </w:pPr>
      <w:r>
        <w:rPr>
          <w:rFonts w:ascii="Calibri" w:cs="Calibri" w:eastAsia="Calibri" w:hAnsi="Calibri"/>
          <w:b/>
          <w:bCs/>
          <w:color w:val="1F3A5F"/>
          <w:sz w:val="32"/>
          <w:szCs w:val="32"/>
        </w:rPr>
        <w:t xml:space="preserve">#2 · THE DECRS CHANGE-LOG</w:t>
      </w:r>
    </w:p>
    <w:p>
      <w:pPr>
        <w:spacing w:after="70" w:before="0" w:line="214" w:lineRule="auto"/>
      </w:pPr>
      <w:r>
        <w:rPr>
          <w:rFonts w:ascii="Calibri" w:cs="Calibri" w:eastAsia="Calibri" w:hAnsi="Calibri"/>
          <w:i/>
          <w:iCs/>
          <w:color w:val="46658A"/>
          <w:sz w:val="19"/>
          <w:szCs w:val="19"/>
        </w:rPr>
        <w:t xml:space="preserve">The FDA publishes a daily list of every drug factory registered to supply the United States — and never publishes which ones left. A robot keeps the difference.</w:t>
      </w:r>
    </w:p>
    <w:p>
      <w:pPr>
        <w:pBdr>
          <w:bottom w:val="single" w:color="C9D4E0" w:sz="5" w:space="2"/>
        </w:pBdr>
        <w:spacing w:after="36" w:before="74"/>
      </w:pPr>
      <w:r>
        <w:rPr>
          <w:rFonts w:ascii="Calibri" w:cs="Calibri" w:eastAsia="Calibri" w:hAnsi="Calibri"/>
          <w:b/>
          <w:bCs/>
          <w:color w:val="1F3A5F"/>
          <w:sz w:val="20"/>
          <w:szCs w:val="20"/>
        </w:rPr>
        <w:t xml:space="preserve">WHAT IT IS</w:t>
      </w:r>
    </w:p>
    <w:p>
      <w:pPr>
        <w:spacing w:after="52" w:before="0" w:line="214" w:lineRule="auto"/>
      </w:pPr>
      <w:r>
        <w:rPr>
          <w:rFonts w:ascii="Calibri" w:cs="Calibri" w:eastAsia="Calibri" w:hAnsi="Calibri"/>
          <w:i w:val="false"/>
          <w:iCs w:val="false"/>
          <w:color w:val="1A1A1A"/>
          <w:sz w:val="18"/>
          <w:szCs w:val="18"/>
        </w:rPr>
        <w:t xml:space="preserve">One file, downloaded daily, diffed against yesterday. It holds every establishment currently registered with the FDA under FD&amp;C §510 — 10.414 rows on 19 Aug — with firm name, address, operations, and, unusually, a working email address in TWO separate fields at 100% fill. When a factory disappears from the file, the FDA publishes nothing to say so. She records the disappearance, with the name, the address and the contacts attached. Delivery is a file or an alert; she never interprets, never advises, and never touches a unit.</w:t>
      </w:r>
    </w:p>
    <w:p>
      <w:pPr>
        <w:pBdr>
          <w:bottom w:val="single" w:color="C9D4E0" w:sz="5" w:space="2"/>
        </w:pBdr>
        <w:spacing w:after="36" w:before="74"/>
      </w:pPr>
      <w:r>
        <w:rPr>
          <w:rFonts w:ascii="Calibri" w:cs="Calibri" w:eastAsia="Calibri" w:hAnsi="Calibri"/>
          <w:b/>
          <w:bCs/>
          <w:color w:val="1F3A5F"/>
          <w:sz w:val="20"/>
          <w:szCs w:val="20"/>
        </w:rPr>
        <w:t xml:space="preserve">WHY IT WORKS</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Something actually vanishes — measured 21 August. </w:t>
      </w:r>
      <w:r>
        <w:rPr>
          <w:rFonts w:ascii="Calibri" w:cs="Calibri" w:eastAsia="Calibri" w:hAnsi="Calibri"/>
          <w:i w:val="false"/>
          <w:iCs w:val="false"/>
          <w:color w:val="1A1A1A"/>
          <w:sz w:val="18"/>
          <w:szCs w:val="18"/>
        </w:rPr>
        <w:t xml:space="preserve">FEI 3011921873, LABORATOIRES EXPANSCIENCE (Épernon, France; MANUFACTURE) was present on 20 Aug and absent on 21 Aug. Verified not a renumbering: zero rows match its FEI, its DUNS or its firm name the next day. </w:t>
      </w:r>
      <w:r>
        <w:rPr>
          <w:rFonts w:ascii="Calibri" w:cs="Calibri" w:eastAsia="Calibri" w:hAnsi="Calibri"/>
          <w:b/>
          <w:bCs/>
          <w:i w:val="false"/>
          <w:iCs w:val="false"/>
          <w:color w:val="1A1A1A"/>
          <w:sz w:val="18"/>
          <w:szCs w:val="18"/>
        </w:rPr>
        <w:t xml:space="preserve">The FDA published no record of the departure.</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And the vanished row was fully NAMEABLE. </w:t>
      </w:r>
      <w:r>
        <w:rPr>
          <w:rFonts w:ascii="Calibri" w:cs="Calibri" w:eastAsia="Calibri" w:hAnsi="Calibri"/>
          <w:i w:val="false"/>
          <w:iCs w:val="false"/>
          <w:color w:val="1A1A1A"/>
          <w:sz w:val="18"/>
          <w:szCs w:val="18"/>
        </w:rPr>
        <w:t xml:space="preserve">Firm, address, two working emails, named US agent. That is precisely the property whose absence killed the DEVICE version of this idea — there, the missing records were anonymous integers.</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The contact data is the best in the file. </w:t>
      </w:r>
      <w:r>
        <w:rPr>
          <w:rFonts w:ascii="Calibri" w:cs="Calibri" w:eastAsia="Calibri" w:hAnsi="Calibri"/>
          <w:i w:val="false"/>
          <w:iCs w:val="false"/>
          <w:color w:val="1A1A1A"/>
          <w:sz w:val="18"/>
          <w:szCs w:val="18"/>
        </w:rPr>
        <w:t xml:space="preserve">100% email fill on two separate fields; 43,7% of rows yield a SECOND distinct human; 7.404 distinct inboxes. Across ~12 registers censused, most publish name and postal address only.</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Two of three blockers cleared favourably. </w:t>
      </w:r>
      <w:r>
        <w:rPr>
          <w:rFonts w:ascii="Calibri" w:cs="Calibri" w:eastAsia="Calibri" w:hAnsi="Calibri"/>
          <w:i w:val="false"/>
          <w:iCs w:val="false"/>
          <w:color w:val="1A1A1A"/>
          <w:sz w:val="18"/>
          <w:szCs w:val="18"/>
        </w:rPr>
        <w:t xml:space="preserve">21 CFR 207.69 makes the US agent a communications conduit, NOT the filer; 207.29 puts filing on the registrant and compels nobody to watch anyone else's status — the exact distinction that killed the device version.</w:t>
      </w:r>
    </w:p>
    <w:p>
      <w:pPr>
        <w:pBdr>
          <w:bottom w:val="single" w:color="C9D4E0" w:sz="5" w:space="2"/>
        </w:pBdr>
        <w:spacing w:after="36" w:before="74"/>
      </w:pPr>
      <w:r>
        <w:rPr>
          <w:rFonts w:ascii="Calibri" w:cs="Calibri" w:eastAsia="Calibri" w:hAnsi="Calibri"/>
          <w:b/>
          <w:bCs/>
          <w:color w:val="1F3A5F"/>
          <w:sz w:val="20"/>
          <w:szCs w:val="20"/>
        </w:rPr>
        <w:t xml:space="preserve">THE MONEY</w:t>
      </w:r>
    </w:p>
    <w:p>
      <w:pPr>
        <w:spacing w:after="52" w:before="0" w:line="214" w:lineRule="auto"/>
      </w:pPr>
      <w:r>
        <w:rPr>
          <w:rFonts w:ascii="Calibri" w:cs="Calibri" w:eastAsia="Calibri" w:hAnsi="Calibri"/>
          <w:b/>
          <w:bCs/>
          <w:i w:val="false"/>
          <w:iCs w:val="false"/>
          <w:color w:val="9B2C2C"/>
          <w:sz w:val="18"/>
          <w:szCs w:val="18"/>
        </w:rPr>
        <w:t xml:space="preserve">⚠ NO OBSERVED PRICE SUPPORTS A SUBSCRIPTION — this is the weakest part of the candidate. </w:t>
      </w:r>
      <w:r>
        <w:rPr>
          <w:rFonts w:ascii="Calibri" w:cs="Calibri" w:eastAsia="Calibri" w:hAnsi="Calibri"/>
          <w:i w:val="false"/>
          <w:iCs w:val="false"/>
          <w:color w:val="1A1A1A"/>
          <w:sz w:val="18"/>
          <w:szCs w:val="18"/>
        </w:rPr>
        <w:t xml:space="preserve">Every self-serve comparable in this space is an order of magnitude below target: fdadevicecheck.com at $19/mo (25 facilities) and $49/mo (250); Registrar Corp's monitor at $1,99/facility/month; full US-agent representation at $250–849 </w:t>
      </w:r>
      <w:r>
        <w:rPr>
          <w:rFonts w:ascii="Calibri" w:cs="Calibri" w:eastAsia="Calibri" w:hAnsi="Calibri"/>
          <w:b/>
          <w:bCs/>
          <w:i w:val="false"/>
          <w:iCs w:val="false"/>
          <w:color w:val="1A1A1A"/>
          <w:sz w:val="18"/>
          <w:szCs w:val="18"/>
        </w:rPr>
        <w:t xml:space="preserve">per year</w:t>
      </w:r>
      <w:r>
        <w:rPr>
          <w:rFonts w:ascii="Calibri" w:cs="Calibri" w:eastAsia="Calibri" w:hAnsi="Calibri"/>
          <w:i w:val="false"/>
          <w:iCs w:val="false"/>
          <w:color w:val="1A1A1A"/>
          <w:sz w:val="18"/>
          <w:szCs w:val="18"/>
        </w:rPr>
        <w:t xml:space="preserve">. The one high anchor — Redica/FDAzilla at </w:t>
      </w:r>
      <w:r>
        <w:rPr>
          <w:rFonts w:ascii="Calibri" w:cs="Calibri" w:eastAsia="Calibri" w:hAnsi="Calibri"/>
          <w:b/>
          <w:bCs/>
          <w:i w:val="false"/>
          <w:iCs w:val="false"/>
          <w:color w:val="1A1A1A"/>
          <w:sz w:val="18"/>
          <w:szCs w:val="18"/>
        </w:rPr>
        <w:t xml:space="preserve">$289 per document</w:t>
      </w:r>
      <w:r>
        <w:rPr>
          <w:rFonts w:ascii="Calibri" w:cs="Calibri" w:eastAsia="Calibri" w:hAnsi="Calibri"/>
          <w:i w:val="false"/>
          <w:iCs w:val="false"/>
          <w:color w:val="1A1A1A"/>
          <w:sz w:val="18"/>
          <w:szCs w:val="18"/>
        </w:rPr>
        <w:t xml:space="preserve"> — is per-document, not per-month, and supports an evidence-pack shape rather than a subscription. Redica sells inspection documents and </w:t>
      </w:r>
      <w:r>
        <w:rPr>
          <w:rFonts w:ascii="Calibri" w:cs="Calibri" w:eastAsia="Calibri" w:hAnsi="Calibri"/>
          <w:b/>
          <w:bCs/>
          <w:i w:val="false"/>
          <w:iCs w:val="false"/>
          <w:color w:val="1A1A1A"/>
          <w:sz w:val="18"/>
          <w:szCs w:val="18"/>
        </w:rPr>
        <w:t xml:space="preserve">no registration change-log.</w:t>
      </w:r>
      <w:r>
        <w:rPr>
          <w:rFonts w:ascii="Calibri" w:cs="Calibri" w:eastAsia="Calibri" w:hAnsi="Calibri"/>
          <w:i w:val="false"/>
          <w:iCs w:val="false"/>
          <w:color w:val="1A1A1A"/>
          <w:sz w:val="18"/>
          <w:szCs w:val="18"/>
        </w:rPr>
        <w:t xml:space="preserve"> Cost to run is ~$20/month, so the option is nearly free to hold; the revenue shape is unproven.</w:t>
      </w:r>
    </w:p>
    <w:p>
      <w:pPr>
        <w:pBdr>
          <w:bottom w:val="single" w:color="C9D4E0" w:sz="5" w:space="2"/>
        </w:pBdr>
        <w:spacing w:after="36" w:before="74"/>
      </w:pPr>
      <w:r>
        <w:rPr>
          <w:rFonts w:ascii="Calibri" w:cs="Calibri" w:eastAsia="Calibri" w:hAnsi="Calibri"/>
          <w:b/>
          <w:bCs/>
          <w:color w:val="1F3A5F"/>
          <w:sz w:val="20"/>
          <w:szCs w:val="20"/>
        </w:rPr>
        <w:t xml:space="preserve">THE BUYER</w:t>
      </w:r>
    </w:p>
    <w:p>
      <w:pPr>
        <w:spacing w:after="52" w:before="0" w:line="214" w:lineRule="auto"/>
      </w:pPr>
      <w:r>
        <w:rPr>
          <w:rFonts w:ascii="Calibri" w:cs="Calibri" w:eastAsia="Calibri" w:hAnsi="Calibri"/>
          <w:b/>
          <w:bCs/>
          <w:i w:val="false"/>
          <w:iCs w:val="false"/>
          <w:color w:val="1A1A1A"/>
          <w:sz w:val="18"/>
          <w:szCs w:val="18"/>
        </w:rPr>
        <w:t xml:space="preserve">⚠ The honest gap: WHO PAYS has never been measured. </w:t>
      </w:r>
      <w:r>
        <w:rPr>
          <w:rFonts w:ascii="Calibri" w:cs="Calibri" w:eastAsia="Calibri" w:hAnsi="Calibri"/>
          <w:i w:val="false"/>
          <w:iCs w:val="false"/>
          <w:color w:val="1A1A1A"/>
          <w:sz w:val="18"/>
          <w:szCs w:val="18"/>
        </w:rPr>
        <w:t xml:space="preserve">Zero job titles, zero pool size, zero observed buyers. The plausible sets are importers and labelers screening their supply chain, and regulatory-affairs teams — but she should sell to a third party watching a chain it does not file for, </w:t>
      </w:r>
      <w:r>
        <w:rPr>
          <w:rFonts w:ascii="Calibri" w:cs="Calibri" w:eastAsia="Calibri" w:hAnsi="Calibri"/>
          <w:b/>
          <w:bCs/>
          <w:i w:val="false"/>
          <w:iCs w:val="false"/>
          <w:color w:val="1A1A1A"/>
          <w:sz w:val="18"/>
          <w:szCs w:val="18"/>
        </w:rPr>
        <w:t xml:space="preserve">explicitly not to a US agent, </w:t>
      </w:r>
      <w:r>
        <w:rPr>
          <w:rFonts w:ascii="Calibri" w:cs="Calibri" w:eastAsia="Calibri" w:hAnsi="Calibri"/>
          <w:i w:val="false"/>
          <w:iCs w:val="false"/>
          <w:color w:val="1A1A1A"/>
          <w:sz w:val="18"/>
          <w:szCs w:val="18"/>
        </w:rPr>
        <w:t xml:space="preserve">since "you cannot sell a firm a monitor for its own outbox" killed the previous version. Registrar Corp appears as agent on </w:t>
      </w:r>
      <w:r>
        <w:rPr>
          <w:rFonts w:ascii="Calibri" w:cs="Calibri" w:eastAsia="Calibri" w:hAnsi="Calibri"/>
          <w:b/>
          <w:bCs/>
          <w:i w:val="false"/>
          <w:iCs w:val="false"/>
          <w:color w:val="1A1A1A"/>
          <w:sz w:val="18"/>
          <w:szCs w:val="18"/>
        </w:rPr>
        <w:t xml:space="preserve">427 rows covering 417 distinct FEIs</w:t>
      </w:r>
      <w:r>
        <w:rPr>
          <w:rFonts w:ascii="Calibri" w:cs="Calibri" w:eastAsia="Calibri" w:hAnsi="Calibri"/>
          <w:i w:val="false"/>
          <w:iCs w:val="false"/>
          <w:color w:val="1A1A1A"/>
          <w:sz w:val="18"/>
          <w:szCs w:val="18"/>
        </w:rPr>
        <w:t xml:space="preserve"> (recounted on all three banked days; the "418" recorded elsewhere in the repo is not reproducible and should be corrected).</w:t>
      </w:r>
    </w:p>
    <w:p>
      <w:pPr>
        <w:pBdr>
          <w:bottom w:val="single" w:color="C9D4E0" w:sz="5" w:space="2"/>
        </w:pBdr>
        <w:spacing w:after="36" w:before="74"/>
      </w:pPr>
      <w:r>
        <w:rPr>
          <w:rFonts w:ascii="Calibri" w:cs="Calibri" w:eastAsia="Calibri" w:hAnsi="Calibri"/>
          <w:b/>
          <w:bCs/>
          <w:color w:val="1F3A5F"/>
          <w:sz w:val="20"/>
          <w:szCs w:val="20"/>
        </w:rPr>
        <w:t xml:space="preserve">THE MOAT — STATED HONESTLY</w:t>
      </w:r>
    </w:p>
    <w:p>
      <w:pPr>
        <w:spacing w:after="52" w:before="0" w:line="214" w:lineRule="auto"/>
      </w:pPr>
      <w:r>
        <w:rPr>
          <w:rFonts w:ascii="Calibri" w:cs="Calibri" w:eastAsia="Calibri" w:hAnsi="Calibri"/>
          <w:b/>
          <w:bCs/>
          <w:i w:val="false"/>
          <w:iCs w:val="false"/>
          <w:color w:val="1A1A1A"/>
          <w:sz w:val="18"/>
          <w:szCs w:val="18"/>
        </w:rPr>
        <w:t xml:space="preserve">The weakest of the three, and it should be stated that way. </w:t>
      </w:r>
      <w:r>
        <w:rPr>
          <w:rFonts w:ascii="Calibri" w:cs="Calibri" w:eastAsia="Calibri" w:hAnsi="Calibri"/>
          <w:i w:val="false"/>
          <w:iCs w:val="false"/>
          <w:color w:val="1A1A1A"/>
          <w:sz w:val="18"/>
          <w:szCs w:val="18"/>
        </w:rPr>
        <w:t xml:space="preserve">The source is a static .gov file fetched by plain GET — the most crawlable shape there is. </w:t>
      </w:r>
      <w:r>
        <w:rPr>
          <w:rFonts w:ascii="Calibri" w:cs="Calibri" w:eastAsia="Calibri" w:hAnsi="Calibri"/>
          <w:b/>
          <w:bCs/>
          <w:i w:val="false"/>
          <w:iCs w:val="false"/>
          <w:color w:val="1A1A1A"/>
          <w:sz w:val="18"/>
          <w:szCs w:val="18"/>
        </w:rPr>
        <w:t xml:space="preserve">FOIA is a front door: </w:t>
      </w:r>
      <w:r>
        <w:rPr>
          <w:rFonts w:ascii="Calibri" w:cs="Calibri" w:eastAsia="Calibri" w:hAnsi="Calibri"/>
          <w:i w:val="false"/>
          <w:iCs w:val="false"/>
          <w:color w:val="1A1A1A"/>
          <w:sz w:val="18"/>
          <w:szCs w:val="18"/>
        </w:rPr>
        <w:t xml:space="preserve">for US federal registers the history is retrievable from the agency for the cost of a letter, so "nobody can back-fill it" is too strong. A 2020 snapshot is publicly purchasable, which means </w:t>
      </w:r>
      <w:r>
        <w:rPr>
          <w:rFonts w:ascii="Calibri" w:cs="Calibri" w:eastAsia="Calibri" w:hAnsi="Calibri"/>
          <w:b/>
          <w:bCs/>
          <w:i w:val="false"/>
          <w:iCs w:val="false"/>
          <w:color w:val="1A1A1A"/>
          <w:sz w:val="18"/>
          <w:szCs w:val="18"/>
        </w:rPr>
        <w:t xml:space="preserve">net change is back-fillable and only the ORDER AND DATES of changes are not. </w:t>
      </w:r>
      <w:r>
        <w:rPr>
          <w:rFonts w:ascii="Calibri" w:cs="Calibri" w:eastAsia="Calibri" w:hAnsi="Calibri"/>
          <w:i w:val="false"/>
          <w:iCs w:val="false"/>
          <w:color w:val="1A1A1A"/>
          <w:sz w:val="18"/>
          <w:szCs w:val="18"/>
        </w:rPr>
        <w:t xml:space="preserve">Archive risk is UNVERIFIED — web.archive.org has been unreachable for five consecutive days.</w:t>
      </w:r>
    </w:p>
    <w:p>
      <w:pPr>
        <w:pBdr>
          <w:bottom w:val="single" w:color="C9D4E0" w:sz="5" w:space="2"/>
        </w:pBdr>
        <w:spacing w:after="36" w:before="74"/>
      </w:pPr>
      <w:r>
        <w:rPr>
          <w:rFonts w:ascii="Calibri" w:cs="Calibri" w:eastAsia="Calibri" w:hAnsi="Calibri"/>
          <w:b/>
          <w:bCs/>
          <w:color w:val="1F3A5F"/>
          <w:sz w:val="20"/>
          <w:szCs w:val="20"/>
        </w:rPr>
        <w:t xml:space="preserve">WHAT MUST BE TRUE</w:t>
      </w:r>
    </w:p>
    <w:tbl>
      <w:tblPr>
        <w:tblW w:type="dxa" w:w="10800"/>
        <w:tblBorders>
          <w:top w:val="none"/>
          <w:left w:val="none"/>
          <w:bottom w:val="none"/>
          <w:right w:val="none"/>
          <w:insideH w:val="single" w:color="C9D4E0" w:sz="4"/>
          <w:insideV w:val="single" w:color="C9D4E0" w:sz="4"/>
        </w:tblBorders>
      </w:tblPr>
      <w:tblGrid>
        <w:gridCol w:w="3400"/>
        <w:gridCol w:w="4100"/>
        <w:gridCol w:w="3300"/>
      </w:tblGrid>
      <w:tr>
        <w:tc>
          <w:tcPr>
            <w:tcW w:type="dxa" w:w="340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Risk</w:t>
            </w:r>
          </w:p>
        </w:tc>
        <w:tc>
          <w:tcPr>
            <w:tcW w:type="dxa" w:w="410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Test</w:t>
            </w:r>
          </w:p>
        </w:tc>
        <w:tc>
          <w:tcPr>
            <w:tcW w:type="dxa" w:w="330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Pre-committed bar</w:t>
            </w:r>
          </w:p>
        </w:tc>
      </w:tr>
      <w:tr>
        <w:tc>
          <w:tcPr>
            <w:tcW w:type="dxa" w:w="34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1. Is anything already archiving it?</w:t>
            </w:r>
          </w:p>
        </w:tc>
        <w:tc>
          <w:tcPr>
            <w:tcW w:type="dxa" w:w="41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Wayback CDX query on drls_reg.zip</w:t>
            </w:r>
          </w:p>
        </w:tc>
        <w:tc>
          <w:tcPr>
            <w:tcW w:type="dxa" w:w="33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KILL if a dated back-series exists</w:t>
            </w:r>
          </w:p>
        </w:tc>
      </w:tr>
      <w:tr>
        <w:tc>
          <w:tcPr>
            <w:tcW w:type="dxa" w:w="34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2. Does it churn enough to matter?</w:t>
            </w:r>
          </w:p>
        </w:tc>
        <w:tc>
          <w:tcPr>
            <w:tcW w:type="dxa" w:w="41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Keep the daily diff running to 31 Dec</w:t>
            </w:r>
          </w:p>
        </w:tc>
        <w:tc>
          <w:tcPr>
            <w:tcW w:type="dxa" w:w="33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Q4 (1 Oct–31 Dec) is the annual review window — decide there</w:t>
            </w:r>
          </w:p>
        </w:tc>
      </w:tr>
      <w:tr>
        <w:tc>
          <w:tcPr>
            <w:tcW w:type="dxa" w:w="34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3. Does a cheap monitor already exist?</w:t>
            </w:r>
          </w:p>
        </w:tc>
        <w:tc>
          <w:tcPr>
            <w:tcW w:type="dxa" w:w="41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Search FDA registration-monitoring products</w:t>
            </w:r>
          </w:p>
        </w:tc>
        <w:tc>
          <w:tcPr>
            <w:tcW w:type="dxa" w:w="33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NEVER CHECKED. Do this before anything else</w:t>
            </w:r>
          </w:p>
        </w:tc>
      </w:tr>
      <w:tr>
        <w:tc>
          <w:tcPr>
            <w:tcW w:type="dxa" w:w="34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4. Will anyone pay?</w:t>
            </w:r>
          </w:p>
        </w:tc>
        <w:tc>
          <w:tcPr>
            <w:tcW w:type="dxa" w:w="41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Cold-email the labeler/importer side with one question</w:t>
            </w:r>
          </w:p>
        </w:tc>
        <w:tc>
          <w:tcPr>
            <w:tcW w:type="dxa" w:w="33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No job title identified yet — define the buyer first</w:t>
            </w:r>
          </w:p>
        </w:tc>
      </w:tr>
    </w:tbl>
    <w:p>
      <w:pPr>
        <w:pBdr>
          <w:bottom w:val="single" w:color="C9D4E0" w:sz="5" w:space="2"/>
        </w:pBdr>
        <w:spacing w:after="36" w:before="74"/>
      </w:pPr>
      <w:r>
        <w:rPr>
          <w:rFonts w:ascii="Calibri" w:cs="Calibri" w:eastAsia="Calibri" w:hAnsi="Calibri"/>
          <w:b/>
          <w:bCs/>
          <w:color w:val="1F3A5F"/>
          <w:sz w:val="20"/>
          <w:szCs w:val="20"/>
        </w:rPr>
        <w:t xml:space="preserve">FIRST MOVE</w:t>
      </w:r>
    </w:p>
    <w:p>
      <w:pPr>
        <w:spacing w:after="52" w:before="0" w:line="214" w:lineRule="auto"/>
      </w:pPr>
      <w:r>
        <w:rPr>
          <w:rFonts w:ascii="Calibri" w:cs="Calibri" w:eastAsia="Calibri" w:hAnsi="Calibri"/>
          <w:b/>
          <w:bCs/>
          <w:i w:val="false"/>
          <w:iCs w:val="false"/>
          <w:color w:val="1A1A1A"/>
          <w:sz w:val="18"/>
          <w:szCs w:val="18"/>
        </w:rPr>
        <w:t xml:space="preserve">The Wayback query — five minutes, $0. </w:t>
      </w:r>
      <w:r>
        <w:rPr>
          <w:rFonts w:ascii="Calibri" w:cs="Calibri" w:eastAsia="Calibri" w:hAnsi="Calibri"/>
          <w:i w:val="false"/>
          <w:iCs w:val="false"/>
          <w:color w:val="1A1A1A"/>
          <w:sz w:val="18"/>
          <w:szCs w:val="18"/>
        </w:rPr>
        <w:t xml:space="preserve">It decides whether the archive is worth anything at all. Then check for an existing sub-$50 monitor. </w:t>
      </w:r>
      <w:r>
        <w:rPr>
          <w:rFonts w:ascii="Calibri" w:cs="Calibri" w:eastAsia="Calibri" w:hAnsi="Calibri"/>
          <w:b/>
          <w:bCs/>
          <w:i w:val="false"/>
          <w:iCs w:val="false"/>
          <w:color w:val="1A1A1A"/>
          <w:sz w:val="18"/>
          <w:szCs w:val="18"/>
        </w:rPr>
        <w:t xml:space="preserve">Keep the cron running regardless: </w:t>
      </w:r>
      <w:r>
        <w:rPr>
          <w:rFonts w:ascii="Calibri" w:cs="Calibri" w:eastAsia="Calibri" w:hAnsi="Calibri"/>
          <w:i w:val="false"/>
          <w:iCs w:val="false"/>
          <w:color w:val="1A1A1A"/>
          <w:sz w:val="18"/>
          <w:szCs w:val="18"/>
        </w:rPr>
        <w:t xml:space="preserve">the Q4 churn window cannot be re-entered for twelve months.</w:t>
      </w:r>
    </w:p>
    <w:p>
      <w:pPr>
        <w:spacing w:after="0" w:before="34" w:line="214" w:lineRule="auto"/>
      </w:pPr>
      <w:r>
        <w:rPr>
          <w:rFonts w:ascii="Calibri" w:cs="Calibri" w:eastAsia="Calibri" w:hAnsi="Calibri"/>
          <w:i/>
          <w:iCs/>
          <w:color w:val="6B6B6B"/>
          <w:sz w:val="15"/>
          <w:szCs w:val="15"/>
        </w:rPr>
        <w:t xml:space="preserve">STATUS: three days banked (19, 20, 21 Aug) with SHA-256 manifests. Diffs: 19→20 +4/−0; 20→21 +3/−1 with one fully nameable removal. ⚠ One removal on one day could still be a deregistration, a correction, or a transient republish — the archive accumulates that answer daily.</w:t>
      </w:r>
    </w:p>
    <w:p>
      <w:r>
        <w:br w:type="page"/>
      </w:r>
    </w:p>
    <w:p>
      <w:pPr>
        <w:spacing w:after="10"/>
      </w:pPr>
      <w:r>
        <w:rPr>
          <w:rFonts w:ascii="Calibri" w:cs="Calibri" w:eastAsia="Calibri" w:hAnsi="Calibri"/>
          <w:b/>
          <w:bCs/>
          <w:color w:val="1F3A5F"/>
          <w:sz w:val="32"/>
          <w:szCs w:val="32"/>
        </w:rPr>
        <w:t xml:space="preserve">#3 · THE SCAN KEEPSAKE MACHINE</w:t>
      </w:r>
    </w:p>
    <w:p>
      <w:pPr>
        <w:spacing w:after="70" w:before="0" w:line="214" w:lineRule="auto"/>
      </w:pPr>
      <w:r>
        <w:rPr>
          <w:rFonts w:ascii="Calibri" w:cs="Calibri" w:eastAsia="Calibri" w:hAnsi="Calibri"/>
          <w:i/>
          <w:iCs/>
          <w:color w:val="46658A"/>
          <w:sz w:val="19"/>
          <w:szCs w:val="19"/>
        </w:rPr>
        <w:t xml:space="preserve">After a pregnancy ultrasound, the parents scan a QR code and buy a machine-made keepsake built from their own images — sold through the scan clinic, printed and shipped by a lab, with no prose written by anyone.</w:t>
      </w:r>
    </w:p>
    <w:p>
      <w:pPr>
        <w:pBdr>
          <w:bottom w:val="single" w:color="C9D4E0" w:sz="5" w:space="2"/>
        </w:pBdr>
        <w:spacing w:after="36" w:before="74"/>
      </w:pPr>
      <w:r>
        <w:rPr>
          <w:rFonts w:ascii="Calibri" w:cs="Calibri" w:eastAsia="Calibri" w:hAnsi="Calibri"/>
          <w:b/>
          <w:bCs/>
          <w:color w:val="1F3A5F"/>
          <w:sz w:val="20"/>
          <w:szCs w:val="20"/>
        </w:rPr>
        <w:t xml:space="preserve">WHAT IT IS</w:t>
      </w:r>
    </w:p>
    <w:p>
      <w:pPr>
        <w:spacing w:after="52" w:before="0" w:line="214" w:lineRule="auto"/>
      </w:pPr>
      <w:r>
        <w:rPr>
          <w:rFonts w:ascii="Calibri" w:cs="Calibri" w:eastAsia="Calibri" w:hAnsi="Calibri"/>
          <w:i w:val="false"/>
          <w:iCs w:val="false"/>
          <w:color w:val="1A1A1A"/>
          <w:sz w:val="18"/>
          <w:szCs w:val="18"/>
        </w:rPr>
        <w:t xml:space="preserve">The clinic displays a QR code. The mother uploads her own cropped scan images and a few details — the clinic transfers nothing, so no customer data or credentials ever pass through Sol. A pipeline produces the artifact: an enhanced portrait series, a heartbeat-soundwave print, a conception/birth star chart, name-and-dates typesetting. A print-on-demand lab fulfils and ships white-label. Two corridors: consumer in Brazil (R$349, clinic keeps ~R$70, paid by Pix) and wholesale to US/UK elective studios, invoiced per unit to the studio. Her role is QA and exception-handling, not authorship.</w:t>
      </w:r>
    </w:p>
    <w:p>
      <w:pPr>
        <w:pBdr>
          <w:bottom w:val="single" w:color="C9D4E0" w:sz="5" w:space="2"/>
        </w:pBdr>
        <w:spacing w:after="36" w:before="74"/>
      </w:pPr>
      <w:r>
        <w:rPr>
          <w:rFonts w:ascii="Calibri" w:cs="Calibri" w:eastAsia="Calibri" w:hAnsi="Calibri"/>
          <w:b/>
          <w:bCs/>
          <w:color w:val="1F3A5F"/>
          <w:sz w:val="20"/>
          <w:szCs w:val="20"/>
        </w:rPr>
        <w:t xml:space="preserve">WHY IT WORKS</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The kill-condition was designed out, not tested away. </w:t>
      </w:r>
      <w:r>
        <w:rPr>
          <w:rFonts w:ascii="Calibri" w:cs="Calibri" w:eastAsia="Calibri" w:hAnsi="Calibri"/>
          <w:i w:val="false"/>
          <w:iCs w:val="false"/>
          <w:color w:val="1A1A1A"/>
          <w:sz w:val="18"/>
          <w:szCs w:val="18"/>
        </w:rPr>
        <w:t xml:space="preserve">The original died on "does she write every book?" The answer: delete the prose. Enhanced portraits, soundwave prints and star charts are deterministic machine work per unit — the production ceiling is removed from the architecture rather than negotiated with.</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It threads the catalogue scissors — the only candidate that has. </w:t>
      </w:r>
      <w:r>
        <w:rPr>
          <w:rFonts w:ascii="Calibri" w:cs="Calibri" w:eastAsia="Calibri" w:hAnsi="Calibri"/>
          <w:i w:val="false"/>
          <w:iCs w:val="false"/>
          <w:color w:val="1A1A1A"/>
          <w:sz w:val="18"/>
          <w:szCs w:val="18"/>
        </w:rPr>
        <w:t xml:space="preserve">Incumbents split between generic blank albums in wholesale catalogues (no margin) and digital-only AI enhancement (BabyFlix — no printed product at all). The machine-personalised PRINTED artifact sits between them: custom enough to have margin, machine enough to need no hands.</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The subject cannot be photographed. </w:t>
      </w:r>
      <w:r>
        <w:rPr>
          <w:rFonts w:ascii="Calibri" w:cs="Calibri" w:eastAsia="Calibri" w:hAnsi="Calibri"/>
          <w:i w:val="false"/>
          <w:iCs w:val="false"/>
          <w:color w:val="1A1A1A"/>
          <w:sz w:val="18"/>
          <w:szCs w:val="18"/>
        </w:rPr>
        <w:t xml:space="preserve">A fetus has no free substitute, so the artifact monetises ACCESS rather than decoration. That is precisely why the pet, home and wedding versions of this structure ranked below it — a puppy competes with the adopter's phone from minute one.</w:t>
      </w:r>
    </w:p>
    <w:p>
      <w:pPr>
        <w:pStyle w:val="ListParagraph"/>
        <w:numPr>
          <w:ilvl w:val="0"/>
          <w:numId w:val="2"/>
        </w:numPr>
        <w:spacing w:after="34" w:line="212" w:lineRule="auto"/>
      </w:pPr>
      <w:r>
        <w:rPr>
          <w:rFonts w:ascii="Calibri" w:cs="Calibri" w:eastAsia="Calibri" w:hAnsi="Calibri"/>
          <w:b/>
          <w:bCs/>
          <w:i w:val="false"/>
          <w:iCs w:val="false"/>
          <w:color w:val="1A1A1A"/>
          <w:sz w:val="18"/>
          <w:szCs w:val="18"/>
        </w:rPr>
        <w:t xml:space="preserve">The channel already retails keepsakes at the emotional peak. </w:t>
      </w:r>
      <w:r>
        <w:rPr>
          <w:rFonts w:ascii="Calibri" w:cs="Calibri" w:eastAsia="Calibri" w:hAnsi="Calibri"/>
          <w:i w:val="false"/>
          <w:iCs w:val="false"/>
          <w:color w:val="1A1A1A"/>
          <w:sz w:val="18"/>
          <w:szCs w:val="18"/>
        </w:rPr>
        <w:t xml:space="preserve">Window to the Womb runs 35 franchised UK clinics under one HQ — one counterparty, 35 clinics — and already sells a £25 heartbeat bear as an in-scan add-on. Unit economics verified at source: Lulu premium colour casewrap 8.5×8.5, 40pp = </w:t>
      </w:r>
      <w:r>
        <w:rPr>
          <w:rFonts w:ascii="Calibri" w:cs="Calibri" w:eastAsia="Calibri" w:hAnsi="Calibri"/>
          <w:b/>
          <w:bCs/>
          <w:i w:val="false"/>
          <w:iCs w:val="false"/>
          <w:color w:val="1A1A1A"/>
          <w:sz w:val="18"/>
          <w:szCs w:val="18"/>
        </w:rPr>
        <w:t xml:space="preserve">$19,57 + $1,75 fulfilment,</w:t>
      </w:r>
      <w:r>
        <w:rPr>
          <w:rFonts w:ascii="Calibri" w:cs="Calibri" w:eastAsia="Calibri" w:hAnsi="Calibri"/>
          <w:i w:val="false"/>
          <w:iCs w:val="false"/>
          <w:color w:val="1A1A1A"/>
          <w:sz w:val="18"/>
          <w:szCs w:val="18"/>
        </w:rPr>
        <w:t xml:space="preserve"> white-label packing slip confirmed.</w:t>
      </w:r>
    </w:p>
    <w:p>
      <w:pPr>
        <w:pBdr>
          <w:bottom w:val="single" w:color="C9D4E0" w:sz="5" w:space="2"/>
        </w:pBdr>
        <w:spacing w:after="36" w:before="74"/>
      </w:pPr>
      <w:r>
        <w:rPr>
          <w:rFonts w:ascii="Calibri" w:cs="Calibri" w:eastAsia="Calibri" w:hAnsi="Calibri"/>
          <w:b/>
          <w:bCs/>
          <w:color w:val="1F3A5F"/>
          <w:sz w:val="20"/>
          <w:szCs w:val="20"/>
        </w:rPr>
        <w:t xml:space="preserve">THE MONEY</w:t>
      </w:r>
    </w:p>
    <w:p>
      <w:pPr>
        <w:spacing w:after="52" w:before="0" w:line="214" w:lineRule="auto"/>
      </w:pPr>
      <w:r>
        <w:rPr>
          <w:rFonts w:ascii="Calibri" w:cs="Calibri" w:eastAsia="Calibri" w:hAnsi="Calibri"/>
          <w:b/>
          <w:bCs/>
          <w:i w:val="false"/>
          <w:iCs w:val="false"/>
          <w:color w:val="9B2C2C"/>
          <w:sz w:val="18"/>
          <w:szCs w:val="18"/>
        </w:rPr>
        <w:t xml:space="preserve">⚠ The price is invented and the throughput is unobserved — this is the least-evidenced money on the board. </w:t>
      </w:r>
      <w:r>
        <w:rPr>
          <w:rFonts w:ascii="Calibri" w:cs="Calibri" w:eastAsia="Calibri" w:hAnsi="Calibri"/>
          <w:i w:val="false"/>
          <w:iCs w:val="false"/>
          <w:color w:val="1A1A1A"/>
          <w:sz w:val="18"/>
          <w:szCs w:val="18"/>
        </w:rPr>
        <w:t xml:space="preserve">Print cost is the only figure verified at source. The retail price, the per-studio volume and the attach rate are all unmeasured; the channel economics rest on </w:t>
      </w:r>
      <w:r>
        <w:rPr>
          <w:rFonts w:ascii="Calibri" w:cs="Calibri" w:eastAsia="Calibri" w:hAnsi="Calibri"/>
          <w:b/>
          <w:bCs/>
          <w:i w:val="false"/>
          <w:iCs w:val="false"/>
          <w:color w:val="1A1A1A"/>
          <w:sz w:val="18"/>
          <w:szCs w:val="18"/>
        </w:rPr>
        <w:t xml:space="preserve">one vendor's own marketing</w:t>
      </w:r>
      <w:r>
        <w:rPr>
          <w:rFonts w:ascii="Calibri" w:cs="Calibri" w:eastAsia="Calibri" w:hAnsi="Calibri"/>
          <w:i w:val="false"/>
          <w:iCs w:val="false"/>
          <w:color w:val="1A1A1A"/>
          <w:sz w:val="18"/>
          <w:szCs w:val="18"/>
        </w:rPr>
        <w:t xml:space="preserve"> (~1-in-3 attach, $17,50/unit studio profit — SECONDARY). English-language competitors are real and priced: Qeepsake $47,88/yr, Baby Notebook $99 + shipping, The Short Years from $129. </w:t>
      </w:r>
      <w:r>
        <w:rPr>
          <w:rFonts w:ascii="Calibri" w:cs="Calibri" w:eastAsia="Calibri" w:hAnsi="Calibri"/>
          <w:b/>
          <w:bCs/>
          <w:i w:val="false"/>
          <w:iCs w:val="false"/>
          <w:color w:val="1A1A1A"/>
          <w:sz w:val="18"/>
          <w:szCs w:val="18"/>
        </w:rPr>
        <w:t xml:space="preserve">Also flagged: </w:t>
      </w:r>
      <w:r>
        <w:rPr>
          <w:rFonts w:ascii="Calibri" w:cs="Calibri" w:eastAsia="Calibri" w:hAnsi="Calibri"/>
          <w:i w:val="false"/>
          <w:iCs w:val="false"/>
          <w:color w:val="1A1A1A"/>
          <w:sz w:val="18"/>
          <w:szCs w:val="18"/>
        </w:rPr>
        <w:t xml:space="preserve">the 8,1% export rate applies to services sold to buyers outside Brazil; the Brazilian consumer corridor is domestic and taxed differently.</w:t>
      </w:r>
    </w:p>
    <w:p>
      <w:pPr>
        <w:pBdr>
          <w:bottom w:val="single" w:color="C9D4E0" w:sz="5" w:space="2"/>
        </w:pBdr>
        <w:spacing w:after="36" w:before="74"/>
      </w:pPr>
      <w:r>
        <w:rPr>
          <w:rFonts w:ascii="Calibri" w:cs="Calibri" w:eastAsia="Calibri" w:hAnsi="Calibri"/>
          <w:b/>
          <w:bCs/>
          <w:color w:val="1F3A5F"/>
          <w:sz w:val="20"/>
          <w:szCs w:val="20"/>
        </w:rPr>
        <w:t xml:space="preserve">THE BUYER</w:t>
      </w:r>
    </w:p>
    <w:p>
      <w:pPr>
        <w:spacing w:after="52" w:before="0" w:line="214" w:lineRule="auto"/>
      </w:pPr>
      <w:r>
        <w:rPr>
          <w:rFonts w:ascii="Calibri" w:cs="Calibri" w:eastAsia="Calibri" w:hAnsi="Calibri"/>
          <w:b/>
          <w:bCs/>
          <w:i w:val="false"/>
          <w:iCs w:val="false"/>
          <w:color w:val="1A1A1A"/>
          <w:sz w:val="18"/>
          <w:szCs w:val="18"/>
        </w:rPr>
        <w:t xml:space="preserve">Two distinct buyers. </w:t>
      </w:r>
      <w:r>
        <w:rPr>
          <w:rFonts w:ascii="Calibri" w:cs="Calibri" w:eastAsia="Calibri" w:hAnsi="Calibri"/>
          <w:i w:val="false"/>
          <w:iCs w:val="false"/>
          <w:color w:val="1A1A1A"/>
          <w:sz w:val="18"/>
          <w:szCs w:val="18"/>
        </w:rPr>
        <w:t xml:space="preserve">Consumer corridor: the mother, at the moment of the scan, via the clinic's QR — no cold outreach, the clinic supplies the traffic and the face. Wholesale corridor: the studio owner or franchise HQ, reached in writing at the public booking inbox studios publish on their own sites. </w:t>
      </w:r>
      <w:r>
        <w:rPr>
          <w:rFonts w:ascii="Calibri" w:cs="Calibri" w:eastAsia="Calibri" w:hAnsi="Calibri"/>
          <w:b/>
          <w:bCs/>
          <w:i w:val="false"/>
          <w:iCs w:val="false"/>
          <w:color w:val="1A1A1A"/>
          <w:sz w:val="18"/>
          <w:szCs w:val="18"/>
        </w:rPr>
        <w:t xml:space="preserve">⚠ Neither the US elective-studio count nor its email fill-rate has ever been measured here. </w:t>
      </w:r>
      <w:r>
        <w:rPr>
          <w:rFonts w:ascii="Calibri" w:cs="Calibri" w:eastAsia="Calibri" w:hAnsi="Calibri"/>
          <w:i w:val="false"/>
          <w:iCs w:val="false"/>
          <w:color w:val="1A1A1A"/>
          <w:sz w:val="18"/>
          <w:szCs w:val="18"/>
        </w:rPr>
        <w:t xml:space="preserve">The one measured channel fact is that a single UK franchise HQ covers 35 clinics — which is why one signing matters more than ten.</w:t>
      </w:r>
    </w:p>
    <w:p>
      <w:pPr>
        <w:pBdr>
          <w:bottom w:val="single" w:color="C9D4E0" w:sz="5" w:space="2"/>
        </w:pBdr>
        <w:spacing w:after="36" w:before="74"/>
      </w:pPr>
      <w:r>
        <w:rPr>
          <w:rFonts w:ascii="Calibri" w:cs="Calibri" w:eastAsia="Calibri" w:hAnsi="Calibri"/>
          <w:b/>
          <w:bCs/>
          <w:color w:val="1F3A5F"/>
          <w:sz w:val="20"/>
          <w:szCs w:val="20"/>
        </w:rPr>
        <w:t xml:space="preserve">THE MOAT — STATED HONESTLY</w:t>
      </w:r>
    </w:p>
    <w:p>
      <w:pPr>
        <w:spacing w:after="52" w:before="0" w:line="214" w:lineRule="auto"/>
      </w:pPr>
      <w:r>
        <w:rPr>
          <w:rFonts w:ascii="Calibri" w:cs="Calibri" w:eastAsia="Calibri" w:hAnsi="Calibri"/>
          <w:b/>
          <w:bCs/>
          <w:i w:val="false"/>
          <w:iCs w:val="false"/>
          <w:color w:val="1A1A1A"/>
          <w:sz w:val="18"/>
          <w:szCs w:val="18"/>
        </w:rPr>
        <w:t xml:space="preserve">The thinnest of the three: a signed channel, and nothing more. </w:t>
      </w:r>
      <w:r>
        <w:rPr>
          <w:rFonts w:ascii="Calibri" w:cs="Calibri" w:eastAsia="Calibri" w:hAnsi="Calibri"/>
          <w:i w:val="false"/>
          <w:iCs w:val="false"/>
          <w:color w:val="1A1A1A"/>
          <w:sz w:val="18"/>
          <w:szCs w:val="18"/>
        </w:rPr>
        <w:t xml:space="preserve">There is no accumulating asset and no erasure — if she stops, nothing compounds. </w:t>
      </w:r>
      <w:r>
        <w:rPr>
          <w:rFonts w:ascii="Calibri" w:cs="Calibri" w:eastAsia="Calibri" w:hAnsi="Calibri"/>
          <w:b/>
          <w:bCs/>
          <w:i w:val="false"/>
          <w:iCs w:val="false"/>
          <w:color w:val="1A1A1A"/>
          <w:sz w:val="18"/>
          <w:szCs w:val="18"/>
        </w:rPr>
        <w:t xml:space="preserve">BabyFlix could add print with one integration</w:t>
      </w:r>
      <w:r>
        <w:rPr>
          <w:rFonts w:ascii="Calibri" w:cs="Calibri" w:eastAsia="Calibri" w:hAnsi="Calibri"/>
          <w:i w:val="false"/>
          <w:iCs w:val="false"/>
          <w:color w:val="1A1A1A"/>
          <w:sz w:val="18"/>
          <w:szCs w:val="18"/>
        </w:rPr>
        <w:t xml:space="preserve">, so the durable position is the exclusivity of the channel relationship, not the technology. The offsetting advantage is speed: it is the only candidate whose central risk she can settle alone in a week, and the only one where her own eye for how something should look is an input rather than a liability.</w:t>
      </w:r>
    </w:p>
    <w:p>
      <w:pPr>
        <w:pBdr>
          <w:bottom w:val="single" w:color="C9D4E0" w:sz="5" w:space="2"/>
        </w:pBdr>
        <w:spacing w:after="36" w:before="74"/>
      </w:pPr>
      <w:r>
        <w:rPr>
          <w:rFonts w:ascii="Calibri" w:cs="Calibri" w:eastAsia="Calibri" w:hAnsi="Calibri"/>
          <w:b/>
          <w:bCs/>
          <w:color w:val="1F3A5F"/>
          <w:sz w:val="20"/>
          <w:szCs w:val="20"/>
        </w:rPr>
        <w:t xml:space="preserve">WHAT MUST BE TRUE</w:t>
      </w:r>
    </w:p>
    <w:tbl>
      <w:tblPr>
        <w:tblW w:type="dxa" w:w="10800"/>
        <w:tblBorders>
          <w:top w:val="none"/>
          <w:left w:val="none"/>
          <w:bottom w:val="none"/>
          <w:right w:val="none"/>
          <w:insideH w:val="single" w:color="C9D4E0" w:sz="4"/>
          <w:insideV w:val="single" w:color="C9D4E0" w:sz="4"/>
        </w:tblBorders>
      </w:tblPr>
      <w:tblGrid>
        <w:gridCol w:w="3400"/>
        <w:gridCol w:w="4100"/>
        <w:gridCol w:w="3300"/>
      </w:tblGrid>
      <w:tr>
        <w:tc>
          <w:tcPr>
            <w:tcW w:type="dxa" w:w="340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Risk</w:t>
            </w:r>
          </w:p>
        </w:tc>
        <w:tc>
          <w:tcPr>
            <w:tcW w:type="dxa" w:w="410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Test</w:t>
            </w:r>
          </w:p>
        </w:tc>
        <w:tc>
          <w:tcPr>
            <w:tcW w:type="dxa" w:w="3300"/>
            <w:shd w:fill="EEF2F7" w:val="clear"/>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Pre-committed bar</w:t>
            </w:r>
          </w:p>
        </w:tc>
      </w:tr>
      <w:tr>
        <w:tc>
          <w:tcPr>
            <w:tcW w:type="dxa" w:w="34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1. Is it really machine work?</w:t>
            </w:r>
          </w:p>
        </w:tc>
        <w:tc>
          <w:tcPr>
            <w:tcW w:type="dxa" w:w="41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20 real scan images end-to-end; stopwatch the human minutes</w:t>
            </w:r>
          </w:p>
        </w:tc>
        <w:tc>
          <w:tcPr>
            <w:tcW w:type="dxa" w:w="33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KILL median &gt;5 min/unit or &lt;14/20 shippable. PASS ≤3 min and ≥18/20</w:t>
            </w:r>
          </w:p>
        </w:tc>
      </w:tr>
      <w:tr>
        <w:tc>
          <w:tcPr>
            <w:tcW w:type="dxa" w:w="34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2. Will a studio stock it?</w:t>
            </w:r>
          </w:p>
        </w:tc>
        <w:tc>
          <w:tcPr>
            <w:tcW w:type="dxa" w:w="41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Email 30 studios: do you sell any printed keepsake, would you stock a fulfilled line?</w:t>
            </w:r>
          </w:p>
        </w:tc>
        <w:tc>
          <w:tcPr>
            <w:tcW w:type="dxa" w:w="33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Count replies containing a yes or a number</w:t>
            </w:r>
          </w:p>
        </w:tc>
      </w:tr>
      <w:tr>
        <w:tc>
          <w:tcPr>
            <w:tcW w:type="dxa" w:w="3400"/>
            <w:tcMar>
              <w:top w:type="dxa" w:w="20"/>
              <w:left w:type="dxa" w:w="52"/>
              <w:bottom w:type="dxa" w:w="20"/>
              <w:right w:type="dxa" w:w="52"/>
            </w:tcMar>
          </w:tcPr>
          <w:p>
            <w:pPr>
              <w:spacing w:after="0" w:line="212" w:lineRule="auto"/>
            </w:pPr>
            <w:r>
              <w:rPr>
                <w:rFonts w:ascii="Calibri" w:cs="Calibri" w:eastAsia="Calibri" w:hAnsi="Calibri"/>
                <w:b/>
                <w:bCs/>
                <w:i w:val="false"/>
                <w:iCs w:val="false"/>
                <w:color w:val="1A1A1A"/>
                <w:sz w:val="17"/>
                <w:szCs w:val="17"/>
              </w:rPr>
              <w:t xml:space="preserve">3. What does it actually sell for?</w:t>
            </w:r>
          </w:p>
        </w:tc>
        <w:tc>
          <w:tcPr>
            <w:tcW w:type="dxa" w:w="41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Price 20 comparable personalised printed keepsakes at observed retail</w:t>
            </w:r>
          </w:p>
        </w:tc>
        <w:tc>
          <w:tcPr>
            <w:tcW w:type="dxa" w:w="3300"/>
            <w:tcMar>
              <w:top w:type="dxa" w:w="20"/>
              <w:left w:type="dxa" w:w="52"/>
              <w:bottom w:type="dxa" w:w="20"/>
              <w:right w:type="dxa" w:w="52"/>
            </w:tcMar>
          </w:tcPr>
          <w:p>
            <w:pPr>
              <w:spacing w:after="0" w:line="212" w:lineRule="auto"/>
            </w:pPr>
            <w:r>
              <w:rPr>
                <w:rFonts w:ascii="Calibri" w:cs="Calibri" w:eastAsia="Calibri" w:hAnsi="Calibri"/>
                <w:i w:val="false"/>
                <w:iCs w:val="false"/>
                <w:color w:val="1A1A1A"/>
                <w:sz w:val="17"/>
                <w:szCs w:val="17"/>
              </w:rPr>
              <w:t xml:space="preserve">No price on this page is observed — establish the band before quoting</w:t>
            </w:r>
          </w:p>
        </w:tc>
      </w:tr>
    </w:tbl>
    <w:p>
      <w:pPr>
        <w:pBdr>
          <w:bottom w:val="single" w:color="C9D4E0" w:sz="5" w:space="2"/>
        </w:pBdr>
        <w:spacing w:after="36" w:before="74"/>
      </w:pPr>
      <w:r>
        <w:rPr>
          <w:rFonts w:ascii="Calibri" w:cs="Calibri" w:eastAsia="Calibri" w:hAnsi="Calibri"/>
          <w:b/>
          <w:bCs/>
          <w:color w:val="1F3A5F"/>
          <w:sz w:val="20"/>
          <w:szCs w:val="20"/>
        </w:rPr>
        <w:t xml:space="preserve">FIRST MOVE</w:t>
      </w:r>
    </w:p>
    <w:p>
      <w:pPr>
        <w:spacing w:after="52" w:before="0" w:line="214" w:lineRule="auto"/>
      </w:pPr>
      <w:r>
        <w:rPr>
          <w:rFonts w:ascii="Calibri" w:cs="Calibri" w:eastAsia="Calibri" w:hAnsi="Calibri"/>
          <w:b/>
          <w:bCs/>
          <w:i w:val="false"/>
          <w:iCs w:val="false"/>
          <w:color w:val="1A1A1A"/>
          <w:sz w:val="18"/>
          <w:szCs w:val="18"/>
        </w:rPr>
        <w:t xml:space="preserve">The 20-image stopwatch — $0, one week, roughly 6–8 hours of her own time. </w:t>
      </w:r>
      <w:r>
        <w:rPr>
          <w:rFonts w:ascii="Calibri" w:cs="Calibri" w:eastAsia="Calibri" w:hAnsi="Calibri"/>
          <w:i w:val="false"/>
          <w:iCs w:val="false"/>
          <w:color w:val="1A1A1A"/>
          <w:sz w:val="18"/>
          <w:szCs w:val="18"/>
        </w:rPr>
        <w:t xml:space="preserve">It needs no counterparty and no replies, so it can run in the same week as the other two candidates' tests without competing for anything.</w:t>
      </w:r>
    </w:p>
    <w:p>
      <w:pPr>
        <w:spacing w:after="0" w:before="34" w:line="214" w:lineRule="auto"/>
      </w:pPr>
      <w:r>
        <w:rPr>
          <w:rFonts w:ascii="Calibri" w:cs="Calibri" w:eastAsia="Calibri" w:hAnsi="Calibri"/>
          <w:i/>
          <w:iCs/>
          <w:color w:val="6B6B6B"/>
          <w:sz w:val="15"/>
          <w:szCs w:val="15"/>
        </w:rPr>
        <w:t xml:space="preserve">STATUS: nothing built or banked. This is the only candidate on the board with no asset accumulating — which is also why its test is the fastest and cheapest to run.</w:t>
      </w:r>
    </w:p>
    <w:sectPr>
      <w:pgSz w:w="12240" w:h="15840" w:orient="portrait"/>
      <w:pgMar w:top="500" w:right="620" w:bottom="46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200" w:hanging="1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2026-08-21T14:21:46.303Z</dcterms:created>
  <dcterms:modified xsi:type="dcterms:W3CDTF">2026-08-21T14:21:46.304Z</dcterms:modified>
</cp:coreProperties>
</file>

<file path=docProps/custom.xml><?xml version="1.0" encoding="utf-8"?>
<Properties xmlns="http://schemas.openxmlformats.org/officeDocument/2006/custom-properties" xmlns:vt="http://schemas.openxmlformats.org/officeDocument/2006/docPropsVTypes"/>
</file>