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40"/>
      </w:pPr>
      <w:r>
        <w:rPr>
          <w:b/>
          <w:bCs/>
          <w:caps/>
          <w:color w:val="0A6E4C"/>
          <w:sz w:val="24"/>
          <w:szCs w:val="24"/>
        </w:rPr>
        <w:t xml:space="preserve">CANONICAL BUSINESS &amp; OPERATING PLAN</w:t>
      </w:r>
    </w:p>
    <w:p>
      <w:pPr>
        <w:spacing w:after="60"/>
      </w:pPr>
      <w:r>
        <w:rPr>
          <w:b/>
          <w:bCs/>
          <w:color w:val="0B4A36"/>
          <w:sz w:val="96"/>
          <w:szCs w:val="96"/>
        </w:rPr>
        <w:t xml:space="preserve">CAIXA CHEIA</w:t>
      </w:r>
    </w:p>
    <w:p>
      <w:pPr>
        <w:spacing w:after="300"/>
      </w:pPr>
      <w:r>
        <w:rPr>
          <w:b/>
          <w:bCs/>
          <w:color w:val="0A6E4C"/>
          <w:sz w:val="56"/>
          <w:szCs w:val="56"/>
        </w:rPr>
        <w:t xml:space="preserve">v5</w:t>
      </w:r>
    </w:p>
    <w:p>
      <w:pPr>
        <w:spacing w:after="60"/>
      </w:pPr>
      <w:r>
        <w:rPr>
          <w:color w:val="141414"/>
          <w:sz w:val="30"/>
          <w:szCs w:val="30"/>
        </w:rPr>
        <w:t xml:space="preserve">Fail-closed reactivation, prepaid fulfillment, and results-only pricing</w:t>
      </w:r>
    </w:p>
    <w:p>
      <w:pPr>
        <w:spacing w:after="420"/>
      </w:pPr>
      <w:r>
        <w:rPr>
          <w:color w:val="141414"/>
          <w:sz w:val="30"/>
          <w:szCs w:val="30"/>
        </w:rPr>
        <w:t xml:space="preserve">for Brazil’s premium non-medical beauty businesses</w:t>
      </w:r>
    </w:p>
    <w:p>
      <w:pPr>
        <w:spacing w:after="700"/>
      </w:pPr>
      <w:r>
        <w:rPr>
          <w:color w:val="5B6B66"/>
          <w:sz w:val="24"/>
          <w:szCs w:val="24"/>
        </w:rPr>
        <w:t xml:space="preserve">São Paulo  ·  24 July 2026</w:t>
      </w:r>
    </w:p>
    <w:tbl>
      <w:tblPr>
        <w:tblW w:type="dxa" w:w="9360"/>
        <w:tblBorders>
          <w:top w:val="none"/>
          <w:left w:val="single" w:color="8A4B0B" w:sz="24"/>
          <w:bottom w:val="none"/>
          <w:right w:val="none"/>
          <w:insideH w:val="none"/>
          <w:insideV w:val="none"/>
        </w:tblBorders>
      </w:tblPr>
      <w:tblGrid>
        <w:gridCol w:w="9360"/>
      </w:tblGrid>
      <w:tr>
        <w:tc>
          <w:tcPr>
            <w:tcW w:type="dxa" w:w="9360"/>
            <w:shd w:fill="F4F1EA" w:val="clear"/>
            <w:tcMar>
              <w:top w:type="dxa" w:w="140"/>
              <w:left w:type="dxa" w:w="220"/>
              <w:bottom w:type="dxa" w:w="140"/>
              <w:right w:type="dxa" w:w="220"/>
            </w:tcMar>
          </w:tcPr>
          <w:p>
            <w:pPr>
              <w:spacing w:after="160" w:line="360"/>
            </w:pPr>
            <w:r>
              <w:rPr>
                <w:b/>
                <w:bCs/>
                <w:color w:val="141414"/>
              </w:rPr>
              <w:t xml:space="preserve">Internal working plan. </w:t>
            </w:r>
            <w:r>
              <w:rPr>
                <w:color w:val="141414"/>
              </w:rPr>
              <w:t xml:space="preserve">Provider, legal, security, data, fulfillment and cash gates control release — not dates. Every provider fact cited here carries a source in Part XIII and must be re-verified against primary documentation immediately before implementation, because these APIs and policies change.</w:t>
            </w:r>
          </w:p>
        </w:tc>
      </w:tr>
    </w:tbl>
    <w:p>
      <w:r>
        <w:br w:type="page"/>
      </w:r>
    </w:p>
    <w:p>
      <w:pPr>
        <w:pStyle w:val="Heading1"/>
        <w:spacing w:after="200" w:before="360"/>
      </w:pPr>
      <w:r>
        <w:rPr>
          <w:b/>
          <w:bCs/>
          <w:color w:val="0B4A36"/>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tbl>
      <w:tblPr>
        <w:tblW w:type="dxa" w:w="9360"/>
        <w:tblBorders>
          <w:top w:val="none"/>
          <w:left w:val="none"/>
          <w:bottom w:val="none"/>
          <w:right w:val="none"/>
          <w:insideH w:val="none"/>
          <w:insideV w:val="none"/>
        </w:tblBorders>
      </w:tblPr>
      <w:tblGrid>
        <w:gridCol w:w="9360"/>
      </w:tblGrid>
      <w:tr>
        <w:tc>
          <w:tcPr>
            <w:tcW w:type="dxa" w:w="9360"/>
            <w:shd w:fill="0B4A36" w:val="clear"/>
            <w:tcMar>
              <w:top w:type="dxa" w:w="260"/>
              <w:left w:type="dxa" w:w="300"/>
              <w:bottom w:type="dxa" w:w="260"/>
              <w:right w:type="dxa" w:w="300"/>
            </w:tcMar>
          </w:tcPr>
          <w:p>
            <w:pPr>
              <w:spacing w:after="80"/>
            </w:pPr>
            <w:r>
              <w:rPr>
                <w:b/>
                <w:bCs/>
                <w:caps/>
                <w:color w:val="BFE3D3"/>
                <w:sz w:val="22"/>
                <w:szCs w:val="22"/>
              </w:rPr>
              <w:t xml:space="preserve">Part 0</w:t>
            </w:r>
          </w:p>
          <w:p>
            <w:pPr>
              <w:spacing w:after="0"/>
            </w:pPr>
            <w:r>
              <w:rPr>
                <w:b/>
                <w:bCs/>
                <w:color w:val="FFFFFF"/>
                <w:sz w:val="40"/>
                <w:szCs w:val="40"/>
              </w:rPr>
              <w:t xml:space="preserve">The decision, in one page</w:t>
            </w:r>
          </w:p>
        </w:tc>
      </w:tr>
    </w:tbl>
    <w:p>
      <w:pPr>
        <w:spacing w:after="60"/>
      </w:pPr>
    </w:p>
    <w:p>
      <w:pPr>
        <w:pStyle w:val="Heading1"/>
        <w:spacing w:after="200" w:before="360"/>
      </w:pPr>
      <w:r>
        <w:rPr>
          <w:b/>
          <w:bCs/>
          <w:color w:val="0B4A36"/>
        </w:rPr>
        <w:t xml:space="preserve">§0 · What this is</w:t>
      </w:r>
    </w:p>
    <w:p>
      <w:pPr>
        <w:spacing w:after="160" w:line="360"/>
      </w:pPr>
      <w:r>
        <w:rPr>
          <w:color w:val="141414"/>
        </w:rPr>
        <w:t xml:space="preserve">Caixa Cheia sells one thing: </w:t>
      </w:r>
      <w:r>
        <w:rPr>
          <w:b/>
          <w:bCs/>
          <w:color w:val="141414"/>
        </w:rPr>
        <w:t xml:space="preserve">a managed prepaid win-back campaign, priced only on money that actually lands.</w:t>
      </w:r>
    </w:p>
    <w:tbl>
      <w:tblPr>
        <w:tblW w:type="dxa" w:w="9360"/>
        <w:tblBorders>
          <w:top w:val="none"/>
          <w:left w:val="single" w:color="1D6B4F" w:sz="24"/>
          <w:bottom w:val="none"/>
          <w:right w:val="none"/>
          <w:insideH w:val="none"/>
          <w:insideV w:val="none"/>
        </w:tblBorders>
      </w:tblPr>
      <w:tblGrid>
        <w:gridCol w:w="9360"/>
      </w:tblGrid>
      <w:tr>
        <w:tc>
          <w:tcPr>
            <w:tcW w:type="dxa" w:w="9360"/>
            <w:shd w:fill="EEF5F1" w:val="clear"/>
            <w:tcMar>
              <w:top w:type="dxa" w:w="140"/>
              <w:left w:type="dxa" w:w="220"/>
              <w:bottom w:type="dxa" w:w="140"/>
              <w:right w:type="dxa" w:w="220"/>
            </w:tcMar>
          </w:tcPr>
          <w:p>
            <w:pPr>
              <w:spacing w:after="160" w:line="360"/>
            </w:pPr>
            <w:r>
              <w:rPr>
                <w:i/>
                <w:iCs/>
                <w:color w:val="0A6E4C"/>
              </w:rPr>
              <w:t xml:space="preserve">“Eu trago suas clientes de volta com uma oferta paga. Você paga 20% só do valor líquido que realmente entrar pelo checkout da campanha. Estornou? Nossa parte volta junto.”</w:t>
            </w:r>
          </w:p>
        </w:tc>
      </w:tr>
    </w:tbl>
    <w:p>
      <w:pPr>
        <w:spacing w:after="160" w:line="360"/>
      </w:pPr>
      <w:r>
        <w:rPr>
          <w:color w:val="141414"/>
        </w:rPr>
        <w:t xml:space="preserve">The founder is one non-technical woman directing an AI coding tool. Everything below exists to make that survivable: the software owns known state transitions, the salon owns its customers, and every ambiguous condition stops instead of guessing.</w:t>
      </w:r>
    </w:p>
    <w:p>
      <w:pPr>
        <w:spacing w:after="60"/>
      </w:pPr>
    </w:p>
    <w:p>
      <w:pPr>
        <w:pStyle w:val="Heading1"/>
        <w:spacing w:after="200" w:before="360"/>
      </w:pPr>
      <w:r>
        <w:rPr>
          <w:b/>
          <w:bCs/>
          <w:color w:val="0B4A36"/>
        </w:rPr>
        <w:t xml:space="preserve">§0.1 · The loop</w:t>
      </w:r>
    </w:p>
    <w:p>
      <w:pPr>
        <w:spacing w:after="160" w:line="360"/>
      </w:pPr>
      <w:r>
        <w:rPr>
          <w:color w:val="141414"/>
        </w:rPr>
        <w:t xml:space="preserve">v4 described a blast and a Pix link. That was incomplete in a way that mattered. v5 is the closed loop:</w:t>
      </w:r>
    </w:p>
    <w:tbl>
      <w:tblPr>
        <w:tblW w:type="dxa" w:w="9360"/>
        <w:tblBorders>
          <w:top w:val="none"/>
          <w:left w:val="single" w:color="1D6B4F" w:sz="24"/>
          <w:bottom w:val="none"/>
          <w:right w:val="none"/>
          <w:insideH w:val="none"/>
          <w:insideV w:val="none"/>
        </w:tblBorders>
      </w:tblPr>
      <w:tblGrid>
        <w:gridCol w:w="9360"/>
      </w:tblGrid>
      <w:tr>
        <w:tc>
          <w:tcPr>
            <w:tcW w:type="dxa" w:w="9360"/>
            <w:shd w:fill="EEF5F1" w:val="clear"/>
            <w:tcMar>
              <w:top w:type="dxa" w:w="140"/>
              <w:left w:type="dxa" w:w="220"/>
              <w:bottom w:type="dxa" w:w="140"/>
              <w:right w:type="dxa" w:w="220"/>
            </w:tcMar>
          </w:tcPr>
          <w:p>
            <w:pPr>
              <w:spacing w:after="160" w:line="360"/>
            </w:pPr>
            <w:r>
              <w:rPr>
                <w:rFonts w:ascii="Consolas" w:cs="Consolas" w:eastAsia="Consolas" w:hAnsi="Consolas"/>
                <w:color w:val="0A6E4C"/>
                <w:sz w:val="21"/>
                <w:szCs w:val="21"/>
              </w:rPr>
              <w:t xml:space="preserve">authorized data → eligible audience → owner-approved offer + manifest → send from the salon’s own number → stable offer page → just-in-time Pix checkout → authenticated settlement → voucher + reception task → booking → redemption or refund → statement → next eligible cohort</w:t>
            </w:r>
          </w:p>
        </w:tc>
      </w:tr>
    </w:tbl>
    <w:p>
      <w:pPr>
        <w:spacing w:after="60"/>
      </w:pPr>
    </w:p>
    <w:p>
      <w:pPr>
        <w:pStyle w:val="Heading1"/>
        <w:spacing w:after="200" w:before="360"/>
      </w:pPr>
      <w:r>
        <w:rPr>
          <w:b/>
          <w:bCs/>
          <w:color w:val="0B4A36"/>
        </w:rPr>
        <w:t xml:space="preserve">§0.2 · The error v5 found, and why it is the whole reason for this version</w:t>
      </w:r>
    </w:p>
    <w:tbl>
      <w:tblPr>
        <w:tblW w:type="dxa" w:w="9360"/>
        <w:tblBorders>
          <w:top w:val="none"/>
          <w:left w:val="single" w:color="8A1C1C" w:sz="24"/>
          <w:bottom w:val="none"/>
          <w:right w:val="none"/>
          <w:insideH w:val="none"/>
          <w:insideV w:val="none"/>
        </w:tblBorders>
      </w:tblPr>
      <w:tblGrid>
        <w:gridCol w:w="9360"/>
      </w:tblGrid>
      <w:tr>
        <w:tc>
          <w:tcPr>
            <w:tcW w:type="dxa" w:w="9360"/>
            <w:shd w:fill="FBF0EE" w:val="clear"/>
            <w:tcMar>
              <w:top w:type="dxa" w:w="140"/>
              <w:left w:type="dxa" w:w="220"/>
              <w:bottom w:type="dxa" w:w="140"/>
              <w:right w:type="dxa" w:w="220"/>
            </w:tcMar>
          </w:tcPr>
          <w:p>
            <w:pPr>
              <w:spacing w:after="160" w:line="360"/>
            </w:pPr>
            <w:r>
              <w:rPr>
                <w:b/>
                <w:bCs/>
                <w:color w:val="141414"/>
              </w:rPr>
              <w:t xml:space="preserve">v4 excluded every client holding unused prepaid credit — and then made selling new prepaid credit its only revenue event.</w:t>
            </w:r>
          </w:p>
          <w:p>
            <w:pPr>
              <w:spacing w:after="160" w:line="360"/>
            </w:pPr>
            <w:r>
              <w:rPr>
                <w:color w:val="141414"/>
              </w:rPr>
              <w:t xml:space="preserve">Under CPC 47 an unredeemed voucher is a liability the salon owes its client, never a receivable. v4 correctly refused to contact clients in that state. It then designed a product whose every sale creates one more client in exactly that state, and stopped tracking at "money settled, fee split." No booking, no redemption, no expiry, no refund path.</w:t>
            </w:r>
          </w:p>
          <w:p>
            <w:pPr>
              <w:spacing w:after="160" w:line="360"/>
            </w:pPr>
            <w:r>
              <w:rPr>
                <w:color w:val="141414"/>
              </w:rPr>
              <w:t xml:space="preserve">That is not a missing feature. It is a hole in the middle of the business: it poisons future audiences, strands paying customers, and puts consumer-law exposure on the salon under the founder’s campaign. Everything in Part V exists to close it.</w:t>
            </w:r>
          </w:p>
        </w:tc>
      </w:tr>
    </w:tbl>
    <w:p>
      <w:pPr>
        <w:spacing w:after="60"/>
      </w:pPr>
    </w:p>
    <w:p>
      <w:pPr>
        <w:pStyle w:val="Heading1"/>
        <w:spacing w:after="200" w:before="360"/>
      </w:pPr>
      <w:r>
        <w:rPr>
          <w:b/>
          <w:bCs/>
          <w:color w:val="0B4A36"/>
        </w:rPr>
        <w:t xml:space="preserve">§0.3 · What stays locked</w:t>
      </w:r>
    </w:p>
    <w:p>
      <w:pPr>
        <w:spacing w:after="160" w:line="360"/>
      </w:pPr>
      <w:r>
        <w:rPr>
          <w:color w:val="141414"/>
        </w:rPr>
        <w:t xml:space="preserve">These survived three independent hostile-diligence rounds and are not reopened in this document.</w:t>
      </w:r>
    </w:p>
    <w:p>
      <w:pPr>
        <w:pStyle w:val="ListParagraph"/>
        <w:numPr>
          <w:ilvl w:val="0"/>
          <w:numId w:val="2"/>
        </w:numPr>
        <w:spacing w:after="100" w:line="340"/>
      </w:pPr>
      <w:r>
        <w:rPr>
          <w:color w:val="141414"/>
        </w:rPr>
        <w:t xml:space="preserve">One launch vertical: premium, non-medical beauty using Trinks.</w:t>
      </w:r>
    </w:p>
    <w:p>
      <w:pPr>
        <w:pStyle w:val="ListParagraph"/>
        <w:numPr>
          <w:ilvl w:val="0"/>
          <w:numId w:val="2"/>
        </w:numPr>
        <w:spacing w:after="100" w:line="340"/>
      </w:pPr>
      <w:r>
        <w:rPr>
          <w:color w:val="141414"/>
        </w:rPr>
        <w:t xml:space="preserve">One fee: 20% of Asaas </w:t>
      </w:r>
      <w:r>
        <w:rPr>
          <w:rFonts w:ascii="Consolas" w:cs="Consolas" w:eastAsia="Consolas" w:hAnsi="Consolas"/>
          <w:color w:val="0A6E4C"/>
          <w:sz w:val="21"/>
          <w:szCs w:val="21"/>
        </w:rPr>
        <w:t xml:space="preserve">netValue</w:t>
      </w:r>
      <w:r>
        <w:rPr>
          <w:color w:val="141414"/>
        </w:rPr>
        <w:t xml:space="preserve"> that settles through the campaign checkout </w:t>
      </w:r>
      <w:r>
        <w:rPr>
          <w:b/>
          <w:bCs/>
          <w:color w:val="141414"/>
        </w:rPr>
        <w:t xml:space="preserve">and successfully splits</w:t>
      </w:r>
      <w:r>
        <w:rPr>
          <w:color w:val="141414"/>
        </w:rPr>
        <w:t xml:space="preserve">. No monthly fee, ever.</w:t>
      </w:r>
    </w:p>
    <w:p>
      <w:pPr>
        <w:pStyle w:val="ListParagraph"/>
        <w:numPr>
          <w:ilvl w:val="0"/>
          <w:numId w:val="2"/>
        </w:numPr>
        <w:spacing w:after="100" w:line="340"/>
      </w:pPr>
      <w:r>
        <w:rPr>
          <w:color w:val="141414"/>
        </w:rPr>
        <w:t xml:space="preserve">Refunds and chargebacks reverse the fee symmetrically.</w:t>
      </w:r>
    </w:p>
    <w:p>
      <w:pPr>
        <w:pStyle w:val="ListParagraph"/>
        <w:numPr>
          <w:ilvl w:val="0"/>
          <w:numId w:val="2"/>
        </w:numPr>
        <w:spacing w:after="100" w:line="340"/>
      </w:pPr>
      <w:r>
        <w:rPr>
          <w:color w:val="141414"/>
        </w:rPr>
        <w:t xml:space="preserve">No off-rail attribution, no agenda reconciliation, no bypass invoices. Leakage is accepted on purpose.</w:t>
      </w:r>
    </w:p>
    <w:p>
      <w:pPr>
        <w:pStyle w:val="ListParagraph"/>
        <w:numPr>
          <w:ilvl w:val="0"/>
          <w:numId w:val="2"/>
        </w:numPr>
        <w:spacing w:after="100" w:line="340"/>
      </w:pPr>
      <w:r>
        <w:rPr>
          <w:color w:val="141414"/>
        </w:rPr>
        <w:t xml:space="preserve">No send without documented WhatsApp marketing permission carrying </w:t>
      </w:r>
      <w:r>
        <w:rPr>
          <w:rFonts w:ascii="Consolas" w:cs="Consolas" w:eastAsia="Consolas" w:hAnsi="Consolas"/>
          <w:color w:val="0A6E4C"/>
          <w:sz w:val="21"/>
          <w:szCs w:val="21"/>
        </w:rPr>
        <w:t xml:space="preserve">value + captured_at + source + scope</w:t>
      </w:r>
      <w:r>
        <w:rPr>
          <w:color w:val="141414"/>
        </w:rPr>
        <w:t xml:space="preserve">. No evidence, no send, no exceptions.</w:t>
      </w:r>
    </w:p>
    <w:p>
      <w:pPr>
        <w:pStyle w:val="ListParagraph"/>
        <w:numPr>
          <w:ilvl w:val="0"/>
          <w:numId w:val="2"/>
        </w:numPr>
        <w:spacing w:after="100" w:line="340"/>
      </w:pPr>
      <w:r>
        <w:rPr>
          <w:color w:val="141414"/>
        </w:rPr>
        <w:t xml:space="preserve">No contact with a client holding unused prepaid credit until that obligation is resolved.</w:t>
      </w:r>
    </w:p>
    <w:p>
      <w:pPr>
        <w:pStyle w:val="ListParagraph"/>
        <w:numPr>
          <w:ilvl w:val="0"/>
          <w:numId w:val="2"/>
        </w:numPr>
        <w:spacing w:after="100" w:line="340"/>
      </w:pPr>
      <w:r>
        <w:rPr>
          <w:color w:val="141414"/>
        </w:rPr>
        <w:t xml:space="preserve">One sending mode: Cloud API with Business-App coexistence, on the salon’s own number.</w:t>
      </w:r>
    </w:p>
    <w:p>
      <w:pPr>
        <w:pStyle w:val="ListParagraph"/>
        <w:numPr>
          <w:ilvl w:val="0"/>
          <w:numId w:val="2"/>
        </w:numPr>
        <w:spacing w:after="100" w:line="340"/>
      </w:pPr>
      <w:r>
        <w:rPr>
          <w:color w:val="141414"/>
        </w:rPr>
        <w:t xml:space="preserve">The owner authorizes the exact business-initiated payload before it sends.</w:t>
      </w:r>
    </w:p>
    <w:p>
      <w:pPr>
        <w:pStyle w:val="ListParagraph"/>
        <w:numPr>
          <w:ilvl w:val="0"/>
          <w:numId w:val="2"/>
        </w:numPr>
        <w:spacing w:after="100" w:line="340"/>
      </w:pPr>
      <w:r>
        <w:rPr>
          <w:color w:val="141414"/>
        </w:rPr>
        <w:t xml:space="preserve">Health-data-adjacent businesses stay excluded.</w:t>
      </w:r>
    </w:p>
    <w:p>
      <w:pPr>
        <w:spacing w:after="60"/>
      </w:pPr>
    </w:p>
    <w:p>
      <w:pPr>
        <w:pStyle w:val="Heading1"/>
        <w:spacing w:after="200" w:before="360"/>
      </w:pPr>
      <w:r>
        <w:rPr>
          <w:b/>
          <w:bCs/>
          <w:color w:val="0B4A36"/>
        </w:rPr>
        <w:t xml:space="preserve">§0.4 · What v5 corrects in v4</w:t>
      </w:r>
    </w:p>
    <w:tbl>
      <w:tblPr>
        <w:tblW w:type="dxa" w:w="9360"/>
        <w:tblBorders>
          <w:top w:val="single" w:color="1D6B4F" w:sz="8"/>
          <w:left w:val="none"/>
          <w:bottom w:val="single" w:color="1D6B4F" w:sz="8"/>
          <w:right w:val="none"/>
          <w:insideH w:val="single" w:color="C9D6D0" w:sz="4"/>
          <w:insideV w:val="single" w:color="C9D6D0" w:sz="4"/>
        </w:tblBorders>
      </w:tblPr>
      <w:tblGrid>
        <w:gridCol w:w="2100"/>
        <w:gridCol w:w="1300"/>
        <w:gridCol w:w="5960"/>
      </w:tblGrid>
      <w:tr>
        <w:trPr>
          <w:tblHeader/>
        </w:trPr>
        <w:tc>
          <w:tcPr>
            <w:tcW w:type="dxa" w:w="2100"/>
            <w:shd w:fill="0B4A36" w:val="clear"/>
            <w:tcMar>
              <w:top w:type="dxa" w:w="90"/>
              <w:left w:type="dxa" w:w="140"/>
              <w:bottom w:type="dxa" w:w="90"/>
              <w:right w:type="dxa" w:w="140"/>
            </w:tcMar>
          </w:tcPr>
          <w:p>
            <w:pPr>
              <w:spacing w:after="0" w:line="300"/>
            </w:pPr>
            <w:r>
              <w:rPr>
                <w:b/>
                <w:bCs/>
                <w:color w:val="FFFFFF"/>
                <w:sz w:val="22"/>
                <w:szCs w:val="22"/>
              </w:rPr>
              <w:t xml:space="preserve">v4 claim</w:t>
            </w:r>
          </w:p>
        </w:tc>
        <w:tc>
          <w:tcPr>
            <w:tcW w:type="dxa" w:w="1300"/>
            <w:shd w:fill="0B4A36" w:val="clear"/>
            <w:tcMar>
              <w:top w:type="dxa" w:w="90"/>
              <w:left w:type="dxa" w:w="140"/>
              <w:bottom w:type="dxa" w:w="90"/>
              <w:right w:type="dxa" w:w="140"/>
            </w:tcMar>
          </w:tcPr>
          <w:p>
            <w:pPr>
              <w:spacing w:after="0" w:line="300"/>
            </w:pPr>
            <w:r>
              <w:rPr>
                <w:b/>
                <w:bCs/>
                <w:color w:val="FFFFFF"/>
                <w:sz w:val="22"/>
                <w:szCs w:val="22"/>
              </w:rPr>
              <w:t xml:space="preserve">Verdict</w:t>
            </w:r>
          </w:p>
        </w:tc>
        <w:tc>
          <w:tcPr>
            <w:tcW w:type="dxa" w:w="5960"/>
            <w:shd w:fill="0B4A36" w:val="clear"/>
            <w:tcMar>
              <w:top w:type="dxa" w:w="90"/>
              <w:left w:type="dxa" w:w="140"/>
              <w:bottom w:type="dxa" w:w="90"/>
              <w:right w:type="dxa" w:w="140"/>
            </w:tcMar>
          </w:tcPr>
          <w:p>
            <w:pPr>
              <w:spacing w:after="0" w:line="300"/>
            </w:pPr>
            <w:r>
              <w:rPr>
                <w:b/>
                <w:bCs/>
                <w:color w:val="FFFFFF"/>
                <w:sz w:val="22"/>
                <w:szCs w:val="22"/>
              </w:rPr>
              <w:t xml:space="preserve">v5 rule</w:t>
            </w:r>
          </w:p>
        </w:tc>
      </w:tr>
      <w:tr>
        <w:trPr>
          <w:tblHeader w:val="false"/>
        </w:trPr>
        <w:tc>
          <w:tcPr>
            <w:tcW w:type="dxa" w:w="2100"/>
            <w:tcMar>
              <w:top w:type="dxa" w:w="90"/>
              <w:left w:type="dxa" w:w="140"/>
              <w:bottom w:type="dxa" w:w="90"/>
              <w:right w:type="dxa" w:w="140"/>
            </w:tcMar>
          </w:tcPr>
          <w:p>
            <w:pPr>
              <w:spacing w:after="0" w:line="300"/>
            </w:pPr>
            <w:r>
              <w:rPr>
                <w:color w:val="141414"/>
                <w:sz w:val="22"/>
                <w:szCs w:val="22"/>
              </w:rPr>
              <w:t xml:space="preserve">One Trinks CSV holds every eligibility fact</w:t>
            </w:r>
          </w:p>
        </w:tc>
        <w:tc>
          <w:tcPr>
            <w:tcW w:type="dxa" w:w="1300"/>
            <w:tcMar>
              <w:top w:type="dxa" w:w="90"/>
              <w:left w:type="dxa" w:w="140"/>
              <w:bottom w:type="dxa" w:w="90"/>
              <w:right w:type="dxa" w:w="140"/>
            </w:tcMar>
          </w:tcPr>
          <w:p>
            <w:pPr>
              <w:spacing w:after="0" w:line="300"/>
            </w:pPr>
            <w:r>
              <w:rPr>
                <w:color w:val="141414"/>
                <w:sz w:val="22"/>
                <w:szCs w:val="22"/>
              </w:rPr>
              <w:t xml:space="preserve">WRONG</w:t>
            </w:r>
          </w:p>
        </w:tc>
        <w:tc>
          <w:tcPr>
            <w:tcW w:type="dxa" w:w="5960"/>
            <w:tcMar>
              <w:top w:type="dxa" w:w="90"/>
              <w:left w:type="dxa" w:w="140"/>
              <w:bottom w:type="dxa" w:w="90"/>
              <w:right w:type="dxa" w:w="140"/>
            </w:tcMar>
          </w:tcPr>
          <w:p>
            <w:pPr>
              <w:spacing w:after="0" w:line="300"/>
            </w:pPr>
            <w:r>
              <w:rPr>
                <w:color w:val="141414"/>
                <w:sz w:val="22"/>
                <w:szCs w:val="22"/>
              </w:rPr>
              <w:t xml:space="preserve">Trinks documents clients, package balances and debts in different reports. Launch uses one versioned export bundle — one specification and one normalizer, not necessarily one file. A formal Conecta Trinks partner connection replaces it only once authorized.</w:t>
            </w:r>
          </w:p>
        </w:tc>
      </w:tr>
      <w:tr>
        <w:trPr>
          <w:tblHeader w:val="false"/>
        </w:trPr>
        <w:tc>
          <w:tcPr>
            <w:tcW w:type="dxa" w:w="2100"/>
            <w:tcMar>
              <w:top w:type="dxa" w:w="90"/>
              <w:left w:type="dxa" w:w="140"/>
              <w:bottom w:type="dxa" w:w="90"/>
              <w:right w:type="dxa" w:w="140"/>
            </w:tcMar>
          </w:tcPr>
          <w:p>
            <w:pPr>
              <w:spacing w:after="0" w:line="300"/>
            </w:pPr>
            <w:r>
              <w:rPr>
                <w:color w:val="141414"/>
                <w:sz w:val="22"/>
                <w:szCs w:val="22"/>
              </w:rPr>
              <w:t xml:space="preserve">Upload first, contract later</w:t>
            </w:r>
          </w:p>
        </w:tc>
        <w:tc>
          <w:tcPr>
            <w:tcW w:type="dxa" w:w="1300"/>
            <w:tcMar>
              <w:top w:type="dxa" w:w="90"/>
              <w:left w:type="dxa" w:w="140"/>
              <w:bottom w:type="dxa" w:w="90"/>
              <w:right w:type="dxa" w:w="140"/>
            </w:tcMar>
          </w:tcPr>
          <w:p>
            <w:pPr>
              <w:spacing w:after="0" w:line="300"/>
            </w:pPr>
            <w:r>
              <w:rPr>
                <w:color w:val="141414"/>
                <w:sz w:val="22"/>
                <w:szCs w:val="22"/>
              </w:rPr>
              <w:t xml:space="preserve">WRONG</w:t>
            </w:r>
          </w:p>
        </w:tc>
        <w:tc>
          <w:tcPr>
            <w:tcW w:type="dxa" w:w="5960"/>
            <w:tcMar>
              <w:top w:type="dxa" w:w="90"/>
              <w:left w:type="dxa" w:w="140"/>
              <w:bottom w:type="dxa" w:w="90"/>
              <w:right w:type="dxa" w:w="140"/>
            </w:tcMar>
          </w:tcPr>
          <w:p>
            <w:pPr>
              <w:spacing w:after="0" w:line="300"/>
            </w:pPr>
            <w:r>
              <w:rPr>
                <w:color w:val="141414"/>
                <w:sz w:val="22"/>
                <w:szCs w:val="22"/>
              </w:rPr>
              <w:t xml:space="preserve">Scan authorization, privacy notice and limited processing terms are accepted before any customer file is uploaded. No upload control renders before acceptance.</w:t>
            </w:r>
          </w:p>
        </w:tc>
      </w:tr>
      <w:tr>
        <w:trPr>
          <w:tblHeader w:val="false"/>
        </w:trPr>
        <w:tc>
          <w:tcPr>
            <w:tcW w:type="dxa" w:w="2100"/>
            <w:tcMar>
              <w:top w:type="dxa" w:w="90"/>
              <w:left w:type="dxa" w:w="140"/>
              <w:bottom w:type="dxa" w:w="90"/>
              <w:right w:type="dxa" w:w="140"/>
            </w:tcMar>
          </w:tcPr>
          <w:p>
            <w:pPr>
              <w:spacing w:after="0" w:line="300"/>
            </w:pPr>
            <w:r>
              <w:rPr>
                <w:color w:val="141414"/>
                <w:sz w:val="22"/>
                <w:szCs w:val="22"/>
              </w:rPr>
              <w:t xml:space="preserve">15-minute end-to-end onboarding</w:t>
            </w:r>
          </w:p>
        </w:tc>
        <w:tc>
          <w:tcPr>
            <w:tcW w:type="dxa" w:w="1300"/>
            <w:tcMar>
              <w:top w:type="dxa" w:w="90"/>
              <w:left w:type="dxa" w:w="140"/>
              <w:bottom w:type="dxa" w:w="90"/>
              <w:right w:type="dxa" w:w="140"/>
            </w:tcMar>
          </w:tcPr>
          <w:p>
            <w:pPr>
              <w:spacing w:after="0" w:line="300"/>
            </w:pPr>
            <w:r>
              <w:rPr>
                <w:color w:val="141414"/>
                <w:sz w:val="22"/>
                <w:szCs w:val="22"/>
              </w:rPr>
              <w:t xml:space="preserve">OVERSTATED</w:t>
            </w:r>
          </w:p>
        </w:tc>
        <w:tc>
          <w:tcPr>
            <w:tcW w:type="dxa" w:w="5960"/>
            <w:tcMar>
              <w:top w:type="dxa" w:w="90"/>
              <w:left w:type="dxa" w:w="140"/>
              <w:bottom w:type="dxa" w:w="90"/>
              <w:right w:type="dxa" w:w="140"/>
            </w:tcMar>
          </w:tcPr>
          <w:p>
            <w:pPr>
              <w:spacing w:after="0" w:line="300"/>
            </w:pPr>
            <w:r>
              <w:rPr>
                <w:color w:val="141414"/>
                <w:sz w:val="22"/>
                <w:szCs w:val="22"/>
              </w:rPr>
              <w:t xml:space="preserve">Three clocks, tracked separately: ~2 min to start, 10–20 min of active owner work when prerequisites already exist, and provider calendar time measured in hours or days. Never shown as one number.</w:t>
            </w:r>
          </w:p>
        </w:tc>
      </w:tr>
      <w:tr>
        <w:trPr>
          <w:tblHeader w:val="false"/>
        </w:trPr>
        <w:tc>
          <w:tcPr>
            <w:tcW w:type="dxa" w:w="2100"/>
            <w:tcMar>
              <w:top w:type="dxa" w:w="90"/>
              <w:left w:type="dxa" w:w="140"/>
              <w:bottom w:type="dxa" w:w="90"/>
              <w:right w:type="dxa" w:w="140"/>
            </w:tcMar>
          </w:tcPr>
          <w:p>
            <w:pPr>
              <w:spacing w:after="0" w:line="300"/>
            </w:pPr>
            <w:r>
              <w:rPr>
                <w:color w:val="141414"/>
                <w:sz w:val="22"/>
                <w:szCs w:val="22"/>
              </w:rPr>
              <w:t xml:space="preserve">Asaas is a connect button</w:t>
            </w:r>
          </w:p>
        </w:tc>
        <w:tc>
          <w:tcPr>
            <w:tcW w:type="dxa" w:w="1300"/>
            <w:tcMar>
              <w:top w:type="dxa" w:w="90"/>
              <w:left w:type="dxa" w:w="140"/>
              <w:bottom w:type="dxa" w:w="90"/>
              <w:right w:type="dxa" w:w="140"/>
            </w:tcMar>
          </w:tcPr>
          <w:p>
            <w:pPr>
              <w:spacing w:after="0" w:line="300"/>
            </w:pPr>
            <w:r>
              <w:rPr>
                <w:color w:val="141414"/>
                <w:sz w:val="22"/>
                <w:szCs w:val="22"/>
              </w:rPr>
              <w:t xml:space="preserve">WRONG</w:t>
            </w:r>
          </w:p>
        </w:tc>
        <w:tc>
          <w:tcPr>
            <w:tcW w:type="dxa" w:w="5960"/>
            <w:tcMar>
              <w:top w:type="dxa" w:w="90"/>
              <w:left w:type="dxa" w:w="140"/>
              <w:bottom w:type="dxa" w:w="90"/>
              <w:right w:type="dxa" w:w="140"/>
            </w:tcMar>
          </w:tcPr>
          <w:p>
            <w:pPr>
              <w:spacing w:after="0" w:line="300"/>
            </w:pPr>
            <w:r>
              <w:rPr>
                <w:color w:val="141414"/>
                <w:sz w:val="22"/>
                <w:szCs w:val="22"/>
              </w:rPr>
              <w:t xml:space="preserve">Asaas documents API-key auth, not public OAuth. Keys are created in the web admin, by an administrator, shown once. Public scale is blocked until Asaas approves the split topology in writing.</w:t>
            </w:r>
          </w:p>
        </w:tc>
      </w:tr>
      <w:tr>
        <w:trPr>
          <w:tblHeader w:val="false"/>
        </w:trPr>
        <w:tc>
          <w:tcPr>
            <w:tcW w:type="dxa" w:w="2100"/>
            <w:tcMar>
              <w:top w:type="dxa" w:w="90"/>
              <w:left w:type="dxa" w:w="140"/>
              <w:bottom w:type="dxa" w:w="90"/>
              <w:right w:type="dxa" w:w="140"/>
            </w:tcMar>
          </w:tcPr>
          <w:p>
            <w:pPr>
              <w:spacing w:after="0" w:line="300"/>
            </w:pPr>
            <w:r>
              <w:rPr>
                <w:color w:val="141414"/>
                <w:sz w:val="22"/>
                <w:szCs w:val="22"/>
              </w:rPr>
              <w:t xml:space="preserve">Approve once, send to 500</w:t>
            </w:r>
          </w:p>
        </w:tc>
        <w:tc>
          <w:tcPr>
            <w:tcW w:type="dxa" w:w="1300"/>
            <w:tcMar>
              <w:top w:type="dxa" w:w="90"/>
              <w:left w:type="dxa" w:w="140"/>
              <w:bottom w:type="dxa" w:w="90"/>
              <w:right w:type="dxa" w:w="140"/>
            </w:tcMar>
          </w:tcPr>
          <w:p>
            <w:pPr>
              <w:spacing w:after="0" w:line="300"/>
            </w:pPr>
            <w:r>
              <w:rPr>
                <w:color w:val="141414"/>
                <w:sz w:val="22"/>
                <w:szCs w:val="22"/>
              </w:rPr>
              <w:t xml:space="preserve">WRONG</w:t>
            </w:r>
          </w:p>
        </w:tc>
        <w:tc>
          <w:tcPr>
            <w:tcW w:type="dxa" w:w="5960"/>
            <w:tcMar>
              <w:top w:type="dxa" w:w="90"/>
              <w:left w:type="dxa" w:w="140"/>
              <w:bottom w:type="dxa" w:w="90"/>
              <w:right w:type="dxa" w:w="140"/>
            </w:tcMar>
          </w:tcPr>
          <w:p>
            <w:pPr>
              <w:spacing w:after="0" w:line="300"/>
            </w:pPr>
            <w:r>
              <w:rPr>
                <w:color w:val="141414"/>
                <w:sz w:val="22"/>
                <w:szCs w:val="22"/>
              </w:rPr>
              <w:t xml:space="preserve">A new business portfolio starts at a low rolling 24-hour recipient limit and must earn a higher tier. Sends run in tranches inside the live limit, each tranche within the 24-hour data-freshness window.</w:t>
            </w:r>
          </w:p>
        </w:tc>
      </w:tr>
      <w:tr>
        <w:trPr>
          <w:tblHeader w:val="false"/>
        </w:trPr>
        <w:tc>
          <w:tcPr>
            <w:tcW w:type="dxa" w:w="2100"/>
            <w:tcMar>
              <w:top w:type="dxa" w:w="90"/>
              <w:left w:type="dxa" w:w="140"/>
              <w:bottom w:type="dxa" w:w="90"/>
              <w:right w:type="dxa" w:w="140"/>
            </w:tcMar>
          </w:tcPr>
          <w:p>
            <w:pPr>
              <w:spacing w:after="0" w:line="300"/>
            </w:pPr>
            <w:r>
              <w:rPr>
                <w:color w:val="141414"/>
                <w:sz w:val="22"/>
                <w:szCs w:val="22"/>
              </w:rPr>
              <w:t xml:space="preserve">A Pix link per recipient in the manifest</w:t>
            </w:r>
          </w:p>
        </w:tc>
        <w:tc>
          <w:tcPr>
            <w:tcW w:type="dxa" w:w="1300"/>
            <w:tcMar>
              <w:top w:type="dxa" w:w="90"/>
              <w:left w:type="dxa" w:w="140"/>
              <w:bottom w:type="dxa" w:w="90"/>
              <w:right w:type="dxa" w:w="140"/>
            </w:tcMar>
          </w:tcPr>
          <w:p>
            <w:pPr>
              <w:spacing w:after="0" w:line="300"/>
            </w:pPr>
            <w:r>
              <w:rPr>
                <w:color w:val="141414"/>
                <w:sz w:val="22"/>
                <w:szCs w:val="22"/>
              </w:rPr>
              <w:t xml:space="preserve">WRONG</w:t>
            </w:r>
          </w:p>
        </w:tc>
        <w:tc>
          <w:tcPr>
            <w:tcW w:type="dxa" w:w="5960"/>
            <w:tcMar>
              <w:top w:type="dxa" w:w="90"/>
              <w:left w:type="dxa" w:w="140"/>
              <w:bottom w:type="dxa" w:w="90"/>
              <w:right w:type="dxa" w:w="140"/>
            </w:tcMar>
          </w:tcPr>
          <w:p>
            <w:pPr>
              <w:spacing w:after="0" w:line="300"/>
            </w:pPr>
            <w:r>
              <w:rPr>
                <w:color w:val="141414"/>
                <w:sz w:val="22"/>
                <w:szCs w:val="22"/>
              </w:rPr>
              <w:t xml:space="preserve">Checkouts expire; a dead link two days later kills conversion silently. Recipients get a stable opaque offer URL; the checkout is created just-in-time when a buyer taps pay.</w:t>
            </w:r>
          </w:p>
        </w:tc>
      </w:tr>
      <w:tr>
        <w:trPr>
          <w:tblHeader w:val="false"/>
        </w:trPr>
        <w:tc>
          <w:tcPr>
            <w:tcW w:type="dxa" w:w="2100"/>
            <w:tcMar>
              <w:top w:type="dxa" w:w="90"/>
              <w:left w:type="dxa" w:w="140"/>
              <w:bottom w:type="dxa" w:w="90"/>
              <w:right w:type="dxa" w:w="140"/>
            </w:tcMar>
          </w:tcPr>
          <w:p>
            <w:pPr>
              <w:spacing w:after="0" w:line="300"/>
            </w:pPr>
            <w:r>
              <w:rPr>
                <w:color w:val="141414"/>
                <w:sz w:val="22"/>
                <w:szCs w:val="22"/>
              </w:rPr>
              <w:t xml:space="preserve">Money settles → done</w:t>
            </w:r>
          </w:p>
        </w:tc>
        <w:tc>
          <w:tcPr>
            <w:tcW w:type="dxa" w:w="1300"/>
            <w:tcMar>
              <w:top w:type="dxa" w:w="90"/>
              <w:left w:type="dxa" w:w="140"/>
              <w:bottom w:type="dxa" w:w="90"/>
              <w:right w:type="dxa" w:w="140"/>
            </w:tcMar>
          </w:tcPr>
          <w:p>
            <w:pPr>
              <w:spacing w:after="0" w:line="300"/>
            </w:pPr>
            <w:r>
              <w:rPr>
                <w:color w:val="141414"/>
                <w:sz w:val="22"/>
                <w:szCs w:val="22"/>
              </w:rPr>
              <w:t xml:space="preserve">HOLE</w:t>
            </w:r>
          </w:p>
        </w:tc>
        <w:tc>
          <w:tcPr>
            <w:tcW w:type="dxa" w:w="5960"/>
            <w:tcMar>
              <w:top w:type="dxa" w:w="90"/>
              <w:left w:type="dxa" w:w="140"/>
              <w:bottom w:type="dxa" w:w="90"/>
              <w:right w:type="dxa" w:w="140"/>
            </w:tcMar>
          </w:tcPr>
          <w:p>
            <w:pPr>
              <w:spacing w:after="0" w:line="300"/>
            </w:pPr>
            <w:r>
              <w:rPr>
                <w:color w:val="141414"/>
                <w:sz w:val="22"/>
                <w:szCs w:val="22"/>
              </w:rPr>
              <w:t xml:space="preserve">Payment is the middle, not the end. Voucher, booking handoff, redemption, expiry and refund are first-class states with owners and deadlines (Part V).</w:t>
            </w:r>
          </w:p>
        </w:tc>
      </w:tr>
      <w:tr>
        <w:trPr>
          <w:tblHeader w:val="false"/>
        </w:trPr>
        <w:tc>
          <w:tcPr>
            <w:tcW w:type="dxa" w:w="2100"/>
            <w:tcMar>
              <w:top w:type="dxa" w:w="90"/>
              <w:left w:type="dxa" w:w="140"/>
              <w:bottom w:type="dxa" w:w="90"/>
              <w:right w:type="dxa" w:w="140"/>
            </w:tcMar>
          </w:tcPr>
          <w:p>
            <w:pPr>
              <w:spacing w:after="0" w:line="300"/>
            </w:pPr>
            <w:r>
              <w:rPr>
                <w:color w:val="141414"/>
                <w:sz w:val="22"/>
                <w:szCs w:val="22"/>
              </w:rPr>
              <w:t xml:space="preserve">20% exceptions, 100 accounts/month</w:t>
            </w:r>
          </w:p>
        </w:tc>
        <w:tc>
          <w:tcPr>
            <w:tcW w:type="dxa" w:w="1300"/>
            <w:tcMar>
              <w:top w:type="dxa" w:w="90"/>
              <w:left w:type="dxa" w:w="140"/>
              <w:bottom w:type="dxa" w:w="90"/>
              <w:right w:type="dxa" w:w="140"/>
            </w:tcMar>
          </w:tcPr>
          <w:p>
            <w:pPr>
              <w:spacing w:after="0" w:line="300"/>
            </w:pPr>
            <w:r>
              <w:rPr>
                <w:color w:val="141414"/>
                <w:sz w:val="22"/>
                <w:szCs w:val="22"/>
              </w:rPr>
              <w:t xml:space="preserve">UNPROVEN</w:t>
            </w:r>
          </w:p>
        </w:tc>
        <w:tc>
          <w:tcPr>
            <w:tcW w:type="dxa" w:w="5960"/>
            <w:tcMar>
              <w:top w:type="dxa" w:w="90"/>
              <w:left w:type="dxa" w:w="140"/>
              <w:bottom w:type="dxa" w:w="90"/>
              <w:right w:type="dxa" w:w="140"/>
            </w:tcMar>
          </w:tcPr>
          <w:p>
            <w:pPr>
              <w:spacing w:after="0" w:line="300"/>
            </w:pPr>
            <w:r>
              <w:rPr>
                <w:color w:val="141414"/>
                <w:sz w:val="22"/>
                <w:szCs w:val="22"/>
              </w:rPr>
              <w:t xml:space="preserve">Both become production telemetry gates measured from account one, not forecasts (§26).</w:t>
            </w:r>
          </w:p>
        </w:tc>
      </w:tr>
      <w:tr>
        <w:trPr>
          <w:tblHeader w:val="false"/>
        </w:trPr>
        <w:tc>
          <w:tcPr>
            <w:tcW w:type="dxa" w:w="2100"/>
            <w:tcMar>
              <w:top w:type="dxa" w:w="90"/>
              <w:left w:type="dxa" w:w="140"/>
              <w:bottom w:type="dxa" w:w="90"/>
              <w:right w:type="dxa" w:w="140"/>
            </w:tcMar>
          </w:tcPr>
          <w:p>
            <w:pPr>
              <w:spacing w:after="0" w:line="300"/>
            </w:pPr>
            <w:r>
              <w:rPr>
                <w:color w:val="141414"/>
                <w:sz w:val="22"/>
                <w:szCs w:val="22"/>
              </w:rPr>
              <w:t xml:space="preserve">Long-tail accounts are free because support is zero</w:t>
            </w:r>
          </w:p>
        </w:tc>
        <w:tc>
          <w:tcPr>
            <w:tcW w:type="dxa" w:w="1300"/>
            <w:tcMar>
              <w:top w:type="dxa" w:w="90"/>
              <w:left w:type="dxa" w:w="140"/>
              <w:bottom w:type="dxa" w:w="90"/>
              <w:right w:type="dxa" w:w="140"/>
            </w:tcMar>
          </w:tcPr>
          <w:p>
            <w:pPr>
              <w:spacing w:after="0" w:line="300"/>
            </w:pPr>
            <w:r>
              <w:rPr>
                <w:color w:val="141414"/>
                <w:sz w:val="22"/>
                <w:szCs w:val="22"/>
              </w:rPr>
              <w:t xml:space="preserve">UNPROVEN</w:t>
            </w:r>
          </w:p>
        </w:tc>
        <w:tc>
          <w:tcPr>
            <w:tcW w:type="dxa" w:w="5960"/>
            <w:tcMar>
              <w:top w:type="dxa" w:w="90"/>
              <w:left w:type="dxa" w:w="140"/>
              <w:bottom w:type="dxa" w:w="90"/>
              <w:right w:type="dxa" w:w="140"/>
            </w:tcMar>
          </w:tcPr>
          <w:p>
            <w:pPr>
              <w:spacing w:after="0" w:line="300"/>
            </w:pPr>
            <w:r>
              <w:rPr>
                <w:color w:val="141414"/>
                <w:sz w:val="22"/>
                <w:szCs w:val="22"/>
              </w:rPr>
              <w:t xml:space="preserve">The long tail opens only after 90-day contribution stays positive net of provider, support, tax and reversal cost.</w:t>
            </w:r>
          </w:p>
        </w:tc>
      </w:tr>
      <w:tr>
        <w:trPr>
          <w:tblHeader w:val="false"/>
        </w:trPr>
        <w:tc>
          <w:tcPr>
            <w:tcW w:type="dxa" w:w="2100"/>
            <w:tcMar>
              <w:top w:type="dxa" w:w="90"/>
              <w:left w:type="dxa" w:w="140"/>
              <w:bottom w:type="dxa" w:w="90"/>
              <w:right w:type="dxa" w:w="140"/>
            </w:tcMar>
          </w:tcPr>
          <w:p>
            <w:pPr>
              <w:spacing w:after="0" w:line="300"/>
            </w:pPr>
            <w:r>
              <w:rPr>
                <w:color w:val="141414"/>
                <w:sz w:val="22"/>
                <w:szCs w:val="22"/>
              </w:rPr>
              <w:t xml:space="preserve">A new vertical only needs a new importer</w:t>
            </w:r>
          </w:p>
        </w:tc>
        <w:tc>
          <w:tcPr>
            <w:tcW w:type="dxa" w:w="1300"/>
            <w:tcMar>
              <w:top w:type="dxa" w:w="90"/>
              <w:left w:type="dxa" w:w="140"/>
              <w:bottom w:type="dxa" w:w="90"/>
              <w:right w:type="dxa" w:w="140"/>
            </w:tcMar>
          </w:tcPr>
          <w:p>
            <w:pPr>
              <w:spacing w:after="0" w:line="300"/>
            </w:pPr>
            <w:r>
              <w:rPr>
                <w:color w:val="141414"/>
                <w:sz w:val="22"/>
                <w:szCs w:val="22"/>
              </w:rPr>
              <w:t xml:space="preserve">INCOMPLETE</w:t>
            </w:r>
          </w:p>
        </w:tc>
        <w:tc>
          <w:tcPr>
            <w:tcW w:type="dxa" w:w="5960"/>
            <w:tcMar>
              <w:top w:type="dxa" w:w="90"/>
              <w:left w:type="dxa" w:w="140"/>
              <w:bottom w:type="dxa" w:w="90"/>
              <w:right w:type="dxa" w:w="140"/>
            </w:tcMar>
          </w:tcPr>
          <w:p>
            <w:pPr>
              <w:spacing w:after="0" w:line="300"/>
            </w:pPr>
            <w:r>
              <w:rPr>
                <w:color w:val="141414"/>
                <w:sz w:val="22"/>
                <w:szCs w:val="22"/>
              </w:rPr>
              <w:t xml:space="preserve">It needs a connector plus a vertical policy and fulfillment pack (§28).</w:t>
            </w:r>
          </w:p>
        </w:tc>
      </w:tr>
    </w:tbl>
    <w:p>
      <w:pPr>
        <w:spacing w:after="60"/>
      </w:pPr>
    </w:p>
    <w:p>
      <w:pPr>
        <w:pStyle w:val="Heading1"/>
        <w:spacing w:after="200" w:before="360"/>
      </w:pPr>
      <w:r>
        <w:rPr>
          <w:b/>
          <w:bCs/>
          <w:color w:val="0B4A36"/>
        </w:rPr>
        <w:t xml:space="preserve">§0.5 · What was cut back out, and why</w:t>
      </w:r>
    </w:p>
    <w:p>
      <w:pPr>
        <w:spacing w:after="160" w:line="360"/>
      </w:pPr>
      <w:r>
        <w:rPr>
          <w:color w:val="141414"/>
        </w:rPr>
        <w:t xml:space="preserve">The v5 draft that surfaced the errors above also re-added three separate products. v2 died of exactly that. Each cut below is recorded so it can be reversed deliberately, behind a gate, rather than drifting back in.</w:t>
      </w:r>
    </w:p>
    <w:tbl>
      <w:tblPr>
        <w:tblW w:type="dxa" w:w="9360"/>
        <w:tblBorders>
          <w:top w:val="single" w:color="1D6B4F" w:sz="8"/>
          <w:left w:val="none"/>
          <w:bottom w:val="single" w:color="1D6B4F" w:sz="8"/>
          <w:right w:val="none"/>
          <w:insideH w:val="single" w:color="C9D6D0" w:sz="4"/>
          <w:insideV w:val="single" w:color="C9D6D0" w:sz="4"/>
        </w:tblBorders>
      </w:tblPr>
      <w:tblGrid>
        <w:gridCol w:w="2500"/>
        <w:gridCol w:w="3300"/>
        <w:gridCol w:w="3560"/>
      </w:tblGrid>
      <w:tr>
        <w:trPr>
          <w:tblHeader/>
        </w:trPr>
        <w:tc>
          <w:tcPr>
            <w:tcW w:type="dxa" w:w="2500"/>
            <w:shd w:fill="0B4A36" w:val="clear"/>
            <w:tcMar>
              <w:top w:type="dxa" w:w="90"/>
              <w:left w:type="dxa" w:w="140"/>
              <w:bottom w:type="dxa" w:w="90"/>
              <w:right w:type="dxa" w:w="140"/>
            </w:tcMar>
          </w:tcPr>
          <w:p>
            <w:pPr>
              <w:spacing w:after="0" w:line="300"/>
            </w:pPr>
            <w:r>
              <w:rPr>
                <w:b/>
                <w:bCs/>
                <w:color w:val="FFFFFF"/>
                <w:sz w:val="22"/>
                <w:szCs w:val="22"/>
              </w:rPr>
              <w:t xml:space="preserve">Cut</w:t>
            </w:r>
          </w:p>
        </w:tc>
        <w:tc>
          <w:tcPr>
            <w:tcW w:type="dxa" w:w="3300"/>
            <w:shd w:fill="0B4A36" w:val="clear"/>
            <w:tcMar>
              <w:top w:type="dxa" w:w="90"/>
              <w:left w:type="dxa" w:w="140"/>
              <w:bottom w:type="dxa" w:w="90"/>
              <w:right w:type="dxa" w:w="140"/>
            </w:tcMar>
          </w:tcPr>
          <w:p>
            <w:pPr>
              <w:spacing w:after="0" w:line="300"/>
            </w:pPr>
            <w:r>
              <w:rPr>
                <w:b/>
                <w:bCs/>
                <w:color w:val="FFFFFF"/>
                <w:sz w:val="22"/>
                <w:szCs w:val="22"/>
              </w:rPr>
              <w:t xml:space="preserve">Why</w:t>
            </w:r>
          </w:p>
        </w:tc>
        <w:tc>
          <w:tcPr>
            <w:tcW w:type="dxa" w:w="3560"/>
            <w:shd w:fill="0B4A36" w:val="clear"/>
            <w:tcMar>
              <w:top w:type="dxa" w:w="90"/>
              <w:left w:type="dxa" w:w="140"/>
              <w:bottom w:type="dxa" w:w="90"/>
              <w:right w:type="dxa" w:w="140"/>
            </w:tcMar>
          </w:tcPr>
          <w:p>
            <w:pPr>
              <w:spacing w:after="0" w:line="300"/>
            </w:pPr>
            <w:r>
              <w:rPr>
                <w:b/>
                <w:bCs/>
                <w:color w:val="FFFFFF"/>
                <w:sz w:val="22"/>
                <w:szCs w:val="22"/>
              </w:rPr>
              <w:t xml:space="preserve">What stands in its place</w:t>
            </w:r>
          </w:p>
        </w:tc>
      </w:tr>
      <w:tr>
        <w:trPr>
          <w:tblHeader w:val="false"/>
        </w:trPr>
        <w:tc>
          <w:tcPr>
            <w:tcW w:type="dxa" w:w="2500"/>
            <w:tcMar>
              <w:top w:type="dxa" w:w="90"/>
              <w:left w:type="dxa" w:w="140"/>
              <w:bottom w:type="dxa" w:w="90"/>
              <w:right w:type="dxa" w:w="140"/>
            </w:tcMar>
          </w:tcPr>
          <w:p>
            <w:pPr>
              <w:spacing w:after="0" w:line="300"/>
            </w:pPr>
            <w:r>
              <w:rPr>
                <w:color w:val="141414"/>
                <w:sz w:val="22"/>
                <w:szCs w:val="22"/>
              </w:rPr>
              <w:t xml:space="preserve">AI end-customer concierge (intent classifier, per-salon answer library, LLM subprocessor, sensitive-content detector, output validator, confidence thresholds)</w:t>
            </w:r>
          </w:p>
        </w:tc>
        <w:tc>
          <w:tcPr>
            <w:tcW w:type="dxa" w:w="3300"/>
            <w:tcMar>
              <w:top w:type="dxa" w:w="90"/>
              <w:left w:type="dxa" w:w="140"/>
              <w:bottom w:type="dxa" w:w="90"/>
              <w:right w:type="dxa" w:w="140"/>
            </w:tcMar>
          </w:tcPr>
          <w:p>
            <w:pPr>
              <w:spacing w:after="0" w:line="300"/>
            </w:pPr>
            <w:r>
              <w:rPr>
                <w:color w:val="141414"/>
                <w:sz w:val="22"/>
                <w:szCs w:val="22"/>
              </w:rPr>
              <w:t xml:space="preserve">A second product with its own privacy surface, whose lift is unmeasured. It also invents a problem: the salon already has a receptionist who answers WhatsApp all day.</w:t>
            </w:r>
          </w:p>
        </w:tc>
        <w:tc>
          <w:tcPr>
            <w:tcW w:type="dxa" w:w="3560"/>
            <w:tcMar>
              <w:top w:type="dxa" w:w="90"/>
              <w:left w:type="dxa" w:w="140"/>
              <w:bottom w:type="dxa" w:w="90"/>
              <w:right w:type="dxa" w:w="140"/>
            </w:tcMar>
          </w:tcPr>
          <w:p>
            <w:pPr>
              <w:spacing w:after="0" w:line="300"/>
            </w:pPr>
            <w:r>
              <w:rPr>
                <w:color w:val="141414"/>
                <w:sz w:val="22"/>
                <w:szCs w:val="22"/>
              </w:rPr>
              <w:t xml:space="preserve">The template offers two paths: Ver oferta (the page answers the questions) and Falar com o salão (a normal thread reception answers in her own app). Caixa sends nothing else into that thread. Gate E can reopen this on evidence.</w:t>
            </w:r>
          </w:p>
        </w:tc>
      </w:tr>
      <w:tr>
        <w:trPr>
          <w:tblHeader w:val="false"/>
        </w:trPr>
        <w:tc>
          <w:tcPr>
            <w:tcW w:type="dxa" w:w="2500"/>
            <w:tcMar>
              <w:top w:type="dxa" w:w="90"/>
              <w:left w:type="dxa" w:w="140"/>
              <w:bottom w:type="dxa" w:w="90"/>
              <w:right w:type="dxa" w:w="140"/>
            </w:tcMar>
          </w:tcPr>
          <w:p>
            <w:pPr>
              <w:spacing w:after="0" w:line="300"/>
            </w:pPr>
            <w:r>
              <w:rPr>
                <w:color w:val="141414"/>
                <w:sz w:val="22"/>
                <w:szCs w:val="22"/>
              </w:rPr>
              <w:t xml:space="preserve">Salon consumer-fiscal-document state machine, blocking campaign closeout</w:t>
            </w:r>
          </w:p>
        </w:tc>
        <w:tc>
          <w:tcPr>
            <w:tcW w:type="dxa" w:w="3300"/>
            <w:tcMar>
              <w:top w:type="dxa" w:w="90"/>
              <w:left w:type="dxa" w:w="140"/>
              <w:bottom w:type="dxa" w:w="90"/>
              <w:right w:type="dxa" w:w="140"/>
            </w:tcMar>
          </w:tcPr>
          <w:p>
            <w:pPr>
              <w:spacing w:after="0" w:line="300"/>
            </w:pPr>
            <w:r>
              <w:rPr>
                <w:color w:val="141414"/>
                <w:sz w:val="22"/>
                <w:szCs w:val="22"/>
              </w:rPr>
              <w:t xml:space="preserve">That is the salon contador’s duty. Tracking it makes Caixa accountable for someone else’s tax obligation and blocks Caixa’s own statements on it.</w:t>
            </w:r>
          </w:p>
        </w:tc>
        <w:tc>
          <w:tcPr>
            <w:tcW w:type="dxa" w:w="3560"/>
            <w:tcMar>
              <w:top w:type="dxa" w:w="90"/>
              <w:left w:type="dxa" w:w="140"/>
              <w:bottom w:type="dxa" w:w="90"/>
              <w:right w:type="dxa" w:w="140"/>
            </w:tcMar>
          </w:tcPr>
          <w:p>
            <w:pPr>
              <w:spacing w:after="0" w:line="300"/>
            </w:pPr>
            <w:r>
              <w:rPr>
                <w:color w:val="141414"/>
                <w:sz w:val="22"/>
                <w:szCs w:val="22"/>
              </w:rPr>
              <w:t xml:space="preserve">The Offer Contract states the salon is the seller and owns its consumer fiscal document. Caixa issues NFS-e for its own fee only, and says so in writing.</w:t>
            </w:r>
          </w:p>
        </w:tc>
      </w:tr>
      <w:tr>
        <w:trPr>
          <w:tblHeader w:val="false"/>
        </w:trPr>
        <w:tc>
          <w:tcPr>
            <w:tcW w:type="dxa" w:w="2500"/>
            <w:tcMar>
              <w:top w:type="dxa" w:w="90"/>
              <w:left w:type="dxa" w:w="140"/>
              <w:bottom w:type="dxa" w:w="90"/>
              <w:right w:type="dxa" w:w="140"/>
            </w:tcMar>
          </w:tcPr>
          <w:p>
            <w:pPr>
              <w:spacing w:after="0" w:line="300"/>
            </w:pPr>
            <w:r>
              <w:rPr>
                <w:color w:val="141414"/>
                <w:sz w:val="22"/>
                <w:szCs w:val="22"/>
              </w:rPr>
              <w:t xml:space="preserve">Guia Caixa — AI owner-guide with voice input, read-aloud and provider-error translation</w:t>
            </w:r>
          </w:p>
        </w:tc>
        <w:tc>
          <w:tcPr>
            <w:tcW w:type="dxa" w:w="3300"/>
            <w:tcMar>
              <w:top w:type="dxa" w:w="90"/>
              <w:left w:type="dxa" w:w="140"/>
              <w:bottom w:type="dxa" w:w="90"/>
              <w:right w:type="dxa" w:w="140"/>
            </w:tcMar>
          </w:tcPr>
          <w:p>
            <w:pPr>
              <w:spacing w:after="0" w:line="300"/>
            </w:pPr>
            <w:r>
              <w:rPr>
                <w:color w:val="141414"/>
                <w:sz w:val="22"/>
                <w:szCs w:val="22"/>
              </w:rPr>
              <w:t xml:space="preserve">The draft concedes the normal path should not need it. Founder time for the first 50 accounts is cheaper and teaches more.</w:t>
            </w:r>
          </w:p>
        </w:tc>
        <w:tc>
          <w:tcPr>
            <w:tcW w:type="dxa" w:w="3560"/>
            <w:tcMar>
              <w:top w:type="dxa" w:w="90"/>
              <w:left w:type="dxa" w:w="140"/>
              <w:bottom w:type="dxa" w:w="90"/>
              <w:right w:type="dxa" w:w="140"/>
            </w:tcMar>
          </w:tcPr>
          <w:p>
            <w:pPr>
              <w:spacing w:after="0" w:line="300"/>
            </w:pPr>
            <w:r>
              <w:rPr>
                <w:color w:val="141414"/>
                <w:sz w:val="22"/>
                <w:szCs w:val="22"/>
              </w:rPr>
              <w:t xml:space="preserve">A versioned help card per activation step, plus a direct line to the founder while volume is low. Measured, then automated only where it actually fires.</w:t>
            </w:r>
          </w:p>
        </w:tc>
      </w:tr>
      <w:tr>
        <w:trPr>
          <w:tblHeader w:val="false"/>
        </w:trPr>
        <w:tc>
          <w:tcPr>
            <w:tcW w:type="dxa" w:w="2500"/>
            <w:tcMar>
              <w:top w:type="dxa" w:w="90"/>
              <w:left w:type="dxa" w:w="140"/>
              <w:bottom w:type="dxa" w:w="90"/>
              <w:right w:type="dxa" w:w="140"/>
            </w:tcMar>
          </w:tcPr>
          <w:p>
            <w:pPr>
              <w:spacing w:after="0" w:line="300"/>
            </w:pPr>
            <w:r>
              <w:rPr>
                <w:color w:val="141414"/>
                <w:sz w:val="22"/>
                <w:szCs w:val="22"/>
              </w:rPr>
              <w:t xml:space="preserve">POS consent-growth kit as a launch feature</w:t>
            </w:r>
          </w:p>
        </w:tc>
        <w:tc>
          <w:tcPr>
            <w:tcW w:type="dxa" w:w="3300"/>
            <w:tcMar>
              <w:top w:type="dxa" w:w="90"/>
              <w:left w:type="dxa" w:w="140"/>
              <w:bottom w:type="dxa" w:w="90"/>
              <w:right w:type="dxa" w:w="140"/>
            </w:tcMar>
          </w:tcPr>
          <w:p>
            <w:pPr>
              <w:spacing w:after="0" w:line="300"/>
            </w:pPr>
            <w:r>
              <w:rPr>
                <w:color w:val="141414"/>
                <w:sz w:val="22"/>
                <w:szCs w:val="22"/>
              </w:rPr>
              <w:t xml:space="preserve">A whole second product built for salons who are not yet customers, with its own landing pages, disclosure versioning and ledger writes.</w:t>
            </w:r>
          </w:p>
        </w:tc>
        <w:tc>
          <w:tcPr>
            <w:tcW w:type="dxa" w:w="3560"/>
            <w:tcMar>
              <w:top w:type="dxa" w:w="90"/>
              <w:left w:type="dxa" w:w="140"/>
              <w:bottom w:type="dxa" w:w="90"/>
              <w:right w:type="dxa" w:w="140"/>
            </w:tcMar>
          </w:tcPr>
          <w:p>
            <w:pPr>
              <w:spacing w:after="0" w:line="300"/>
            </w:pPr>
            <w:r>
              <w:rPr>
                <w:color w:val="141414"/>
                <w:sz w:val="22"/>
                <w:szCs w:val="22"/>
              </w:rPr>
              <w:t xml:space="preserve">If consent evidence is absent, say so plainly and do not onboard. Gate F opens the kit once the core loop is boring.</w:t>
            </w:r>
          </w:p>
        </w:tc>
      </w:tr>
      <w:tr>
        <w:trPr>
          <w:tblHeader w:val="false"/>
        </w:trPr>
        <w:tc>
          <w:tcPr>
            <w:tcW w:type="dxa" w:w="2500"/>
            <w:tcMar>
              <w:top w:type="dxa" w:w="90"/>
              <w:left w:type="dxa" w:w="140"/>
              <w:bottom w:type="dxa" w:w="90"/>
              <w:right w:type="dxa" w:w="140"/>
            </w:tcMar>
          </w:tcPr>
          <w:p>
            <w:pPr>
              <w:spacing w:after="0" w:line="300"/>
            </w:pPr>
            <w:r>
              <w:rPr>
                <w:color w:val="141414"/>
                <w:sz w:val="22"/>
                <w:szCs w:val="22"/>
              </w:rPr>
              <w:t xml:space="preserve">22-state owner lifecycle enum + 8 overlay states</w:t>
            </w:r>
          </w:p>
        </w:tc>
        <w:tc>
          <w:tcPr>
            <w:tcW w:type="dxa" w:w="3300"/>
            <w:tcMar>
              <w:top w:type="dxa" w:w="90"/>
              <w:left w:type="dxa" w:w="140"/>
              <w:bottom w:type="dxa" w:w="90"/>
              <w:right w:type="dxa" w:w="140"/>
            </w:tcMar>
          </w:tcPr>
          <w:p>
            <w:pPr>
              <w:spacing w:after="0" w:line="300"/>
            </w:pPr>
            <w:r>
              <w:rPr>
                <w:color w:val="141414"/>
                <w:sz w:val="22"/>
                <w:szCs w:val="22"/>
              </w:rPr>
              <w:t xml:space="preserve">Documentation theater. It will not survive the first real account, and nobody can hold it in their head.</w:t>
            </w:r>
          </w:p>
        </w:tc>
        <w:tc>
          <w:tcPr>
            <w:tcW w:type="dxa" w:w="3560"/>
            <w:tcMar>
              <w:top w:type="dxa" w:w="90"/>
              <w:left w:type="dxa" w:w="140"/>
              <w:bottom w:type="dxa" w:w="90"/>
              <w:right w:type="dxa" w:w="140"/>
            </w:tcMar>
          </w:tcPr>
          <w:p>
            <w:pPr>
              <w:spacing w:after="0" w:line="300"/>
            </w:pPr>
            <w:r>
              <w:rPr>
                <w:color w:val="141414"/>
                <w:sz w:val="22"/>
                <w:szCs w:val="22"/>
              </w:rPr>
              <w:t xml:space="preserve">A 7-card activation board (§15), a task list, and five automated nudges. States are derived from verified provider facts, never from a founder checkbox.</w:t>
            </w:r>
          </w:p>
        </w:tc>
      </w:tr>
      <w:tr>
        <w:trPr>
          <w:tblHeader w:val="false"/>
        </w:trPr>
        <w:tc>
          <w:tcPr>
            <w:tcW w:type="dxa" w:w="2500"/>
            <w:tcMar>
              <w:top w:type="dxa" w:w="90"/>
              <w:left w:type="dxa" w:w="140"/>
              <w:bottom w:type="dxa" w:w="90"/>
              <w:right w:type="dxa" w:w="140"/>
            </w:tcMar>
          </w:tcPr>
          <w:p>
            <w:pPr>
              <w:spacing w:after="0" w:line="300"/>
            </w:pPr>
            <w:r>
              <w:rPr>
                <w:color w:val="141414"/>
                <w:sz w:val="22"/>
                <w:szCs w:val="22"/>
              </w:rPr>
              <w:t xml:space="preserve">Ten kill switches</w:t>
            </w:r>
          </w:p>
        </w:tc>
        <w:tc>
          <w:tcPr>
            <w:tcW w:type="dxa" w:w="3300"/>
            <w:tcMar>
              <w:top w:type="dxa" w:w="90"/>
              <w:left w:type="dxa" w:w="140"/>
              <w:bottom w:type="dxa" w:w="90"/>
              <w:right w:type="dxa" w:w="140"/>
            </w:tcMar>
          </w:tcPr>
          <w:p>
            <w:pPr>
              <w:spacing w:after="0" w:line="300"/>
            </w:pPr>
            <w:r>
              <w:rPr>
                <w:color w:val="141414"/>
                <w:sz w:val="22"/>
                <w:szCs w:val="22"/>
              </w:rPr>
              <w:t xml:space="preserve">Eight of them are a tenant filter on the other two.</w:t>
            </w:r>
          </w:p>
        </w:tc>
        <w:tc>
          <w:tcPr>
            <w:tcW w:type="dxa" w:w="3560"/>
            <w:tcMar>
              <w:top w:type="dxa" w:w="90"/>
              <w:left w:type="dxa" w:w="140"/>
              <w:bottom w:type="dxa" w:w="90"/>
              <w:right w:type="dxa" w:w="140"/>
            </w:tcMar>
          </w:tcPr>
          <w:p>
            <w:pPr>
              <w:spacing w:after="0" w:line="300"/>
            </w:pPr>
            <w:r>
              <w:rPr>
                <w:color w:val="141414"/>
                <w:sz w:val="22"/>
                <w:szCs w:val="22"/>
              </w:rPr>
              <w:t xml:space="preserve">Two: stop all outbound sending, and stop all financial writes. Both scopeable to one tenant.</w:t>
            </w:r>
          </w:p>
        </w:tc>
      </w:tr>
      <w:tr>
        <w:trPr>
          <w:tblHeader w:val="false"/>
        </w:trPr>
        <w:tc>
          <w:tcPr>
            <w:tcW w:type="dxa" w:w="2500"/>
            <w:tcMar>
              <w:top w:type="dxa" w:w="90"/>
              <w:left w:type="dxa" w:w="140"/>
              <w:bottom w:type="dxa" w:w="90"/>
              <w:right w:type="dxa" w:w="140"/>
            </w:tcMar>
          </w:tcPr>
          <w:p>
            <w:pPr>
              <w:spacing w:after="0" w:line="300"/>
            </w:pPr>
            <w:r>
              <w:rPr>
                <w:color w:val="141414"/>
                <w:sz w:val="22"/>
                <w:szCs w:val="22"/>
              </w:rPr>
              <w:t xml:space="preserve">Three device-handoff mechanisms (continue here / send to computer / ask the admin)</w:t>
            </w:r>
          </w:p>
        </w:tc>
        <w:tc>
          <w:tcPr>
            <w:tcW w:type="dxa" w:w="3300"/>
            <w:tcMar>
              <w:top w:type="dxa" w:w="90"/>
              <w:left w:type="dxa" w:w="140"/>
              <w:bottom w:type="dxa" w:w="90"/>
              <w:right w:type="dxa" w:w="140"/>
            </w:tcMar>
          </w:tcPr>
          <w:p>
            <w:pPr>
              <w:spacing w:after="0" w:line="300"/>
            </w:pPr>
            <w:r>
              <w:rPr>
                <w:color w:val="141414"/>
                <w:sz w:val="22"/>
                <w:szCs w:val="22"/>
              </w:rPr>
              <w:t xml:space="preserve">Three UX paths for one problem: the wrong person is holding the phone.</w:t>
            </w:r>
          </w:p>
        </w:tc>
        <w:tc>
          <w:tcPr>
            <w:tcW w:type="dxa" w:w="3560"/>
            <w:tcMar>
              <w:top w:type="dxa" w:w="90"/>
              <w:left w:type="dxa" w:w="140"/>
              <w:bottom w:type="dxa" w:w="90"/>
              <w:right w:type="dxa" w:w="140"/>
            </w:tcMar>
          </w:tcPr>
          <w:p>
            <w:pPr>
              <w:spacing w:after="0" w:line="300"/>
            </w:pPr>
            <w:r>
              <w:rPr>
                <w:color w:val="141414"/>
                <w:sz w:val="22"/>
                <w:szCs w:val="22"/>
              </w:rPr>
              <w:t xml:space="preserve">One magic link that resumes exact state on any device. The owner forwards it to whoever she needs. One mechanism.</w:t>
            </w:r>
          </w:p>
        </w:tc>
      </w:tr>
    </w:tbl>
    <w:p>
      <w:pPr>
        <w:spacing w:after="60"/>
      </w:pPr>
    </w:p>
    <w:p>
      <w:pPr>
        <w:pStyle w:val="Heading1"/>
        <w:spacing w:after="200" w:before="360"/>
      </w:pPr>
      <w:r>
        <w:rPr>
          <w:b/>
          <w:bCs/>
          <w:color w:val="0B4A36"/>
        </w:rPr>
        <w:t xml:space="preserve">§0.6 · The honest promise</w:t>
      </w:r>
    </w:p>
    <w:tbl>
      <w:tblPr>
        <w:tblW w:type="dxa" w:w="9360"/>
        <w:tblBorders>
          <w:top w:val="none"/>
          <w:left w:val="single" w:color="1D6B4F" w:sz="24"/>
          <w:bottom w:val="none"/>
          <w:right w:val="none"/>
          <w:insideH w:val="none"/>
          <w:insideV w:val="none"/>
        </w:tblBorders>
      </w:tblPr>
      <w:tblGrid>
        <w:gridCol w:w="9360"/>
      </w:tblGrid>
      <w:tr>
        <w:tc>
          <w:tcPr>
            <w:tcW w:type="dxa" w:w="9360"/>
            <w:shd w:fill="EEF5F1" w:val="clear"/>
            <w:tcMar>
              <w:top w:type="dxa" w:w="140"/>
              <w:left w:type="dxa" w:w="220"/>
              <w:bottom w:type="dxa" w:w="140"/>
              <w:right w:type="dxa" w:w="220"/>
            </w:tcMar>
          </w:tcPr>
          <w:p>
            <w:pPr>
              <w:spacing w:after="160" w:line="360"/>
            </w:pPr>
            <w:r>
              <w:rPr>
                <w:i/>
                <w:iCs/>
                <w:color w:val="0A6E4C"/>
              </w:rPr>
              <w:t xml:space="preserve">“Comece em 2 minutos. Você faz sua parte pelo celular; avisamos assim que dados, WhatsApp e recebimentos estiverem prontos.”</w:t>
            </w:r>
          </w:p>
          <w:p>
            <w:pPr>
              <w:spacing w:after="160" w:line="360"/>
            </w:pPr>
            <w:r>
              <w:rPr>
                <w:color w:val="141414"/>
              </w:rPr>
              <w:t xml:space="preserve">Never show a spinner for an asynchronous provider process. Every task reads as exactly one of: </w:t>
            </w:r>
            <w:r>
              <w:rPr>
                <w:b/>
                <w:bCs/>
                <w:color w:val="141414"/>
              </w:rPr>
              <w:t xml:space="preserve">Sua parte terminou</w:t>
            </w:r>
            <w:r>
              <w:rPr>
                <w:color w:val="141414"/>
              </w:rPr>
              <w:t xml:space="preserve"> · </w:t>
            </w:r>
            <w:r>
              <w:rPr>
                <w:b/>
                <w:bCs/>
                <w:color w:val="141414"/>
              </w:rPr>
              <w:t xml:space="preserve">Aguardando aprovação externa</w:t>
            </w:r>
            <w:r>
              <w:rPr>
                <w:color w:val="141414"/>
              </w:rPr>
              <w:t xml:space="preserve"> · </w:t>
            </w:r>
            <w:r>
              <w:rPr>
                <w:b/>
                <w:bCs/>
                <w:color w:val="141414"/>
              </w:rPr>
              <w:t xml:space="preserve">Precisamos de uma ação sua</w:t>
            </w:r>
            <w:r>
              <w:rPr>
                <w:color w:val="141414"/>
              </w:rPr>
              <w:t xml:space="preserve">.</w:t>
            </w:r>
          </w:p>
        </w:tc>
      </w:tr>
    </w:tbl>
    <w:p>
      <w:r>
        <w:br w:type="page"/>
      </w:r>
    </w:p>
    <w:tbl>
      <w:tblPr>
        <w:tblW w:type="dxa" w:w="9360"/>
        <w:tblBorders>
          <w:top w:val="none"/>
          <w:left w:val="none"/>
          <w:bottom w:val="none"/>
          <w:right w:val="none"/>
          <w:insideH w:val="none"/>
          <w:insideV w:val="none"/>
        </w:tblBorders>
      </w:tblPr>
      <w:tblGrid>
        <w:gridCol w:w="9360"/>
      </w:tblGrid>
      <w:tr>
        <w:tc>
          <w:tcPr>
            <w:tcW w:type="dxa" w:w="9360"/>
            <w:shd w:fill="0B4A36" w:val="clear"/>
            <w:tcMar>
              <w:top w:type="dxa" w:w="260"/>
              <w:left w:type="dxa" w:w="300"/>
              <w:bottom w:type="dxa" w:w="260"/>
              <w:right w:type="dxa" w:w="300"/>
            </w:tcMar>
          </w:tcPr>
          <w:p>
            <w:pPr>
              <w:spacing w:after="80"/>
            </w:pPr>
            <w:r>
              <w:rPr>
                <w:b/>
                <w:bCs/>
                <w:caps/>
                <w:color w:val="BFE3D3"/>
                <w:sz w:val="22"/>
                <w:szCs w:val="22"/>
              </w:rPr>
              <w:t xml:space="preserve">Part I</w:t>
            </w:r>
          </w:p>
          <w:p>
            <w:pPr>
              <w:spacing w:after="0"/>
            </w:pPr>
            <w:r>
              <w:rPr>
                <w:b/>
                <w:bCs/>
                <w:color w:val="FFFFFF"/>
                <w:sz w:val="40"/>
                <w:szCs w:val="40"/>
              </w:rPr>
              <w:t xml:space="preserve">The commercial foundation</w:t>
            </w:r>
          </w:p>
        </w:tc>
      </w:tr>
    </w:tbl>
    <w:p>
      <w:pPr>
        <w:spacing w:after="60"/>
      </w:pPr>
    </w:p>
    <w:p>
      <w:pPr>
        <w:pStyle w:val="Heading1"/>
        <w:spacing w:after="200" w:before="360"/>
      </w:pPr>
      <w:r>
        <w:rPr>
          <w:b/>
          <w:bCs/>
          <w:color w:val="0B4A36"/>
        </w:rPr>
        <w:t xml:space="preserve">§1 · The product, and what it is not</w:t>
      </w:r>
    </w:p>
    <w:p>
      <w:pPr>
        <w:spacing w:after="160" w:line="360"/>
      </w:pPr>
      <w:r>
        <w:rPr>
          <w:color w:val="141414"/>
        </w:rPr>
        <w:t xml:space="preserve">Caixa Cheia identifies genuinely lapsed, legally contactable clients; helps the salon define one fulfillable return offer; sends one owner-authorized template from the salon’s own WhatsApp number; and maintains the resulting voucher until it is redeemed or refunded.</w:t>
      </w:r>
    </w:p>
    <w:p>
      <w:pPr>
        <w:spacing w:after="160" w:line="360"/>
      </w:pPr>
      <w:r>
        <w:rPr>
          <w:b/>
          <w:bCs/>
          <w:color w:val="141414"/>
        </w:rPr>
        <w:t xml:space="preserve">It is not: </w:t>
      </w:r>
      <w:r>
        <w:rPr>
          <w:color w:val="141414"/>
        </w:rPr>
        <w:t xml:space="preserve">a WhatsApp CRM, a bulk sender, an agenda replacement, a debt collector, an AI receptionist, a marketplace, a merchant of record, a custodian of anyone’s money, a subscription, or a multi-vertical platform.</w:t>
      </w:r>
    </w:p>
    <w:p>
      <w:pPr>
        <w:pStyle w:val="Heading3"/>
        <w:spacing w:after="120" w:before="220"/>
      </w:pPr>
      <w:r>
        <w:rPr>
          <w:b/>
          <w:bCs/>
          <w:color w:val="141414"/>
        </w:rPr>
        <w:t xml:space="preserve">One offer archetype at launch</w:t>
      </w:r>
    </w:p>
    <w:p>
      <w:pPr>
        <w:spacing w:after="160" w:line="360"/>
      </w:pPr>
      <w:r>
        <w:rPr>
          <w:color w:val="141414"/>
        </w:rPr>
        <w:t xml:space="preserve">A single-redemption, fixed-price prepaid voucher for one precisely defined service or bundle. Nothing else.</w:t>
      </w:r>
    </w:p>
    <w:p>
      <w:pPr>
        <w:spacing w:after="160" w:line="360"/>
      </w:pPr>
      <w:r>
        <w:rPr>
          <w:color w:val="141414"/>
        </w:rPr>
        <w:t xml:space="preserve">Deposits, multi-session packages, subscriptions and variable balances each create a different fulfillment, accounting and refund path. They enter only through an evidence gate (§29), never because a prospect asked nicely.</w:t>
      </w:r>
    </w:p>
    <w:p>
      <w:pPr>
        <w:pStyle w:val="Heading3"/>
        <w:spacing w:after="120" w:before="220"/>
      </w:pPr>
      <w:r>
        <w:rPr>
          <w:b/>
          <w:bCs/>
          <w:color w:val="141414"/>
        </w:rPr>
        <w:t xml:space="preserve">Who is who</w:t>
      </w:r>
    </w:p>
    <w:p>
      <w:pPr>
        <w:pStyle w:val="ListParagraph"/>
        <w:numPr>
          <w:ilvl w:val="0"/>
          <w:numId w:val="2"/>
        </w:numPr>
        <w:spacing w:after="100" w:line="340"/>
      </w:pPr>
      <w:r>
        <w:rPr>
          <w:b/>
          <w:bCs/>
          <w:color w:val="141414"/>
        </w:rPr>
        <w:t xml:space="preserve">The salon is the seller. </w:t>
      </w:r>
      <w:r>
        <w:rPr>
          <w:color w:val="141414"/>
        </w:rPr>
        <w:t xml:space="preserve">Its CNPJ, terms, support contact and fulfillment duty appear in the sale record and in the customer’s experience.</w:t>
      </w:r>
    </w:p>
    <w:p>
      <w:pPr>
        <w:pStyle w:val="ListParagraph"/>
        <w:numPr>
          <w:ilvl w:val="0"/>
          <w:numId w:val="2"/>
        </w:numPr>
        <w:spacing w:after="100" w:line="340"/>
      </w:pPr>
      <w:r>
        <w:rPr>
          <w:b/>
          <w:bCs/>
          <w:color w:val="141414"/>
        </w:rPr>
        <w:t xml:space="preserve">Asaas hosts payment </w:t>
      </w:r>
      <w:r>
        <w:rPr>
          <w:color w:val="141414"/>
        </w:rPr>
        <w:t xml:space="preserve">and settles into the salon’s own account.</w:t>
      </w:r>
    </w:p>
    <w:p>
      <w:pPr>
        <w:pStyle w:val="ListParagraph"/>
        <w:numPr>
          <w:ilvl w:val="0"/>
          <w:numId w:val="2"/>
        </w:numPr>
        <w:spacing w:after="100" w:line="340"/>
      </w:pPr>
      <w:r>
        <w:rPr>
          <w:b/>
          <w:bCs/>
          <w:color w:val="141414"/>
        </w:rPr>
        <w:t xml:space="preserve">Caixa Cheia provides software </w:t>
      </w:r>
      <w:r>
        <w:rPr>
          <w:color w:val="141414"/>
        </w:rPr>
        <w:t xml:space="preserve">— campaign, checkout orchestration, voucher, reporting — and receives its 20% split.</w:t>
      </w:r>
    </w:p>
    <w:p>
      <w:pPr>
        <w:pStyle w:val="ListParagraph"/>
        <w:numPr>
          <w:ilvl w:val="0"/>
          <w:numId w:val="2"/>
        </w:numPr>
        <w:spacing w:after="100" w:line="340"/>
      </w:pPr>
      <w:r>
        <w:rPr>
          <w:b/>
          <w:bCs/>
          <w:color w:val="141414"/>
        </w:rPr>
        <w:t xml:space="preserve">LGPD roles are documented per purpose by counsel </w:t>
      </w:r>
      <w:r>
        <w:rPr>
          <w:color w:val="141414"/>
        </w:rPr>
        <w:t xml:space="preserve">(§23). The intended allocation is not treated as legally self-proving.</w:t>
      </w:r>
    </w:p>
    <w:p>
      <w:pPr>
        <w:spacing w:after="60"/>
      </w:pPr>
    </w:p>
    <w:p>
      <w:pPr>
        <w:pStyle w:val="Heading1"/>
        <w:spacing w:after="200" w:before="360"/>
      </w:pPr>
      <w:r>
        <w:rPr>
          <w:b/>
          <w:bCs/>
          <w:color w:val="0B4A36"/>
        </w:rPr>
        <w:t xml:space="preserve">§2 · Ideal customer profile</w:t>
      </w:r>
    </w:p>
    <w:p>
      <w:pPr>
        <w:spacing w:after="160" w:line="360"/>
      </w:pPr>
      <w:r>
        <w:rPr>
          <w:b/>
          <w:bCs/>
          <w:color w:val="141414"/>
        </w:rPr>
        <w:t xml:space="preserve">Core ICP — all of the following must be true:</w:t>
      </w:r>
    </w:p>
    <w:p>
      <w:pPr>
        <w:pStyle w:val="ListParagraph"/>
        <w:numPr>
          <w:ilvl w:val="0"/>
          <w:numId w:val="2"/>
        </w:numPr>
        <w:spacing w:after="100" w:line="340"/>
      </w:pPr>
      <w:r>
        <w:rPr>
          <w:color w:val="141414"/>
        </w:rPr>
        <w:t xml:space="preserve">Trinks is the system of record.</w:t>
      </w:r>
    </w:p>
    <w:p>
      <w:pPr>
        <w:pStyle w:val="ListParagraph"/>
        <w:numPr>
          <w:ilvl w:val="0"/>
          <w:numId w:val="2"/>
        </w:numPr>
        <w:spacing w:after="100" w:line="340"/>
      </w:pPr>
      <w:r>
        <w:rPr>
          <w:color w:val="141414"/>
        </w:rPr>
        <w:t xml:space="preserve">Non-medical, with no health-data-adjacent service inside the connected tenant.</w:t>
      </w:r>
    </w:p>
    <w:p>
      <w:pPr>
        <w:pStyle w:val="ListParagraph"/>
        <w:numPr>
          <w:ilvl w:val="0"/>
          <w:numId w:val="2"/>
        </w:numPr>
        <w:spacing w:after="100" w:line="340"/>
      </w:pPr>
      <w:r>
        <w:rPr>
          <w:color w:val="141414"/>
        </w:rPr>
        <w:t xml:space="preserve">A recurring cadence from which lapse is computable from data alone.</w:t>
      </w:r>
    </w:p>
    <w:p>
      <w:pPr>
        <w:pStyle w:val="ListParagraph"/>
        <w:numPr>
          <w:ilvl w:val="0"/>
          <w:numId w:val="2"/>
        </w:numPr>
        <w:spacing w:after="100" w:line="340"/>
      </w:pPr>
      <w:r>
        <w:rPr>
          <w:color w:val="141414"/>
        </w:rPr>
        <w:t xml:space="preserve">Able to produce the export bundle (§11).</w:t>
      </w:r>
    </w:p>
    <w:p>
      <w:pPr>
        <w:pStyle w:val="ListParagraph"/>
        <w:numPr>
          <w:ilvl w:val="0"/>
          <w:numId w:val="2"/>
        </w:numPr>
        <w:spacing w:after="100" w:line="340"/>
      </w:pPr>
      <w:r>
        <w:rPr>
          <w:color w:val="141414"/>
        </w:rPr>
        <w:t xml:space="preserve">A meaningful pool of </w:t>
      </w:r>
      <w:r>
        <w:rPr>
          <w:b/>
          <w:bCs/>
          <w:color w:val="141414"/>
        </w:rPr>
        <w:t xml:space="preserve">fully sendable</w:t>
      </w:r>
      <w:r>
        <w:rPr>
          <w:color w:val="141414"/>
        </w:rPr>
        <w:t xml:space="preserve"> clients — not merely lapsed records.</w:t>
      </w:r>
    </w:p>
    <w:p>
      <w:pPr>
        <w:pStyle w:val="ListParagraph"/>
        <w:numPr>
          <w:ilvl w:val="0"/>
          <w:numId w:val="2"/>
        </w:numPr>
        <w:spacing w:after="100" w:line="340"/>
      </w:pPr>
      <w:r>
        <w:rPr>
          <w:color w:val="141414"/>
        </w:rPr>
        <w:t xml:space="preserve">Ticket high enough that 20% plus variable campaign cost still leaves contribution.</w:t>
      </w:r>
    </w:p>
    <w:p>
      <w:pPr>
        <w:pStyle w:val="ListParagraph"/>
        <w:numPr>
          <w:ilvl w:val="0"/>
          <w:numId w:val="2"/>
        </w:numPr>
        <w:spacing w:after="100" w:line="340"/>
      </w:pPr>
      <w:r>
        <w:rPr>
          <w:color w:val="141414"/>
        </w:rPr>
        <w:t xml:space="preserve">Real capacity to honor every voucher sold.</w:t>
      </w:r>
    </w:p>
    <w:p>
      <w:pPr>
        <w:pStyle w:val="ListParagraph"/>
        <w:numPr>
          <w:ilvl w:val="0"/>
          <w:numId w:val="2"/>
        </w:numPr>
        <w:spacing w:after="100" w:line="340"/>
      </w:pPr>
      <w:r>
        <w:rPr>
          <w:color w:val="141414"/>
        </w:rPr>
        <w:t xml:space="preserve">Reception that can own human handoffs during declared hours.</w:t>
      </w:r>
    </w:p>
    <w:p>
      <w:pPr>
        <w:pStyle w:val="ListParagraph"/>
        <w:numPr>
          <w:ilvl w:val="0"/>
          <w:numId w:val="2"/>
        </w:numPr>
        <w:spacing w:after="100" w:line="340"/>
      </w:pPr>
      <w:r>
        <w:rPr>
          <w:color w:val="141414"/>
        </w:rPr>
        <w:t xml:space="preserve">An authorized person who can approve offer and manifest.</w:t>
      </w:r>
    </w:p>
    <w:p>
      <w:pPr>
        <w:spacing w:after="160" w:line="360"/>
      </w:pPr>
      <w:r>
        <w:rPr>
          <w:color w:val="141414"/>
        </w:rPr>
        <w:t xml:space="preserve">The v4 markers of 500+ eligible contacts and R$250+ ticket remain </w:t>
      </w:r>
      <w:r>
        <w:rPr>
          <w:b/>
          <w:bCs/>
          <w:color w:val="141414"/>
        </w:rPr>
        <w:t xml:space="preserve">prospecting hypotheses, not acceptance rules</w:t>
      </w:r>
      <w:r>
        <w:rPr>
          <w:color w:val="141414"/>
        </w:rPr>
        <w:t xml:space="preserve">. The real minimum pool is computed from campaign contribution after the first production cohorts.</w:t>
      </w:r>
    </w:p>
    <w:p>
      <w:pPr>
        <w:spacing w:after="160" w:line="360"/>
      </w:pPr>
      <w:r>
        <w:rPr>
          <w:b/>
          <w:bCs/>
          <w:color w:val="141414"/>
        </w:rPr>
        <w:t xml:space="preserve">Excluded: </w:t>
      </w:r>
      <w:r>
        <w:rPr>
          <w:color w:val="141414"/>
        </w:rPr>
        <w:t xml:space="preserve">medical/dental/injectable/clinical aesthetics; any business that cannot separate non-medical from sensitive records; low-ticket businesses with negative realistic contribution; bridal- or event-only work with no recurring cadence; owners without authoritative digital records; accounts that cannot prove marketing permission; accounts that cannot honor capacity; known-minor audiences without required authorization; and anyone asking Caixa to evade Meta, Asaas, consumer, tax or privacy rules.</w:t>
      </w:r>
    </w:p>
    <w:p>
      <w:pPr>
        <w:spacing w:after="60"/>
      </w:pPr>
    </w:p>
    <w:p>
      <w:pPr>
        <w:pStyle w:val="Heading1"/>
        <w:spacing w:after="200" w:before="360"/>
      </w:pPr>
      <w:r>
        <w:rPr>
          <w:b/>
          <w:bCs/>
          <w:color w:val="0B4A36"/>
        </w:rPr>
        <w:t xml:space="preserve">§3 · Why anyone pays for this</w:t>
      </w:r>
    </w:p>
    <w:p>
      <w:pPr>
        <w:spacing w:after="160" w:line="360"/>
      </w:pPr>
      <w:r>
        <w:rPr>
          <w:color w:val="141414"/>
        </w:rPr>
        <w:t xml:space="preserve">Trinks already ships client reports, return invitations, WhatsApp features and online payments. So Caixa Cheia does not sell </w:t>
      </w:r>
      <w:r>
        <w:rPr>
          <w:i/>
          <w:iCs/>
          <w:color w:val="5B6B66"/>
        </w:rPr>
        <w:t xml:space="preserve">the ability to send a reactivation message</w:t>
      </w:r>
      <w:r>
        <w:rPr>
          <w:color w:val="141414"/>
        </w:rPr>
        <w:t xml:space="preserve">. It sells the disciplined commercial wrapper busy owners do not execute:</w:t>
      </w:r>
    </w:p>
    <w:p>
      <w:pPr>
        <w:pStyle w:val="ListParagraph"/>
        <w:numPr>
          <w:ilvl w:val="0"/>
          <w:numId w:val="2"/>
        </w:numPr>
        <w:spacing w:after="100" w:line="340"/>
      </w:pPr>
      <w:r>
        <w:rPr>
          <w:color w:val="141414"/>
        </w:rPr>
        <w:t xml:space="preserve">fail-closed eligibility and consent;</w:t>
      </w:r>
    </w:p>
    <w:p>
      <w:pPr>
        <w:pStyle w:val="ListParagraph"/>
        <w:numPr>
          <w:ilvl w:val="0"/>
          <w:numId w:val="2"/>
        </w:numPr>
        <w:spacing w:after="100" w:line="340"/>
      </w:pPr>
      <w:r>
        <w:rPr>
          <w:color w:val="141414"/>
        </w:rPr>
        <w:t xml:space="preserve">a capacity-backed prepaid offer with frozen terms;</w:t>
      </w:r>
    </w:p>
    <w:p>
      <w:pPr>
        <w:pStyle w:val="ListParagraph"/>
        <w:numPr>
          <w:ilvl w:val="0"/>
          <w:numId w:val="2"/>
        </w:numPr>
        <w:spacing w:after="100" w:line="340"/>
      </w:pPr>
      <w:r>
        <w:rPr>
          <w:color w:val="141414"/>
        </w:rPr>
        <w:t xml:space="preserve">exact owner authorization, stored and hashed;</w:t>
      </w:r>
    </w:p>
    <w:p>
      <w:pPr>
        <w:pStyle w:val="ListParagraph"/>
        <w:numPr>
          <w:ilvl w:val="0"/>
          <w:numId w:val="2"/>
        </w:numPr>
        <w:spacing w:after="100" w:line="340"/>
      </w:pPr>
      <w:r>
        <w:rPr>
          <w:color w:val="141414"/>
        </w:rPr>
        <w:t xml:space="preserve">payment-source fee collection — nothing to invoice, nothing to chase;</w:t>
      </w:r>
    </w:p>
    <w:p>
      <w:pPr>
        <w:pStyle w:val="ListParagraph"/>
        <w:numPr>
          <w:ilvl w:val="0"/>
          <w:numId w:val="2"/>
        </w:numPr>
        <w:spacing w:after="100" w:line="340"/>
      </w:pPr>
      <w:r>
        <w:rPr>
          <w:color w:val="141414"/>
        </w:rPr>
        <w:t xml:space="preserve">accountable fulfillment through redemption or refund;</w:t>
      </w:r>
    </w:p>
    <w:p>
      <w:pPr>
        <w:pStyle w:val="ListParagraph"/>
        <w:numPr>
          <w:ilvl w:val="0"/>
          <w:numId w:val="2"/>
        </w:numPr>
        <w:spacing w:after="100" w:line="340"/>
      </w:pPr>
      <w:r>
        <w:rPr>
          <w:color w:val="141414"/>
        </w:rPr>
        <w:t xml:space="preserve">results-only pricing;</w:t>
      </w:r>
    </w:p>
    <w:p>
      <w:pPr>
        <w:pStyle w:val="ListParagraph"/>
        <w:numPr>
          <w:ilvl w:val="0"/>
          <w:numId w:val="2"/>
        </w:numPr>
        <w:spacing w:after="100" w:line="340"/>
      </w:pPr>
      <w:r>
        <w:rPr>
          <w:color w:val="141414"/>
        </w:rPr>
        <w:t xml:space="preserve">provider operations run as a system rather than as a series of surprises.</w:t>
      </w:r>
    </w:p>
    <w:p>
      <w:pPr>
        <w:spacing w:after="160" w:line="360"/>
      </w:pPr>
      <w:r>
        <w:rPr>
          <w:b/>
          <w:bCs/>
          <w:color w:val="141414"/>
        </w:rPr>
        <w:t xml:space="preserve">The moat is not code and not price. </w:t>
      </w:r>
      <w:r>
        <w:rPr>
          <w:color w:val="141414"/>
        </w:rPr>
        <w:t xml:space="preserve">It is the measured operating system: compliant source mapping, fulfillment discipline, provider recovery playbooks, statements salons trust, referral density, and comparable production results nobody else has. No WhatsApp conversation data or client-level history ever trains a shared model.</w:t>
      </w:r>
    </w:p>
    <w:p>
      <w:pPr>
        <w:spacing w:after="60"/>
      </w:pPr>
    </w:p>
    <w:p>
      <w:pPr>
        <w:pStyle w:val="Heading1"/>
        <w:spacing w:after="200" w:before="360"/>
      </w:pPr>
      <w:r>
        <w:rPr>
          <w:b/>
          <w:bCs/>
          <w:color w:val="0B4A36"/>
        </w:rPr>
        <w:t xml:space="preserve">§4 · Commercial terms</w:t>
      </w:r>
    </w:p>
    <w:tbl>
      <w:tblPr>
        <w:tblW w:type="dxa" w:w="9360"/>
        <w:tblBorders>
          <w:top w:val="none"/>
          <w:left w:val="single" w:color="1D6B4F" w:sz="24"/>
          <w:bottom w:val="none"/>
          <w:right w:val="none"/>
          <w:insideH w:val="none"/>
          <w:insideV w:val="none"/>
        </w:tblBorders>
      </w:tblPr>
      <w:tblGrid>
        <w:gridCol w:w="9360"/>
      </w:tblGrid>
      <w:tr>
        <w:tc>
          <w:tcPr>
            <w:tcW w:type="dxa" w:w="9360"/>
            <w:shd w:fill="EEF5F1" w:val="clear"/>
            <w:tcMar>
              <w:top w:type="dxa" w:w="140"/>
              <w:left w:type="dxa" w:w="220"/>
              <w:bottom w:type="dxa" w:w="140"/>
              <w:right w:type="dxa" w:w="220"/>
            </w:tcMar>
          </w:tcPr>
          <w:p>
            <w:pPr>
              <w:spacing w:after="160" w:line="360"/>
            </w:pPr>
            <w:r>
              <w:rPr>
                <w:b/>
                <w:bCs/>
                <w:color w:val="141414"/>
              </w:rPr>
              <w:t xml:space="preserve">Caixa fee = 20% × Asaas netValue</w:t>
            </w:r>
            <w:r>
              <w:rPr>
                <w:color w:val="141414"/>
              </w:rPr>
              <w:t xml:space="preserve">, recognized only when all three hold:</w:t>
            </w:r>
          </w:p>
          <w:p>
            <w:pPr>
              <w:pStyle w:val="ListParagraph"/>
              <w:numPr>
                <w:ilvl w:val="0"/>
                <w:numId w:val="2"/>
              </w:numPr>
              <w:spacing w:after="100" w:line="340"/>
            </w:pPr>
            <w:r>
              <w:rPr>
                <w:color w:val="141414"/>
              </w:rPr>
              <w:t xml:space="preserve">the payment is confirmed by an authenticated Asaas webhook;</w:t>
            </w:r>
          </w:p>
          <w:p>
            <w:pPr>
              <w:pStyle w:val="ListParagraph"/>
              <w:numPr>
                <w:ilvl w:val="0"/>
                <w:numId w:val="2"/>
              </w:numPr>
              <w:spacing w:after="100" w:line="340"/>
            </w:pPr>
            <w:r>
              <w:rPr>
                <w:color w:val="141414"/>
              </w:rPr>
              <w:t xml:space="preserve">the related split status is </w:t>
            </w:r>
            <w:r>
              <w:rPr>
                <w:rFonts w:ascii="Consolas" w:cs="Consolas" w:eastAsia="Consolas" w:hAnsi="Consolas"/>
                <w:color w:val="0A6E4C"/>
                <w:sz w:val="21"/>
                <w:szCs w:val="21"/>
              </w:rPr>
              <w:t xml:space="preserve">DONE</w:t>
            </w:r>
            <w:r>
              <w:rPr>
                <w:color w:val="141414"/>
              </w:rPr>
              <w:t xml:space="preserve">; and</w:t>
            </w:r>
          </w:p>
          <w:p>
            <w:pPr>
              <w:pStyle w:val="ListParagraph"/>
              <w:numPr>
                <w:ilvl w:val="0"/>
                <w:numId w:val="2"/>
              </w:numPr>
              <w:spacing w:after="100" w:line="340"/>
            </w:pPr>
            <w:r>
              <w:rPr>
                <w:color w:val="141414"/>
              </w:rPr>
              <w:t xml:space="preserve">the event has not already been posted.</w:t>
            </w:r>
          </w:p>
          <w:p>
            <w:pPr>
              <w:spacing w:after="160" w:line="360"/>
            </w:pPr>
            <w:r>
              <w:rPr>
                <w:color w:val="141414"/>
              </w:rPr>
              <w:t xml:space="preserve">A split that is </w:t>
            </w:r>
            <w:r>
              <w:rPr>
                <w:rFonts w:ascii="Consolas" w:cs="Consolas" w:eastAsia="Consolas" w:hAnsi="Consolas"/>
                <w:color w:val="0A6E4C"/>
                <w:sz w:val="21"/>
                <w:szCs w:val="21"/>
              </w:rPr>
              <w:t xml:space="preserve">PENDING</w:t>
            </w:r>
            <w:r>
              <w:rPr>
                <w:color w:val="141414"/>
              </w:rPr>
              <w:t xml:space="preserve">, </w:t>
            </w:r>
            <w:r>
              <w:rPr>
                <w:rFonts w:ascii="Consolas" w:cs="Consolas" w:eastAsia="Consolas" w:hAnsi="Consolas"/>
                <w:color w:val="0A6E4C"/>
                <w:sz w:val="21"/>
                <w:szCs w:val="21"/>
              </w:rPr>
              <w:t xml:space="preserve">AWAITING_CREDIT</w:t>
            </w:r>
            <w:r>
              <w:rPr>
                <w:color w:val="141414"/>
              </w:rPr>
              <w:t xml:space="preserve">, </w:t>
            </w:r>
            <w:r>
              <w:rPr>
                <w:rFonts w:ascii="Consolas" w:cs="Consolas" w:eastAsia="Consolas" w:hAnsi="Consolas"/>
                <w:color w:val="0A6E4C"/>
                <w:sz w:val="21"/>
                <w:szCs w:val="21"/>
              </w:rPr>
              <w:t xml:space="preserve">REFUSED</w:t>
            </w:r>
            <w:r>
              <w:rPr>
                <w:color w:val="141414"/>
              </w:rPr>
              <w:t xml:space="preserve">, </w:t>
            </w:r>
            <w:r>
              <w:rPr>
                <w:rFonts w:ascii="Consolas" w:cs="Consolas" w:eastAsia="Consolas" w:hAnsi="Consolas"/>
                <w:color w:val="0A6E4C"/>
                <w:sz w:val="21"/>
                <w:szCs w:val="21"/>
              </w:rPr>
              <w:t xml:space="preserve">CANCELLED</w:t>
            </w:r>
            <w:r>
              <w:rPr>
                <w:color w:val="141414"/>
              </w:rPr>
              <w:t xml:space="preserve"> or </w:t>
            </w:r>
            <w:r>
              <w:rPr>
                <w:rFonts w:ascii="Consolas" w:cs="Consolas" w:eastAsia="Consolas" w:hAnsi="Consolas"/>
                <w:color w:val="0A6E4C"/>
                <w:sz w:val="21"/>
                <w:szCs w:val="21"/>
              </w:rPr>
              <w:t xml:space="preserve">REFUNDED</w:t>
            </w:r>
            <w:r>
              <w:rPr>
                <w:color w:val="141414"/>
              </w:rPr>
              <w:t xml:space="preserve"> is never recognized as available revenue. Refund or chargeback reverses the fee ledger.</w:t>
            </w:r>
          </w:p>
        </w:tc>
      </w:tr>
    </w:tbl>
    <w:p>
      <w:pPr>
        <w:spacing w:after="160" w:line="360"/>
      </w:pPr>
      <w:r>
        <w:rPr>
          <w:b/>
          <w:bCs/>
          <w:color w:val="141414"/>
        </w:rPr>
        <w:t xml:space="preserve">One price: 20%. </w:t>
      </w:r>
      <w:r>
        <w:rPr>
          <w:color w:val="141414"/>
        </w:rPr>
        <w:t xml:space="preserve">Founding salons get more of the founder’s attention, not a different number. A second price tier would complicate the one promise that makes this sellable in a sentence.</w:t>
      </w:r>
    </w:p>
    <w:p>
      <w:pPr>
        <w:spacing w:after="160" w:line="360"/>
      </w:pPr>
      <w:r>
        <w:rPr>
          <w:b/>
          <w:bCs/>
          <w:color w:val="141414"/>
        </w:rPr>
        <w:t xml:space="preserve">Attribution. </w:t>
      </w:r>
      <w:r>
        <w:rPr>
          <w:color w:val="141414"/>
        </w:rPr>
        <w:t xml:space="preserve">Only a payment created through the stable campaign offer path counts. A recipient who walks in and pays at the counter generates no fee. That leakage is accepted deliberately — it is what buys the absence of every attribution argument.</w:t>
      </w:r>
    </w:p>
    <w:p>
      <w:pPr>
        <w:spacing w:after="160" w:line="360"/>
      </w:pPr>
      <w:r>
        <w:rPr>
          <w:b/>
          <w:bCs/>
          <w:color w:val="141414"/>
        </w:rPr>
        <w:t xml:space="preserve">Termination. </w:t>
      </w:r>
      <w:r>
        <w:rPr>
          <w:color w:val="141414"/>
        </w:rPr>
        <w:t xml:space="preserve">New sends stop immediately; unpaid and unredeemed offers run out under frozen terms; charges created before termination may still settle or refund; provider credentials are revoked once financial and refund duties are safely transferred; operational data is returned or deleted on the retention schedule; and records that must legally remain are isolated to that purpose and period. No hostage data, no exit fee, no post-termination campaign.</w:t>
      </w:r>
    </w:p>
    <w:p>
      <w:pPr>
        <w:spacing w:after="60"/>
      </w:pPr>
    </w:p>
    <w:p>
      <w:pPr>
        <w:pStyle w:val="Heading1"/>
        <w:spacing w:after="200" w:before="360"/>
      </w:pPr>
      <w:r>
        <w:rPr>
          <w:b/>
          <w:bCs/>
          <w:color w:val="0B4A36"/>
        </w:rPr>
        <w:t xml:space="preserve">§5 · One acquisition door</w:t>
      </w:r>
    </w:p>
    <w:p>
      <w:pPr>
        <w:spacing w:after="160" w:line="360"/>
      </w:pPr>
      <w:r>
        <w:rPr>
          <w:color w:val="141414"/>
        </w:rPr>
        <w:t xml:space="preserve">The free eligibility scan is the only door. It now reports three separate numbers, because conflating them is how a plan lies to itself:</w:t>
      </w:r>
    </w:p>
    <w:tbl>
      <w:tblPr>
        <w:tblW w:type="dxa" w:w="9360"/>
        <w:tblBorders>
          <w:top w:val="single" w:color="1D6B4F" w:sz="8"/>
          <w:left w:val="none"/>
          <w:bottom w:val="single" w:color="1D6B4F" w:sz="8"/>
          <w:right w:val="none"/>
          <w:insideH w:val="single" w:color="C9D6D0" w:sz="4"/>
          <w:insideV w:val="single" w:color="C9D6D0" w:sz="4"/>
        </w:tblBorders>
      </w:tblPr>
      <w:tblGrid>
        <w:gridCol w:w="2200"/>
        <w:gridCol w:w="7160"/>
      </w:tblGrid>
      <w:tr>
        <w:trPr>
          <w:tblHeader/>
        </w:trPr>
        <w:tc>
          <w:tcPr>
            <w:tcW w:type="dxa" w:w="2200"/>
            <w:shd w:fill="0B4A36" w:val="clear"/>
            <w:tcMar>
              <w:top w:type="dxa" w:w="90"/>
              <w:left w:type="dxa" w:w="140"/>
              <w:bottom w:type="dxa" w:w="90"/>
              <w:right w:type="dxa" w:w="140"/>
            </w:tcMar>
          </w:tcPr>
          <w:p>
            <w:pPr>
              <w:spacing w:after="0" w:line="300"/>
            </w:pPr>
            <w:r>
              <w:rPr>
                <w:b/>
                <w:bCs/>
                <w:color w:val="FFFFFF"/>
                <w:sz w:val="22"/>
                <w:szCs w:val="22"/>
              </w:rPr>
              <w:t xml:space="preserve">Number</w:t>
            </w:r>
          </w:p>
        </w:tc>
        <w:tc>
          <w:tcPr>
            <w:tcW w:type="dxa" w:w="7160"/>
            <w:shd w:fill="0B4A36" w:val="clear"/>
            <w:tcMar>
              <w:top w:type="dxa" w:w="90"/>
              <w:left w:type="dxa" w:w="140"/>
              <w:bottom w:type="dxa" w:w="90"/>
              <w:right w:type="dxa" w:w="140"/>
            </w:tcMar>
          </w:tcPr>
          <w:p>
            <w:pPr>
              <w:spacing w:after="0" w:line="300"/>
            </w:pPr>
            <w:r>
              <w:rPr>
                <w:b/>
                <w:bCs/>
                <w:color w:val="FFFFFF"/>
                <w:sz w:val="22"/>
                <w:szCs w:val="22"/>
              </w:rPr>
              <w:t xml:space="preserve">Means</w:t>
            </w:r>
          </w:p>
        </w:tc>
      </w:tr>
      <w:tr>
        <w:trPr>
          <w:tblHeader w:val="false"/>
        </w:trPr>
        <w:tc>
          <w:tcPr>
            <w:tcW w:type="dxa" w:w="2200"/>
            <w:tcMar>
              <w:top w:type="dxa" w:w="90"/>
              <w:left w:type="dxa" w:w="140"/>
              <w:bottom w:type="dxa" w:w="90"/>
              <w:right w:type="dxa" w:w="140"/>
            </w:tcMar>
          </w:tcPr>
          <w:p>
            <w:pPr>
              <w:spacing w:after="0" w:line="300"/>
            </w:pPr>
            <w:r>
              <w:rPr>
                <w:color w:val="141414"/>
                <w:sz w:val="22"/>
                <w:szCs w:val="22"/>
              </w:rPr>
              <w:t xml:space="preserve">Lapsed</w:t>
            </w:r>
          </w:p>
        </w:tc>
        <w:tc>
          <w:tcPr>
            <w:tcW w:type="dxa" w:w="7160"/>
            <w:tcMar>
              <w:top w:type="dxa" w:w="90"/>
              <w:left w:type="dxa" w:w="140"/>
              <w:bottom w:type="dxa" w:w="90"/>
              <w:right w:type="dxa" w:w="140"/>
            </w:tcMar>
          </w:tcPr>
          <w:p>
            <w:pPr>
              <w:spacing w:after="0" w:line="300"/>
            </w:pPr>
            <w:r>
              <w:rPr>
                <w:color w:val="141414"/>
                <w:sz w:val="22"/>
                <w:szCs w:val="22"/>
              </w:rPr>
              <w:t xml:space="preserve">Last completed paid service falls inside the campaign lapse range (90–365 days).</w:t>
            </w:r>
          </w:p>
        </w:tc>
      </w:tr>
      <w:tr>
        <w:trPr>
          <w:tblHeader w:val="false"/>
        </w:trPr>
        <w:tc>
          <w:tcPr>
            <w:tcW w:type="dxa" w:w="2200"/>
            <w:tcMar>
              <w:top w:type="dxa" w:w="90"/>
              <w:left w:type="dxa" w:w="140"/>
              <w:bottom w:type="dxa" w:w="90"/>
              <w:right w:type="dxa" w:w="140"/>
            </w:tcMar>
          </w:tcPr>
          <w:p>
            <w:pPr>
              <w:spacing w:after="0" w:line="300"/>
            </w:pPr>
            <w:r>
              <w:rPr>
                <w:color w:val="141414"/>
                <w:sz w:val="22"/>
                <w:szCs w:val="22"/>
              </w:rPr>
              <w:t xml:space="preserve">Contactable</w:t>
            </w:r>
          </w:p>
        </w:tc>
        <w:tc>
          <w:tcPr>
            <w:tcW w:type="dxa" w:w="7160"/>
            <w:tcMar>
              <w:top w:type="dxa" w:w="90"/>
              <w:left w:type="dxa" w:w="140"/>
              <w:bottom w:type="dxa" w:w="90"/>
              <w:right w:type="dxa" w:w="140"/>
            </w:tcMar>
          </w:tcPr>
          <w:p>
            <w:pPr>
              <w:spacing w:after="0" w:line="300"/>
            </w:pPr>
            <w:r>
              <w:rPr>
                <w:color w:val="141414"/>
                <w:sz w:val="22"/>
                <w:szCs w:val="22"/>
              </w:rPr>
              <w:t xml:space="preserve">Lapsed, and carrying valid WhatsApp marketing permission with all four evidence fields.</w:t>
            </w:r>
          </w:p>
        </w:tc>
      </w:tr>
      <w:tr>
        <w:trPr>
          <w:tblHeader w:val="false"/>
        </w:trPr>
        <w:tc>
          <w:tcPr>
            <w:tcW w:type="dxa" w:w="2200"/>
            <w:tcMar>
              <w:top w:type="dxa" w:w="90"/>
              <w:left w:type="dxa" w:w="140"/>
              <w:bottom w:type="dxa" w:w="90"/>
              <w:right w:type="dxa" w:w="140"/>
            </w:tcMar>
          </w:tcPr>
          <w:p>
            <w:pPr>
              <w:spacing w:after="0" w:line="300"/>
            </w:pPr>
            <w:r>
              <w:rPr>
                <w:color w:val="141414"/>
                <w:sz w:val="22"/>
                <w:szCs w:val="22"/>
              </w:rPr>
              <w:t xml:space="preserve">Fully sendable</w:t>
            </w:r>
          </w:p>
        </w:tc>
        <w:tc>
          <w:tcPr>
            <w:tcW w:type="dxa" w:w="7160"/>
            <w:tcMar>
              <w:top w:type="dxa" w:w="90"/>
              <w:left w:type="dxa" w:w="140"/>
              <w:bottom w:type="dxa" w:w="90"/>
              <w:right w:type="dxa" w:w="140"/>
            </w:tcMar>
          </w:tcPr>
          <w:p>
            <w:pPr>
              <w:spacing w:after="0" w:line="300"/>
            </w:pPr>
            <w:r>
              <w:rPr>
                <w:color w:val="141414"/>
                <w:sz w:val="22"/>
                <w:szCs w:val="22"/>
              </w:rPr>
              <w:t xml:space="preserve">Contactable, and also clear of future bookings, debt, unused credit, disputes, duplicates, minors, suppression and stale data. This is the only number that means anything.</w:t>
            </w:r>
          </w:p>
        </w:tc>
      </w:tr>
    </w:tbl>
    <w:p>
      <w:pPr>
        <w:spacing w:after="60"/>
      </w:pPr>
    </w:p>
    <w:tbl>
      <w:tblPr>
        <w:tblW w:type="dxa" w:w="9360"/>
        <w:tblBorders>
          <w:top w:val="none"/>
          <w:left w:val="single" w:color="8A4B0B" w:sz="24"/>
          <w:bottom w:val="none"/>
          <w:right w:val="none"/>
          <w:insideH w:val="none"/>
          <w:insideV w:val="none"/>
        </w:tblBorders>
      </w:tblPr>
      <w:tblGrid>
        <w:gridCol w:w="9360"/>
      </w:tblGrid>
      <w:tr>
        <w:tc>
          <w:tcPr>
            <w:tcW w:type="dxa" w:w="9360"/>
            <w:shd w:fill="F4F1EA" w:val="clear"/>
            <w:tcMar>
              <w:top w:type="dxa" w:w="140"/>
              <w:left w:type="dxa" w:w="220"/>
              <w:bottom w:type="dxa" w:w="140"/>
              <w:right w:type="dxa" w:w="220"/>
            </w:tcMar>
          </w:tcPr>
          <w:p>
            <w:pPr>
              <w:spacing w:after="160" w:line="360"/>
            </w:pPr>
            <w:r>
              <w:rPr>
                <w:b/>
                <w:bCs/>
                <w:color w:val="141414"/>
              </w:rPr>
              <w:t xml:space="preserve">Do not show "potencial R$8 mil." </w:t>
            </w:r>
            <w:r>
              <w:rPr>
                <w:color w:val="141414"/>
              </w:rPr>
              <w:t xml:space="preserve">Before comparable production evidence exists, that is a forecast the founder can be held to. Show a scenario the owner controls:</w:t>
            </w:r>
          </w:p>
          <w:p>
            <w:pPr>
              <w:spacing w:after="160" w:line="360"/>
            </w:pPr>
            <w:r>
              <w:rPr>
                <w:rFonts w:ascii="Consolas" w:cs="Consolas" w:eastAsia="Consolas" w:hAnsi="Consolas"/>
                <w:color w:val="0A6E4C"/>
                <w:sz w:val="21"/>
                <w:szCs w:val="21"/>
              </w:rPr>
              <w:t xml:space="preserve">Se X das Y clientes liberadas comprarem a R$Z, o caixa liquidado seria R$…</w:t>
            </w:r>
          </w:p>
          <w:p>
            <w:pPr>
              <w:spacing w:after="160" w:line="360"/>
            </w:pPr>
            <w:r>
              <w:rPr>
                <w:color w:val="141414"/>
              </w:rPr>
              <w:t xml:space="preserve">Once enough comparable campaigns exist, the portal may show an observed range — always with cohort size, dates, offer type and refund rate attached.</w:t>
            </w:r>
          </w:p>
        </w:tc>
      </w:tr>
    </w:tbl>
    <w:p>
      <w:pPr>
        <w:spacing w:after="160" w:line="360"/>
      </w:pPr>
      <w:r>
        <w:rPr>
          <w:b/>
          <w:bCs/>
          <w:color w:val="141414"/>
        </w:rPr>
        <w:t xml:space="preserve">Channels: </w:t>
      </w:r>
      <w:r>
        <w:rPr>
          <w:color w:val="141414"/>
        </w:rPr>
        <w:t xml:space="preserve">Beauty Fair secure scan QR; distributor and educator referral links; permissioned case studies; referral links inside strong closeout reports; a Trinks partner listing if formally approved; owner-shared links in salon communities. </w:t>
      </w:r>
      <w:r>
        <w:rPr>
          <w:b/>
          <w:bCs/>
          <w:color w:val="141414"/>
        </w:rPr>
        <w:t xml:space="preserve">No cold WhatsApp outreach from scraped CNPJ lists</w:t>
      </w:r>
      <w:r>
        <w:rPr>
          <w:color w:val="141414"/>
        </w:rPr>
        <w:t xml:space="preserve"> — a business built on documented consent cannot prospect by violating it.</w:t>
      </w:r>
    </w:p>
    <w:p>
      <w:pPr>
        <w:spacing w:after="160" w:line="360"/>
      </w:pPr>
      <w:r>
        <w:rPr>
          <w:color w:val="141414"/>
        </w:rPr>
        <w:t xml:space="preserve">Every funnel stage records attempted, completed, abandoned and provider-blocked counts separately. "100 leads," "100 scans," "100 activated accounts" and "100 live campaigns" are four different numbers and are never used interchangeably.</w:t>
      </w:r>
    </w:p>
    <w:p>
      <w:r>
        <w:br w:type="page"/>
      </w:r>
    </w:p>
    <w:tbl>
      <w:tblPr>
        <w:tblW w:type="dxa" w:w="9360"/>
        <w:tblBorders>
          <w:top w:val="none"/>
          <w:left w:val="none"/>
          <w:bottom w:val="none"/>
          <w:right w:val="none"/>
          <w:insideH w:val="none"/>
          <w:insideV w:val="none"/>
        </w:tblBorders>
      </w:tblPr>
      <w:tblGrid>
        <w:gridCol w:w="9360"/>
      </w:tblGrid>
      <w:tr>
        <w:tc>
          <w:tcPr>
            <w:tcW w:type="dxa" w:w="9360"/>
            <w:shd w:fill="0B4A36" w:val="clear"/>
            <w:tcMar>
              <w:top w:type="dxa" w:w="260"/>
              <w:left w:type="dxa" w:w="300"/>
              <w:bottom w:type="dxa" w:w="260"/>
              <w:right w:type="dxa" w:w="300"/>
            </w:tcMar>
          </w:tcPr>
          <w:p>
            <w:pPr>
              <w:spacing w:after="80"/>
            </w:pPr>
            <w:r>
              <w:rPr>
                <w:b/>
                <w:bCs/>
                <w:caps/>
                <w:color w:val="BFE3D3"/>
                <w:sz w:val="22"/>
                <w:szCs w:val="22"/>
              </w:rPr>
              <w:t xml:space="preserve">Part II</w:t>
            </w:r>
          </w:p>
          <w:p>
            <w:pPr>
              <w:spacing w:after="0"/>
            </w:pPr>
            <w:r>
              <w:rPr>
                <w:b/>
                <w:bCs/>
                <w:color w:val="FFFFFF"/>
                <w:sz w:val="40"/>
                <w:szCs w:val="40"/>
              </w:rPr>
              <w:t xml:space="preserve">Data, consent, and source truth</w:t>
            </w:r>
          </w:p>
        </w:tc>
      </w:tr>
    </w:tbl>
    <w:p>
      <w:pPr>
        <w:spacing w:after="60"/>
      </w:pPr>
    </w:p>
    <w:p>
      <w:pPr>
        <w:pStyle w:val="Heading1"/>
        <w:spacing w:after="200" w:before="360"/>
      </w:pPr>
      <w:r>
        <w:rPr>
          <w:b/>
          <w:bCs/>
          <w:color w:val="0B4A36"/>
        </w:rPr>
        <w:t xml:space="preserve">§6 · The data contract is the first launch gate</w:t>
      </w:r>
    </w:p>
    <w:p>
      <w:pPr>
        <w:spacing w:after="160" w:line="360"/>
      </w:pPr>
      <w:r>
        <w:rPr>
          <w:color w:val="141414"/>
        </w:rPr>
        <w:t xml:space="preserve">v4 assumed one CSV could prove last visit, future booking, debt, unused credit, disputes, ticket and consent provenance. Trinks documents these across different reports and product areas. That single-file claim was never verified and is now retired.</w:t>
      </w:r>
    </w:p>
    <w:p>
      <w:pPr>
        <w:spacing w:after="160" w:line="360"/>
      </w:pPr>
      <w:r>
        <w:rPr>
          <w:b/>
          <w:bCs/>
          <w:color w:val="141414"/>
        </w:rPr>
        <w:t xml:space="preserve">"One importer" means one bundle specification and one normalization pipeline</w:t>
      </w:r>
      <w:r>
        <w:rPr>
          <w:color w:val="141414"/>
        </w:rPr>
        <w:t xml:space="preserve"> — not necessarily one physical file. The owner uploads the reports as Trinks generates them. She is never asked to edit, rename, merge or convert a spreadsheet.</w:t>
      </w:r>
    </w:p>
    <w:p>
      <w:pPr>
        <w:spacing w:after="60"/>
      </w:pPr>
    </w:p>
    <w:p>
      <w:pPr>
        <w:pStyle w:val="Heading1"/>
        <w:spacing w:after="200" w:before="360"/>
      </w:pPr>
      <w:r>
        <w:rPr>
          <w:b/>
          <w:bCs/>
          <w:color w:val="0B4A36"/>
        </w:rPr>
        <w:t xml:space="preserve">§7 · Canonical fields and the fail-closed rule</w:t>
      </w:r>
    </w:p>
    <w:tbl>
      <w:tblPr>
        <w:tblW w:type="dxa" w:w="9360"/>
        <w:tblBorders>
          <w:top w:val="single" w:color="1D6B4F" w:sz="8"/>
          <w:left w:val="none"/>
          <w:bottom w:val="single" w:color="1D6B4F" w:sz="8"/>
          <w:right w:val="none"/>
          <w:insideH w:val="single" w:color="C9D6D0" w:sz="4"/>
          <w:insideV w:val="single" w:color="C9D6D0" w:sz="4"/>
        </w:tblBorders>
      </w:tblPr>
      <w:tblGrid>
        <w:gridCol w:w="2600"/>
        <w:gridCol w:w="6760"/>
      </w:tblGrid>
      <w:tr>
        <w:trPr>
          <w:tblHeader/>
        </w:trPr>
        <w:tc>
          <w:tcPr>
            <w:tcW w:type="dxa" w:w="2600"/>
            <w:shd w:fill="0B4A36" w:val="clear"/>
            <w:tcMar>
              <w:top w:type="dxa" w:w="90"/>
              <w:left w:type="dxa" w:w="140"/>
              <w:bottom w:type="dxa" w:w="90"/>
              <w:right w:type="dxa" w:w="140"/>
            </w:tcMar>
          </w:tcPr>
          <w:p>
            <w:pPr>
              <w:spacing w:after="0" w:line="300"/>
            </w:pPr>
            <w:r>
              <w:rPr>
                <w:b/>
                <w:bCs/>
                <w:color w:val="FFFFFF"/>
                <w:sz w:val="22"/>
                <w:szCs w:val="22"/>
              </w:rPr>
              <w:t xml:space="preserve">Field</w:t>
            </w:r>
          </w:p>
        </w:tc>
        <w:tc>
          <w:tcPr>
            <w:tcW w:type="dxa" w:w="6760"/>
            <w:shd w:fill="0B4A36" w:val="clear"/>
            <w:tcMar>
              <w:top w:type="dxa" w:w="90"/>
              <w:left w:type="dxa" w:w="140"/>
              <w:bottom w:type="dxa" w:w="90"/>
              <w:right w:type="dxa" w:w="140"/>
            </w:tcMar>
          </w:tcPr>
          <w:p>
            <w:pPr>
              <w:spacing w:after="0" w:line="300"/>
            </w:pPr>
            <w:r>
              <w:rPr>
                <w:b/>
                <w:bCs/>
                <w:color w:val="FFFFFF"/>
                <w:sz w:val="22"/>
                <w:szCs w:val="22"/>
              </w:rPr>
              <w:t xml:space="preserve">Required behavior</w:t>
            </w:r>
          </w:p>
        </w:tc>
      </w:tr>
      <w:tr>
        <w:trPr>
          <w:tblHeader w:val="false"/>
        </w:trPr>
        <w:tc>
          <w:tcPr>
            <w:tcW w:type="dxa" w:w="2600"/>
            <w:tcMar>
              <w:top w:type="dxa" w:w="90"/>
              <w:left w:type="dxa" w:w="140"/>
              <w:bottom w:type="dxa" w:w="90"/>
              <w:right w:type="dxa" w:w="140"/>
            </w:tcMar>
          </w:tcPr>
          <w:p>
            <w:pPr>
              <w:spacing w:after="0" w:line="300"/>
            </w:pPr>
            <w:r>
              <w:rPr>
                <w:color w:val="141414"/>
                <w:sz w:val="22"/>
                <w:szCs w:val="22"/>
              </w:rPr>
              <w:t xml:space="preserve">Tenant / branch ID</w:t>
            </w:r>
          </w:p>
        </w:tc>
        <w:tc>
          <w:tcPr>
            <w:tcW w:type="dxa" w:w="6760"/>
            <w:tcMar>
              <w:top w:type="dxa" w:w="90"/>
              <w:left w:type="dxa" w:w="140"/>
              <w:bottom w:type="dxa" w:w="90"/>
              <w:right w:type="dxa" w:w="140"/>
            </w:tcMar>
          </w:tcPr>
          <w:p>
            <w:pPr>
              <w:spacing w:after="0" w:line="300"/>
            </w:pPr>
            <w:r>
              <w:rPr>
                <w:color w:val="141414"/>
                <w:sz w:val="22"/>
                <w:szCs w:val="22"/>
              </w:rPr>
              <w:t xml:space="preserve">Must resolve to the contracted salon.</w:t>
            </w:r>
          </w:p>
        </w:tc>
      </w:tr>
      <w:tr>
        <w:trPr>
          <w:tblHeader w:val="false"/>
        </w:trPr>
        <w:tc>
          <w:tcPr>
            <w:tcW w:type="dxa" w:w="2600"/>
            <w:tcMar>
              <w:top w:type="dxa" w:w="90"/>
              <w:left w:type="dxa" w:w="140"/>
              <w:bottom w:type="dxa" w:w="90"/>
              <w:right w:type="dxa" w:w="140"/>
            </w:tcMar>
          </w:tcPr>
          <w:p>
            <w:pPr>
              <w:spacing w:after="0" w:line="300"/>
            </w:pPr>
            <w:r>
              <w:rPr>
                <w:color w:val="141414"/>
                <w:sz w:val="22"/>
                <w:szCs w:val="22"/>
              </w:rPr>
              <w:t xml:space="preserve">Internal customer reference</w:t>
            </w:r>
          </w:p>
        </w:tc>
        <w:tc>
          <w:tcPr>
            <w:tcW w:type="dxa" w:w="6760"/>
            <w:tcMar>
              <w:top w:type="dxa" w:w="90"/>
              <w:left w:type="dxa" w:w="140"/>
              <w:bottom w:type="dxa" w:w="90"/>
              <w:right w:type="dxa" w:w="140"/>
            </w:tcMar>
          </w:tcPr>
          <w:p>
            <w:pPr>
              <w:spacing w:after="0" w:line="300"/>
            </w:pPr>
            <w:r>
              <w:rPr>
                <w:color w:val="141414"/>
                <w:sz w:val="22"/>
                <w:szCs w:val="22"/>
              </w:rPr>
              <w:t xml:space="preserve">Tenant-scoped. Never joined across salons.</w:t>
            </w:r>
          </w:p>
        </w:tc>
      </w:tr>
      <w:tr>
        <w:trPr>
          <w:tblHeader w:val="false"/>
        </w:trPr>
        <w:tc>
          <w:tcPr>
            <w:tcW w:type="dxa" w:w="2600"/>
            <w:tcMar>
              <w:top w:type="dxa" w:w="90"/>
              <w:left w:type="dxa" w:w="140"/>
              <w:bottom w:type="dxa" w:w="90"/>
              <w:right w:type="dxa" w:w="140"/>
            </w:tcMar>
          </w:tcPr>
          <w:p>
            <w:pPr>
              <w:spacing w:after="0" w:line="300"/>
            </w:pPr>
            <w:r>
              <w:rPr>
                <w:color w:val="141414"/>
                <w:sz w:val="22"/>
                <w:szCs w:val="22"/>
              </w:rPr>
              <w:t xml:space="preserve">First name</w:t>
            </w:r>
          </w:p>
        </w:tc>
        <w:tc>
          <w:tcPr>
            <w:tcW w:type="dxa" w:w="6760"/>
            <w:tcMar>
              <w:top w:type="dxa" w:w="90"/>
              <w:left w:type="dxa" w:w="140"/>
              <w:bottom w:type="dxa" w:w="90"/>
              <w:right w:type="dxa" w:w="140"/>
            </w:tcMar>
          </w:tcPr>
          <w:p>
            <w:pPr>
              <w:spacing w:after="0" w:line="300"/>
            </w:pPr>
            <w:r>
              <w:rPr>
                <w:color w:val="141414"/>
                <w:sz w:val="22"/>
                <w:szCs w:val="22"/>
              </w:rPr>
              <w:t xml:space="preserve">Used only for deterministic message rendering.</w:t>
            </w:r>
          </w:p>
        </w:tc>
      </w:tr>
      <w:tr>
        <w:trPr>
          <w:tblHeader w:val="false"/>
        </w:trPr>
        <w:tc>
          <w:tcPr>
            <w:tcW w:type="dxa" w:w="2600"/>
            <w:tcMar>
              <w:top w:type="dxa" w:w="90"/>
              <w:left w:type="dxa" w:w="140"/>
              <w:bottom w:type="dxa" w:w="90"/>
              <w:right w:type="dxa" w:w="140"/>
            </w:tcMar>
          </w:tcPr>
          <w:p>
            <w:pPr>
              <w:spacing w:after="0" w:line="300"/>
            </w:pPr>
            <w:r>
              <w:rPr>
                <w:color w:val="141414"/>
                <w:sz w:val="22"/>
                <w:szCs w:val="22"/>
              </w:rPr>
              <w:t xml:space="preserve">Phone</w:t>
            </w:r>
          </w:p>
        </w:tc>
        <w:tc>
          <w:tcPr>
            <w:tcW w:type="dxa" w:w="6760"/>
            <w:tcMar>
              <w:top w:type="dxa" w:w="90"/>
              <w:left w:type="dxa" w:w="140"/>
              <w:bottom w:type="dxa" w:w="90"/>
              <w:right w:type="dxa" w:w="140"/>
            </w:tcMar>
          </w:tcPr>
          <w:p>
            <w:pPr>
              <w:spacing w:after="0" w:line="300"/>
            </w:pPr>
            <w:r>
              <w:rPr>
                <w:color w:val="141414"/>
                <w:sz w:val="22"/>
                <w:szCs w:val="22"/>
              </w:rPr>
              <w:t xml:space="preserve">Normalized to E.164; duplicates collapse conservatively.</w:t>
            </w:r>
          </w:p>
        </w:tc>
      </w:tr>
      <w:tr>
        <w:trPr>
          <w:tblHeader w:val="false"/>
        </w:trPr>
        <w:tc>
          <w:tcPr>
            <w:tcW w:type="dxa" w:w="2600"/>
            <w:tcMar>
              <w:top w:type="dxa" w:w="90"/>
              <w:left w:type="dxa" w:w="140"/>
              <w:bottom w:type="dxa" w:w="90"/>
              <w:right w:type="dxa" w:w="140"/>
            </w:tcMar>
          </w:tcPr>
          <w:p>
            <w:pPr>
              <w:spacing w:after="0" w:line="300"/>
            </w:pPr>
            <w:r>
              <w:rPr>
                <w:color w:val="141414"/>
                <w:sz w:val="22"/>
                <w:szCs w:val="22"/>
              </w:rPr>
              <w:t xml:space="preserve">Last completed paid service</w:t>
            </w:r>
          </w:p>
        </w:tc>
        <w:tc>
          <w:tcPr>
            <w:tcW w:type="dxa" w:w="6760"/>
            <w:tcMar>
              <w:top w:type="dxa" w:w="90"/>
              <w:left w:type="dxa" w:w="140"/>
              <w:bottom w:type="dxa" w:w="90"/>
              <w:right w:type="dxa" w:w="140"/>
            </w:tcMar>
          </w:tcPr>
          <w:p>
            <w:pPr>
              <w:spacing w:after="0" w:line="300"/>
            </w:pPr>
            <w:r>
              <w:rPr>
                <w:color w:val="141414"/>
                <w:sz w:val="22"/>
                <w:szCs w:val="22"/>
              </w:rPr>
              <w:t xml:space="preserve">Source and as_of stored with the value.</w:t>
            </w:r>
          </w:p>
        </w:tc>
      </w:tr>
      <w:tr>
        <w:trPr>
          <w:tblHeader w:val="false"/>
        </w:trPr>
        <w:tc>
          <w:tcPr>
            <w:tcW w:type="dxa" w:w="2600"/>
            <w:tcMar>
              <w:top w:type="dxa" w:w="90"/>
              <w:left w:type="dxa" w:w="140"/>
              <w:bottom w:type="dxa" w:w="90"/>
              <w:right w:type="dxa" w:w="140"/>
            </w:tcMar>
          </w:tcPr>
          <w:p>
            <w:pPr>
              <w:spacing w:after="0" w:line="300"/>
            </w:pPr>
            <w:r>
              <w:rPr>
                <w:color w:val="141414"/>
                <w:sz w:val="22"/>
                <w:szCs w:val="22"/>
              </w:rPr>
              <w:t xml:space="preserve">Coarse service category</w:t>
            </w:r>
          </w:p>
        </w:tc>
        <w:tc>
          <w:tcPr>
            <w:tcW w:type="dxa" w:w="6760"/>
            <w:tcMar>
              <w:top w:type="dxa" w:w="90"/>
              <w:left w:type="dxa" w:w="140"/>
              <w:bottom w:type="dxa" w:w="90"/>
              <w:right w:type="dxa" w:w="140"/>
            </w:tcMar>
          </w:tcPr>
          <w:p>
            <w:pPr>
              <w:spacing w:after="0" w:line="300"/>
            </w:pPr>
            <w:r>
              <w:rPr>
                <w:color w:val="141414"/>
                <w:sz w:val="22"/>
                <w:szCs w:val="22"/>
              </w:rPr>
              <w:t xml:space="preserve">Allow-listed. No notes, no free text, no sensitive detail — the importer cannot ingest what it has no column for.</w:t>
            </w:r>
          </w:p>
        </w:tc>
      </w:tr>
      <w:tr>
        <w:trPr>
          <w:tblHeader w:val="false"/>
        </w:trPr>
        <w:tc>
          <w:tcPr>
            <w:tcW w:type="dxa" w:w="2600"/>
            <w:tcMar>
              <w:top w:type="dxa" w:w="90"/>
              <w:left w:type="dxa" w:w="140"/>
              <w:bottom w:type="dxa" w:w="90"/>
              <w:right w:type="dxa" w:w="140"/>
            </w:tcMar>
          </w:tcPr>
          <w:p>
            <w:pPr>
              <w:spacing w:after="0" w:line="300"/>
            </w:pPr>
            <w:r>
              <w:rPr>
                <w:color w:val="141414"/>
                <w:sz w:val="22"/>
                <w:szCs w:val="22"/>
              </w:rPr>
              <w:t xml:space="preserve">Future booking</w:t>
            </w:r>
          </w:p>
        </w:tc>
        <w:tc>
          <w:tcPr>
            <w:tcW w:type="dxa" w:w="6760"/>
            <w:tcMar>
              <w:top w:type="dxa" w:w="90"/>
              <w:left w:type="dxa" w:w="140"/>
              <w:bottom w:type="dxa" w:w="90"/>
              <w:right w:type="dxa" w:w="140"/>
            </w:tcMar>
          </w:tcPr>
          <w:p>
            <w:pPr>
              <w:spacing w:after="0" w:line="300"/>
            </w:pPr>
            <w:r>
              <w:rPr>
                <w:color w:val="141414"/>
                <w:sz w:val="22"/>
                <w:szCs w:val="22"/>
              </w:rPr>
              <w:t xml:space="preserve">Any active future booking excludes.</w:t>
            </w:r>
          </w:p>
        </w:tc>
      </w:tr>
      <w:tr>
        <w:trPr>
          <w:tblHeader w:val="false"/>
        </w:trPr>
        <w:tc>
          <w:tcPr>
            <w:tcW w:type="dxa" w:w="2600"/>
            <w:tcMar>
              <w:top w:type="dxa" w:w="90"/>
              <w:left w:type="dxa" w:w="140"/>
              <w:bottom w:type="dxa" w:w="90"/>
              <w:right w:type="dxa" w:w="140"/>
            </w:tcMar>
          </w:tcPr>
          <w:p>
            <w:pPr>
              <w:spacing w:after="0" w:line="300"/>
            </w:pPr>
            <w:r>
              <w:rPr>
                <w:color w:val="141414"/>
                <w:sz w:val="22"/>
                <w:szCs w:val="22"/>
              </w:rPr>
              <w:t xml:space="preserve">Open debt</w:t>
            </w:r>
          </w:p>
        </w:tc>
        <w:tc>
          <w:tcPr>
            <w:tcW w:type="dxa" w:w="6760"/>
            <w:tcMar>
              <w:top w:type="dxa" w:w="90"/>
              <w:left w:type="dxa" w:w="140"/>
              <w:bottom w:type="dxa" w:w="90"/>
              <w:right w:type="dxa" w:w="140"/>
            </w:tcMar>
          </w:tcPr>
          <w:p>
            <w:pPr>
              <w:spacing w:after="0" w:line="300"/>
            </w:pPr>
            <w:r>
              <w:rPr>
                <w:color w:val="141414"/>
                <w:sz w:val="22"/>
                <w:szCs w:val="22"/>
              </w:rPr>
              <w:t xml:space="preserve">Any positive or unknown debt excludes.</w:t>
            </w:r>
          </w:p>
        </w:tc>
      </w:tr>
      <w:tr>
        <w:trPr>
          <w:tblHeader w:val="false"/>
        </w:trPr>
        <w:tc>
          <w:tcPr>
            <w:tcW w:type="dxa" w:w="2600"/>
            <w:tcMar>
              <w:top w:type="dxa" w:w="90"/>
              <w:left w:type="dxa" w:w="140"/>
              <w:bottom w:type="dxa" w:w="90"/>
              <w:right w:type="dxa" w:w="140"/>
            </w:tcMar>
          </w:tcPr>
          <w:p>
            <w:pPr>
              <w:spacing w:after="0" w:line="300"/>
            </w:pPr>
            <w:r>
              <w:rPr>
                <w:color w:val="141414"/>
                <w:sz w:val="22"/>
                <w:szCs w:val="22"/>
              </w:rPr>
              <w:t xml:space="preserve">Unused package / voucher / credit</w:t>
            </w:r>
          </w:p>
        </w:tc>
        <w:tc>
          <w:tcPr>
            <w:tcW w:type="dxa" w:w="6760"/>
            <w:tcMar>
              <w:top w:type="dxa" w:w="90"/>
              <w:left w:type="dxa" w:w="140"/>
              <w:bottom w:type="dxa" w:w="90"/>
              <w:right w:type="dxa" w:w="140"/>
            </w:tcMar>
          </w:tcPr>
          <w:p>
            <w:pPr>
              <w:spacing w:after="0" w:line="300"/>
            </w:pPr>
            <w:r>
              <w:rPr>
                <w:color w:val="141414"/>
                <w:sz w:val="22"/>
                <w:szCs w:val="22"/>
              </w:rPr>
              <w:t xml:space="preserve">Any positive or unknown balance excludes (CPC 47).</w:t>
            </w:r>
          </w:p>
        </w:tc>
      </w:tr>
      <w:tr>
        <w:trPr>
          <w:tblHeader w:val="false"/>
        </w:trPr>
        <w:tc>
          <w:tcPr>
            <w:tcW w:type="dxa" w:w="2600"/>
            <w:tcMar>
              <w:top w:type="dxa" w:w="90"/>
              <w:left w:type="dxa" w:w="140"/>
              <w:bottom w:type="dxa" w:w="90"/>
              <w:right w:type="dxa" w:w="140"/>
            </w:tcMar>
          </w:tcPr>
          <w:p>
            <w:pPr>
              <w:spacing w:after="0" w:line="300"/>
            </w:pPr>
            <w:r>
              <w:rPr>
                <w:color w:val="141414"/>
                <w:sz w:val="22"/>
                <w:szCs w:val="22"/>
              </w:rPr>
              <w:t xml:space="preserve">Dispute or do-not-contact flag</w:t>
            </w:r>
          </w:p>
        </w:tc>
        <w:tc>
          <w:tcPr>
            <w:tcW w:type="dxa" w:w="6760"/>
            <w:tcMar>
              <w:top w:type="dxa" w:w="90"/>
              <w:left w:type="dxa" w:w="140"/>
              <w:bottom w:type="dxa" w:w="90"/>
              <w:right w:type="dxa" w:w="140"/>
            </w:tcMar>
          </w:tcPr>
          <w:p>
            <w:pPr>
              <w:spacing w:after="0" w:line="300"/>
            </w:pPr>
            <w:r>
              <w:rPr>
                <w:color w:val="141414"/>
                <w:sz w:val="22"/>
                <w:szCs w:val="22"/>
              </w:rPr>
              <w:t xml:space="preserve">A positive flag excludes. Requires either a proven structured source field or a signed per-campaign exception list from the owner.</w:t>
            </w:r>
          </w:p>
        </w:tc>
      </w:tr>
      <w:tr>
        <w:trPr>
          <w:tblHeader w:val="false"/>
        </w:trPr>
        <w:tc>
          <w:tcPr>
            <w:tcW w:type="dxa" w:w="2600"/>
            <w:tcMar>
              <w:top w:type="dxa" w:w="90"/>
              <w:left w:type="dxa" w:w="140"/>
              <w:bottom w:type="dxa" w:w="90"/>
              <w:right w:type="dxa" w:w="140"/>
            </w:tcMar>
          </w:tcPr>
          <w:p>
            <w:pPr>
              <w:spacing w:after="0" w:line="300"/>
            </w:pPr>
            <w:r>
              <w:rPr>
                <w:color w:val="141414"/>
                <w:sz w:val="22"/>
                <w:szCs w:val="22"/>
              </w:rPr>
              <w:t xml:space="preserve">Age signal</w:t>
            </w:r>
          </w:p>
        </w:tc>
        <w:tc>
          <w:tcPr>
            <w:tcW w:type="dxa" w:w="6760"/>
            <w:tcMar>
              <w:top w:type="dxa" w:w="90"/>
              <w:left w:type="dxa" w:w="140"/>
              <w:bottom w:type="dxa" w:w="90"/>
              <w:right w:type="dxa" w:w="140"/>
            </w:tcMar>
          </w:tcPr>
          <w:p>
            <w:pPr>
              <w:spacing w:after="0" w:line="300"/>
            </w:pPr>
            <w:r>
              <w:rPr>
                <w:color w:val="141414"/>
                <w:sz w:val="22"/>
                <w:szCs w:val="22"/>
              </w:rPr>
              <w:t xml:space="preserve">A known minor excludes; raw birth date is discarded after derivation. Unknown age follows a counsel-approved adult-targeting rule — an explicit decision, not an accidental exclusion of the entire market.</w:t>
            </w:r>
          </w:p>
        </w:tc>
      </w:tr>
      <w:tr>
        <w:trPr>
          <w:tblHeader w:val="false"/>
        </w:trPr>
        <w:tc>
          <w:tcPr>
            <w:tcW w:type="dxa" w:w="2600"/>
            <w:tcMar>
              <w:top w:type="dxa" w:w="90"/>
              <w:left w:type="dxa" w:w="140"/>
              <w:bottom w:type="dxa" w:w="90"/>
              <w:right w:type="dxa" w:w="140"/>
            </w:tcMar>
          </w:tcPr>
          <w:p>
            <w:pPr>
              <w:spacing w:after="0" w:line="300"/>
            </w:pPr>
            <w:r>
              <w:rPr>
                <w:color w:val="141414"/>
                <w:sz w:val="22"/>
                <w:szCs w:val="22"/>
              </w:rPr>
              <w:t xml:space="preserve">Consent value</w:t>
            </w:r>
          </w:p>
        </w:tc>
        <w:tc>
          <w:tcPr>
            <w:tcW w:type="dxa" w:w="6760"/>
            <w:tcMar>
              <w:top w:type="dxa" w:w="90"/>
              <w:left w:type="dxa" w:w="140"/>
              <w:bottom w:type="dxa" w:w="90"/>
              <w:right w:type="dxa" w:w="140"/>
            </w:tcMar>
          </w:tcPr>
          <w:p>
            <w:pPr>
              <w:spacing w:after="0" w:line="300"/>
            </w:pPr>
            <w:r>
              <w:rPr>
                <w:color w:val="141414"/>
                <w:sz w:val="22"/>
                <w:szCs w:val="22"/>
              </w:rPr>
              <w:t xml:space="preserve">Must affirm WhatsApp marketing permission.</w:t>
            </w:r>
          </w:p>
        </w:tc>
      </w:tr>
      <w:tr>
        <w:trPr>
          <w:tblHeader w:val="false"/>
        </w:trPr>
        <w:tc>
          <w:tcPr>
            <w:tcW w:type="dxa" w:w="2600"/>
            <w:tcMar>
              <w:top w:type="dxa" w:w="90"/>
              <w:left w:type="dxa" w:w="140"/>
              <w:bottom w:type="dxa" w:w="90"/>
              <w:right w:type="dxa" w:w="140"/>
            </w:tcMar>
          </w:tcPr>
          <w:p>
            <w:pPr>
              <w:spacing w:after="0" w:line="300"/>
            </w:pPr>
            <w:r>
              <w:rPr>
                <w:color w:val="141414"/>
                <w:sz w:val="22"/>
                <w:szCs w:val="22"/>
              </w:rPr>
              <w:t xml:space="preserve">Consent captured_at</w:t>
            </w:r>
          </w:p>
        </w:tc>
        <w:tc>
          <w:tcPr>
            <w:tcW w:type="dxa" w:w="6760"/>
            <w:tcMar>
              <w:top w:type="dxa" w:w="90"/>
              <w:left w:type="dxa" w:w="140"/>
              <w:bottom w:type="dxa" w:w="90"/>
              <w:right w:type="dxa" w:w="140"/>
            </w:tcMar>
          </w:tcPr>
          <w:p>
            <w:pPr>
              <w:spacing w:after="0" w:line="300"/>
            </w:pPr>
            <w:r>
              <w:rPr>
                <w:color w:val="141414"/>
                <w:sz w:val="22"/>
                <w:szCs w:val="22"/>
              </w:rPr>
              <w:t xml:space="preserve">Required.</w:t>
            </w:r>
          </w:p>
        </w:tc>
      </w:tr>
      <w:tr>
        <w:trPr>
          <w:tblHeader w:val="false"/>
        </w:trPr>
        <w:tc>
          <w:tcPr>
            <w:tcW w:type="dxa" w:w="2600"/>
            <w:tcMar>
              <w:top w:type="dxa" w:w="90"/>
              <w:left w:type="dxa" w:w="140"/>
              <w:bottom w:type="dxa" w:w="90"/>
              <w:right w:type="dxa" w:w="140"/>
            </w:tcMar>
          </w:tcPr>
          <w:p>
            <w:pPr>
              <w:spacing w:after="0" w:line="300"/>
            </w:pPr>
            <w:r>
              <w:rPr>
                <w:color w:val="141414"/>
                <w:sz w:val="22"/>
                <w:szCs w:val="22"/>
              </w:rPr>
              <w:t xml:space="preserve">Consent source</w:t>
            </w:r>
          </w:p>
        </w:tc>
        <w:tc>
          <w:tcPr>
            <w:tcW w:type="dxa" w:w="6760"/>
            <w:tcMar>
              <w:top w:type="dxa" w:w="90"/>
              <w:left w:type="dxa" w:w="140"/>
              <w:bottom w:type="dxa" w:w="90"/>
              <w:right w:type="dxa" w:w="140"/>
            </w:tcMar>
          </w:tcPr>
          <w:p>
            <w:pPr>
              <w:spacing w:after="0" w:line="300"/>
            </w:pPr>
            <w:r>
              <w:rPr>
                <w:color w:val="141414"/>
                <w:sz w:val="22"/>
                <w:szCs w:val="22"/>
              </w:rPr>
              <w:t xml:space="preserve">Required.</w:t>
            </w:r>
          </w:p>
        </w:tc>
      </w:tr>
      <w:tr>
        <w:trPr>
          <w:tblHeader w:val="false"/>
        </w:trPr>
        <w:tc>
          <w:tcPr>
            <w:tcW w:type="dxa" w:w="2600"/>
            <w:tcMar>
              <w:top w:type="dxa" w:w="90"/>
              <w:left w:type="dxa" w:w="140"/>
              <w:bottom w:type="dxa" w:w="90"/>
              <w:right w:type="dxa" w:w="140"/>
            </w:tcMar>
          </w:tcPr>
          <w:p>
            <w:pPr>
              <w:spacing w:after="0" w:line="300"/>
            </w:pPr>
            <w:r>
              <w:rPr>
                <w:color w:val="141414"/>
                <w:sz w:val="22"/>
                <w:szCs w:val="22"/>
              </w:rPr>
              <w:t xml:space="preserve">Consent scope + disclosure version</w:t>
            </w:r>
          </w:p>
        </w:tc>
        <w:tc>
          <w:tcPr>
            <w:tcW w:type="dxa" w:w="6760"/>
            <w:tcMar>
              <w:top w:type="dxa" w:w="90"/>
              <w:left w:type="dxa" w:w="140"/>
              <w:bottom w:type="dxa" w:w="90"/>
              <w:right w:type="dxa" w:w="140"/>
            </w:tcMar>
          </w:tcPr>
          <w:p>
            <w:pPr>
              <w:spacing w:after="0" w:line="300"/>
            </w:pPr>
            <w:r>
              <w:rPr>
                <w:color w:val="141414"/>
                <w:sz w:val="22"/>
                <w:szCs w:val="22"/>
              </w:rPr>
              <w:t xml:space="preserve">Must cover the planned campaign.</w:t>
            </w:r>
          </w:p>
        </w:tc>
      </w:tr>
      <w:tr>
        <w:trPr>
          <w:tblHeader w:val="false"/>
        </w:trPr>
        <w:tc>
          <w:tcPr>
            <w:tcW w:type="dxa" w:w="2600"/>
            <w:tcMar>
              <w:top w:type="dxa" w:w="90"/>
              <w:left w:type="dxa" w:w="140"/>
              <w:bottom w:type="dxa" w:w="90"/>
              <w:right w:type="dxa" w:w="140"/>
            </w:tcMar>
          </w:tcPr>
          <w:p>
            <w:pPr>
              <w:spacing w:after="0" w:line="300"/>
            </w:pPr>
            <w:r>
              <w:rPr>
                <w:color w:val="141414"/>
                <w:sz w:val="22"/>
                <w:szCs w:val="22"/>
              </w:rPr>
              <w:t xml:space="preserve">Prior withdrawal / suppression</w:t>
            </w:r>
          </w:p>
        </w:tc>
        <w:tc>
          <w:tcPr>
            <w:tcW w:type="dxa" w:w="6760"/>
            <w:tcMar>
              <w:top w:type="dxa" w:w="90"/>
              <w:left w:type="dxa" w:w="140"/>
              <w:bottom w:type="dxa" w:w="90"/>
              <w:right w:type="dxa" w:w="140"/>
            </w:tcMar>
          </w:tcPr>
          <w:p>
            <w:pPr>
              <w:spacing w:after="0" w:line="300"/>
            </w:pPr>
            <w:r>
              <w:rPr>
                <w:color w:val="141414"/>
                <w:sz w:val="22"/>
                <w:szCs w:val="22"/>
              </w:rPr>
              <w:t xml:space="preserve">A later re-opt-in supersedes it only on independent evidence.</w:t>
            </w:r>
          </w:p>
        </w:tc>
      </w:tr>
    </w:tbl>
    <w:p>
      <w:pPr>
        <w:spacing w:after="60"/>
      </w:pPr>
    </w:p>
    <w:tbl>
      <w:tblPr>
        <w:tblW w:type="dxa" w:w="9360"/>
        <w:tblBorders>
          <w:top w:val="none"/>
          <w:left w:val="single" w:color="1D6B4F" w:sz="24"/>
          <w:bottom w:val="none"/>
          <w:right w:val="none"/>
          <w:insideH w:val="none"/>
          <w:insideV w:val="none"/>
        </w:tblBorders>
      </w:tblPr>
      <w:tblGrid>
        <w:gridCol w:w="9360"/>
      </w:tblGrid>
      <w:tr>
        <w:tc>
          <w:tcPr>
            <w:tcW w:type="dxa" w:w="9360"/>
            <w:shd w:fill="EEF5F1" w:val="clear"/>
            <w:tcMar>
              <w:top w:type="dxa" w:w="140"/>
              <w:left w:type="dxa" w:w="220"/>
              <w:bottom w:type="dxa" w:w="140"/>
              <w:right w:type="dxa" w:w="220"/>
            </w:tcMar>
          </w:tcPr>
          <w:p>
            <w:pPr>
              <w:spacing w:after="160" w:line="360"/>
            </w:pPr>
            <w:r>
              <w:rPr>
                <w:b/>
                <w:bCs/>
                <w:color w:val="141414"/>
              </w:rPr>
              <w:t xml:space="preserve">Fail-closed, stated exactly. </w:t>
            </w:r>
            <w:r>
              <w:rPr>
                <w:color w:val="141414"/>
              </w:rPr>
              <w:t xml:space="preserve">Unknown, stale, contradictory or unmapped values exclude the record whenever that fact is required to establish eligibility: completed visit, future booking, debt, unused credit, consent, suppression, source freshness. The system never infers permission and never treats silence as consent.</w:t>
            </w:r>
          </w:p>
        </w:tc>
      </w:tr>
    </w:tbl>
    <w:p>
      <w:pPr>
        <w:spacing w:after="160" w:line="360"/>
      </w:pPr>
      <w:r>
        <w:rPr>
          <w:b/>
          <w:bCs/>
          <w:color w:val="141414"/>
        </w:rPr>
        <w:t xml:space="preserve">Provenance. </w:t>
      </w:r>
      <w:r>
        <w:rPr>
          <w:color w:val="141414"/>
        </w:rPr>
        <w:t xml:space="preserve">Every normalized fact carries its source file or connector, source field, import version, source generation time, normalization rule version, tenant and validation outcome. The manifest stores the exact snapshot and rule set that produced it — so any send can be reconstructed months later.</w:t>
      </w:r>
    </w:p>
    <w:p>
      <w:pPr>
        <w:spacing w:after="60"/>
      </w:pPr>
    </w:p>
    <w:p>
      <w:pPr>
        <w:pStyle w:val="Heading1"/>
        <w:spacing w:after="200" w:before="360"/>
      </w:pPr>
      <w:r>
        <w:rPr>
          <w:b/>
          <w:bCs/>
          <w:color w:val="0B4A36"/>
        </w:rPr>
        <w:t xml:space="preserve">§8 · Launch bundle now, formal Trinks connection next</w:t>
      </w:r>
    </w:p>
    <w:p>
      <w:pPr>
        <w:spacing w:after="160" w:line="360"/>
      </w:pPr>
      <w:r>
        <w:rPr>
          <w:b/>
          <w:bCs/>
          <w:color w:val="141414"/>
        </w:rPr>
        <w:t xml:space="preserve">Launch path: </w:t>
      </w:r>
      <w:r>
        <w:rPr>
          <w:color w:val="141414"/>
        </w:rPr>
        <w:t xml:space="preserve">prove the bundle against real exports from at least three Trinks salons; map every required field; document which report produces each fact; accept .xlsx or .csv as generated; allow multiple files in one guided upload; produce exact errors naming the missing report or field; and require a source generation time no more than 24 hours before manifest build.</w:t>
      </w:r>
    </w:p>
    <w:tbl>
      <w:tblPr>
        <w:tblW w:type="dxa" w:w="9360"/>
        <w:tblBorders>
          <w:top w:val="none"/>
          <w:left w:val="single" w:color="8A4B0B" w:sz="24"/>
          <w:bottom w:val="none"/>
          <w:right w:val="none"/>
          <w:insideH w:val="none"/>
          <w:insideV w:val="none"/>
        </w:tblBorders>
      </w:tblPr>
      <w:tblGrid>
        <w:gridCol w:w="9360"/>
      </w:tblGrid>
      <w:tr>
        <w:tc>
          <w:tcPr>
            <w:tcW w:type="dxa" w:w="9360"/>
            <w:shd w:fill="F4F1EA" w:val="clear"/>
            <w:tcMar>
              <w:top w:type="dxa" w:w="140"/>
              <w:left w:type="dxa" w:w="220"/>
              <w:bottom w:type="dxa" w:w="140"/>
              <w:right w:type="dxa" w:w="220"/>
            </w:tcMar>
          </w:tcPr>
          <w:p>
            <w:pPr>
              <w:spacing w:after="160" w:line="360"/>
            </w:pPr>
            <w:r>
              <w:rPr>
                <w:b/>
                <w:bCs/>
                <w:color w:val="141414"/>
              </w:rPr>
              <w:t xml:space="preserve">Do not ask a salon to paste its Trinks API key. </w:t>
            </w:r>
            <w:r>
              <w:rPr>
                <w:color w:val="141414"/>
              </w:rPr>
              <w:t xml:space="preserve">Trinks documents API and webhook access through Conecta Trinks, but describes that key as personal, secret and non-transferable. Asking for it would be asking the customer to breach her own provider terms.</w:t>
            </w:r>
          </w:p>
          <w:p>
            <w:pPr>
              <w:spacing w:after="160" w:line="360"/>
            </w:pPr>
            <w:r>
              <w:rPr>
                <w:b/>
                <w:bCs/>
                <w:color w:val="141414"/>
              </w:rPr>
              <w:t xml:space="preserve">Day-one action: </w:t>
            </w:r>
            <w:r>
              <w:rPr>
                <w:color w:val="141414"/>
              </w:rPr>
              <w:t xml:space="preserve">request formal developer/partner access; obtain written authorization for a multi-tenant integration; confirm the exact consent, booking, credit, debt, dispute and transaction fields; confirm rate limits and commercial terms. Build the live connector only after those are documented — then it </w:t>
            </w:r>
            <w:r>
              <w:rPr>
                <w:b/>
                <w:bCs/>
                <w:color w:val="141414"/>
              </w:rPr>
              <w:t xml:space="preserve">replaces</w:t>
            </w:r>
            <w:r>
              <w:rPr>
                <w:color w:val="141414"/>
              </w:rPr>
              <w:t xml:space="preserve"> the bundle rather than coexisting with it forever.</w:t>
            </w:r>
          </w:p>
          <w:p>
            <w:pPr>
              <w:spacing w:after="160" w:line="360"/>
            </w:pPr>
            <w:r>
              <w:rPr>
                <w:color w:val="141414"/>
              </w:rPr>
              <w:t xml:space="preserve">Until then, repeat campaigns require a fresh bundle. They cannot honestly be called "two taps," and the product will not claim it.</w:t>
            </w:r>
          </w:p>
        </w:tc>
      </w:tr>
    </w:tbl>
    <w:p>
      <w:pPr>
        <w:spacing w:after="60"/>
      </w:pPr>
    </w:p>
    <w:p>
      <w:pPr>
        <w:pStyle w:val="Heading1"/>
        <w:spacing w:after="200" w:before="360"/>
      </w:pPr>
      <w:r>
        <w:rPr>
          <w:b/>
          <w:bCs/>
          <w:color w:val="0B4A36"/>
        </w:rPr>
        <w:t xml:space="preserve">§9 · File security and deletion</w:t>
      </w:r>
    </w:p>
    <w:p>
      <w:pPr>
        <w:pStyle w:val="ListParagraph"/>
        <w:numPr>
          <w:ilvl w:val="0"/>
          <w:numId w:val="2"/>
        </w:numPr>
        <w:spacing w:after="100" w:line="340"/>
      </w:pPr>
      <w:r>
        <w:rPr>
          <w:color w:val="141414"/>
        </w:rPr>
        <w:t xml:space="preserve">Files upload directly to encrypted object storage through short-lived URLs — never through support chat, email attachment, or a shared tablet at a trade fair.</w:t>
      </w:r>
    </w:p>
    <w:p>
      <w:pPr>
        <w:pStyle w:val="ListParagraph"/>
        <w:numPr>
          <w:ilvl w:val="0"/>
          <w:numId w:val="2"/>
        </w:numPr>
        <w:spacing w:after="100" w:line="340"/>
      </w:pPr>
      <w:r>
        <w:rPr>
          <w:color w:val="141414"/>
        </w:rPr>
        <w:t xml:space="preserve">Type, size, encoding, macro, formula, archive-depth and malware checks run before parsing.</w:t>
      </w:r>
    </w:p>
    <w:p>
      <w:pPr>
        <w:pStyle w:val="ListParagraph"/>
        <w:numPr>
          <w:ilvl w:val="0"/>
          <w:numId w:val="2"/>
        </w:numPr>
        <w:spacing w:after="100" w:line="340"/>
      </w:pPr>
      <w:r>
        <w:rPr>
          <w:color w:val="141414"/>
        </w:rPr>
        <w:t xml:space="preserve">Forbidden columns and free text are discarded at the door.</w:t>
      </w:r>
    </w:p>
    <w:p>
      <w:pPr>
        <w:pStyle w:val="ListParagraph"/>
        <w:numPr>
          <w:ilvl w:val="0"/>
          <w:numId w:val="2"/>
        </w:numPr>
        <w:spacing w:after="100" w:line="340"/>
      </w:pPr>
      <w:r>
        <w:rPr>
          <w:color w:val="141414"/>
        </w:rPr>
        <w:t xml:space="preserve">Raw data never enters logs, analytics, support tools or model prompts.</w:t>
      </w:r>
    </w:p>
    <w:p>
      <w:pPr>
        <w:pStyle w:val="ListParagraph"/>
        <w:numPr>
          <w:ilvl w:val="0"/>
          <w:numId w:val="2"/>
        </w:numPr>
        <w:spacing w:after="100" w:line="340"/>
      </w:pPr>
      <w:r>
        <w:rPr>
          <w:color w:val="141414"/>
        </w:rPr>
        <w:t xml:space="preserve">Raw files are deleted after successful normalization plus a short recovery window.</w:t>
      </w:r>
    </w:p>
    <w:p>
      <w:pPr>
        <w:pStyle w:val="ListParagraph"/>
        <w:numPr>
          <w:ilvl w:val="0"/>
          <w:numId w:val="2"/>
        </w:numPr>
        <w:spacing w:after="100" w:line="340"/>
      </w:pPr>
      <w:r>
        <w:rPr>
          <w:color w:val="141414"/>
        </w:rPr>
        <w:t xml:space="preserve">A non-converting scan’s row-level data is deleted within the documented scan-retention period; only non-identifying funnel statistics remain.</w:t>
      </w:r>
    </w:p>
    <w:p>
      <w:pPr>
        <w:pStyle w:val="ListParagraph"/>
        <w:numPr>
          <w:ilvl w:val="0"/>
          <w:numId w:val="2"/>
        </w:numPr>
        <w:spacing w:after="100" w:line="340"/>
      </w:pPr>
      <w:r>
        <w:rPr>
          <w:color w:val="141414"/>
        </w:rPr>
        <w:t xml:space="preserve">Production data is never copied into development or into the AI coding tool.</w:t>
      </w:r>
    </w:p>
    <w:p>
      <w:pPr>
        <w:spacing w:after="60"/>
      </w:pPr>
    </w:p>
    <w:p>
      <w:pPr>
        <w:pStyle w:val="Heading1"/>
        <w:spacing w:after="200" w:before="360"/>
      </w:pPr>
      <w:r>
        <w:rPr>
          <w:b/>
          <w:bCs/>
          <w:color w:val="0B4A36"/>
        </w:rPr>
        <w:t xml:space="preserve">§10 · Consent ledger and suppression</w:t>
      </w:r>
    </w:p>
    <w:p>
      <w:pPr>
        <w:spacing w:after="160" w:line="360"/>
      </w:pPr>
      <w:r>
        <w:rPr>
          <w:b/>
          <w:bCs/>
          <w:color w:val="141414"/>
        </w:rPr>
        <w:t xml:space="preserve">No valid evidence means no message. </w:t>
      </w:r>
      <w:r>
        <w:rPr>
          <w:color w:val="141414"/>
        </w:rPr>
        <w:t xml:space="preserve">The product does not manufacture historical permission, and does not let an owner attest her way past the gate.</w:t>
      </w:r>
    </w:p>
    <w:p>
      <w:pPr>
        <w:spacing w:after="160" w:line="360"/>
      </w:pPr>
      <w:r>
        <w:rPr>
          <w:b/>
          <w:bCs/>
          <w:color w:val="141414"/>
        </w:rPr>
        <w:t xml:space="preserve">Suppression is checked three times: </w:t>
      </w:r>
      <w:r>
        <w:rPr>
          <w:color w:val="141414"/>
        </w:rPr>
        <w:t xml:space="preserve">at import, at manifest build, and immediately before send. An opt-out stops that salon’s marketing at once.</w:t>
      </w:r>
    </w:p>
    <w:p>
      <w:pPr>
        <w:spacing w:after="160" w:line="360"/>
      </w:pPr>
      <w:r>
        <w:rPr>
          <w:color w:val="141414"/>
        </w:rPr>
        <w:t xml:space="preserve">"Suppress forever" is replaced by a design that survives legal review: keep a tenant-scoped, salted suppression token for the justified retention period; never use it for analytics or another salon; while access remains, export an encrypted, actionable do-not-contact file to the salon controller and obtain receipt; then reduce Caixa’s copy to the purpose-limited token where the schedule permits. A terminated salon must merge and validate that file before it can re-onboard.</w:t>
      </w:r>
    </w:p>
    <w:p>
      <w:pPr>
        <w:spacing w:after="60"/>
      </w:pPr>
    </w:p>
    <w:p>
      <w:pPr>
        <w:pStyle w:val="Heading1"/>
        <w:spacing w:after="200" w:before="360"/>
      </w:pPr>
      <w:r>
        <w:rPr>
          <w:b/>
          <w:bCs/>
          <w:color w:val="0B4A36"/>
        </w:rPr>
        <w:t xml:space="preserve">§11 · The fair, without a data incident</w:t>
      </w:r>
    </w:p>
    <w:p>
      <w:pPr>
        <w:spacing w:after="160" w:line="360"/>
      </w:pPr>
      <w:r>
        <w:rPr>
          <w:color w:val="141414"/>
        </w:rPr>
        <w:t xml:space="preserve">At Beauty Fair the tablet shows </w:t>
      </w:r>
      <w:r>
        <w:rPr>
          <w:b/>
          <w:bCs/>
          <w:color w:val="141414"/>
        </w:rPr>
        <w:t xml:space="preserve">synthetic demo data only</w:t>
      </w:r>
      <w:r>
        <w:rPr>
          <w:color w:val="141414"/>
        </w:rPr>
        <w:t xml:space="preserve">. The visitor scans a QR and continues on her own phone. Authorization appears before upload. No customer file ever lands on the tablet, in WhatsApp, in email, or in a founder download folder. Real results are delivered in the secure portal afterward. </w:t>
      </w:r>
      <w:r>
        <w:rPr>
          <w:b/>
          <w:bCs/>
          <w:color w:val="141414"/>
        </w:rPr>
        <w:t xml:space="preserve">The fair date does not override a data, provider, legal or safety gate</w:t>
      </w:r>
      <w:r>
        <w:rPr>
          <w:color w:val="141414"/>
        </w:rPr>
        <w:t xml:space="preserve"> — a good week of leads is not worth the one incident that ends the company.</w:t>
      </w:r>
    </w:p>
    <w:p>
      <w:r>
        <w:br w:type="page"/>
      </w:r>
    </w:p>
    <w:tbl>
      <w:tblPr>
        <w:tblW w:type="dxa" w:w="9360"/>
        <w:tblBorders>
          <w:top w:val="none"/>
          <w:left w:val="none"/>
          <w:bottom w:val="none"/>
          <w:right w:val="none"/>
          <w:insideH w:val="none"/>
          <w:insideV w:val="none"/>
        </w:tblBorders>
      </w:tblPr>
      <w:tblGrid>
        <w:gridCol w:w="9360"/>
      </w:tblGrid>
      <w:tr>
        <w:tc>
          <w:tcPr>
            <w:tcW w:type="dxa" w:w="9360"/>
            <w:shd w:fill="0B4A36" w:val="clear"/>
            <w:tcMar>
              <w:top w:type="dxa" w:w="260"/>
              <w:left w:type="dxa" w:w="300"/>
              <w:bottom w:type="dxa" w:w="260"/>
              <w:right w:type="dxa" w:w="300"/>
            </w:tcMar>
          </w:tcPr>
          <w:p>
            <w:pPr>
              <w:spacing w:after="80"/>
            </w:pPr>
            <w:r>
              <w:rPr>
                <w:b/>
                <w:bCs/>
                <w:caps/>
                <w:color w:val="BFE3D3"/>
                <w:sz w:val="22"/>
                <w:szCs w:val="22"/>
              </w:rPr>
              <w:t xml:space="preserve">Part III</w:t>
            </w:r>
          </w:p>
          <w:p>
            <w:pPr>
              <w:spacing w:after="0"/>
            </w:pPr>
            <w:r>
              <w:rPr>
                <w:b/>
                <w:bCs/>
                <w:color w:val="FFFFFF"/>
                <w:sz w:val="40"/>
                <w:szCs w:val="40"/>
              </w:rPr>
              <w:t xml:space="preserve">Owner activation</w:t>
            </w:r>
          </w:p>
        </w:tc>
      </w:tr>
    </w:tbl>
    <w:p>
      <w:pPr>
        <w:spacing w:after="60"/>
      </w:pPr>
    </w:p>
    <w:p>
      <w:pPr>
        <w:pStyle w:val="Heading1"/>
        <w:spacing w:after="200" w:before="360"/>
      </w:pPr>
      <w:r>
        <w:rPr>
          <w:b/>
          <w:bCs/>
          <w:color w:val="0B4A36"/>
        </w:rPr>
        <w:t xml:space="preserve">§12 · The surface</w:t>
      </w:r>
    </w:p>
    <w:p>
      <w:pPr>
        <w:spacing w:after="160" w:line="360"/>
      </w:pPr>
      <w:r>
        <w:rPr>
          <w:color w:val="141414"/>
        </w:rPr>
        <w:t xml:space="preserve">Activation is an asynchronous task board, not a wizard. Every action saves immediately. The owner resumes through </w:t>
      </w:r>
      <w:r>
        <w:rPr>
          <w:b/>
          <w:bCs/>
          <w:color w:val="141414"/>
        </w:rPr>
        <w:t xml:space="preserve">one magic link</w:t>
      </w:r>
      <w:r>
        <w:rPr>
          <w:color w:val="141414"/>
        </w:rPr>
        <w:t xml:space="preserve"> that restores exact state on any device — her phone, the salon computer, or whoever administers the Meta account. She forwards it herself. One mechanism, not three.</w:t>
      </w:r>
    </w:p>
    <w:p>
      <w:pPr>
        <w:spacing w:after="160" w:line="360"/>
      </w:pPr>
      <w:r>
        <w:rPr>
          <w:color w:val="141414"/>
        </w:rPr>
        <w:t xml:space="preserve">All Caixa screens work on an ordinary Android or iPhone. "Mobile-first" does not mean pretending every provider action is app-native: Asaas key creation is web-only and admin-only, and the product says so rather than looping the owner through a flow that cannot complete on her phone.</w:t>
      </w:r>
    </w:p>
    <w:p>
      <w:pPr>
        <w:spacing w:after="60"/>
      </w:pPr>
    </w:p>
    <w:p>
      <w:pPr>
        <w:pStyle w:val="Heading1"/>
        <w:spacing w:after="200" w:before="360"/>
      </w:pPr>
      <w:r>
        <w:rPr>
          <w:b/>
          <w:bCs/>
          <w:color w:val="0B4A36"/>
        </w:rPr>
        <w:t xml:space="preserve">§13 · The seven-card activation board</w:t>
      </w:r>
    </w:p>
    <w:tbl>
      <w:tblPr>
        <w:tblW w:type="dxa" w:w="9360"/>
        <w:tblBorders>
          <w:top w:val="single" w:color="1D6B4F" w:sz="8"/>
          <w:left w:val="none"/>
          <w:bottom w:val="single" w:color="1D6B4F" w:sz="8"/>
          <w:right w:val="none"/>
          <w:insideH w:val="single" w:color="C9D6D0" w:sz="4"/>
          <w:insideV w:val="single" w:color="C9D6D0" w:sz="4"/>
        </w:tblBorders>
      </w:tblPr>
      <w:tblGrid>
        <w:gridCol w:w="1500"/>
        <w:gridCol w:w="2600"/>
        <w:gridCol w:w="5260"/>
      </w:tblGrid>
      <w:tr>
        <w:trPr>
          <w:tblHeader/>
        </w:trPr>
        <w:tc>
          <w:tcPr>
            <w:tcW w:type="dxa" w:w="1500"/>
            <w:shd w:fill="0B4A36" w:val="clear"/>
            <w:tcMar>
              <w:top w:type="dxa" w:w="90"/>
              <w:left w:type="dxa" w:w="140"/>
              <w:bottom w:type="dxa" w:w="90"/>
              <w:right w:type="dxa" w:w="140"/>
            </w:tcMar>
          </w:tcPr>
          <w:p>
            <w:pPr>
              <w:spacing w:after="0" w:line="300"/>
            </w:pPr>
            <w:r>
              <w:rPr>
                <w:b/>
                <w:bCs/>
                <w:color w:val="FFFFFF"/>
                <w:sz w:val="22"/>
                <w:szCs w:val="22"/>
              </w:rPr>
              <w:t xml:space="preserve">Card</w:t>
            </w:r>
          </w:p>
        </w:tc>
        <w:tc>
          <w:tcPr>
            <w:tcW w:type="dxa" w:w="2600"/>
            <w:shd w:fill="0B4A36" w:val="clear"/>
            <w:tcMar>
              <w:top w:type="dxa" w:w="90"/>
              <w:left w:type="dxa" w:w="140"/>
              <w:bottom w:type="dxa" w:w="90"/>
              <w:right w:type="dxa" w:w="140"/>
            </w:tcMar>
          </w:tcPr>
          <w:p>
            <w:pPr>
              <w:spacing w:after="0" w:line="300"/>
            </w:pPr>
            <w:r>
              <w:rPr>
                <w:b/>
                <w:bCs/>
                <w:color w:val="FFFFFF"/>
                <w:sz w:val="22"/>
                <w:szCs w:val="22"/>
              </w:rPr>
              <w:t xml:space="preserve">Owner sees</w:t>
            </w:r>
          </w:p>
        </w:tc>
        <w:tc>
          <w:tcPr>
            <w:tcW w:type="dxa" w:w="5260"/>
            <w:shd w:fill="0B4A36" w:val="clear"/>
            <w:tcMar>
              <w:top w:type="dxa" w:w="90"/>
              <w:left w:type="dxa" w:w="140"/>
              <w:bottom w:type="dxa" w:w="90"/>
              <w:right w:type="dxa" w:w="140"/>
            </w:tcMar>
          </w:tcPr>
          <w:p>
            <w:pPr>
              <w:spacing w:after="0" w:line="300"/>
            </w:pPr>
            <w:r>
              <w:rPr>
                <w:b/>
                <w:bCs/>
                <w:color w:val="FFFFFF"/>
                <w:sz w:val="22"/>
                <w:szCs w:val="22"/>
              </w:rPr>
              <w:t xml:space="preserve">States</w:t>
            </w:r>
          </w:p>
        </w:tc>
      </w:tr>
      <w:tr>
        <w:trPr>
          <w:tblHeader w:val="false"/>
        </w:trPr>
        <w:tc>
          <w:tcPr>
            <w:tcW w:type="dxa" w:w="1500"/>
            <w:tcMar>
              <w:top w:type="dxa" w:w="90"/>
              <w:left w:type="dxa" w:w="140"/>
              <w:bottom w:type="dxa" w:w="90"/>
              <w:right w:type="dxa" w:w="140"/>
            </w:tcMar>
          </w:tcPr>
          <w:p>
            <w:pPr>
              <w:spacing w:after="0" w:line="300"/>
            </w:pPr>
            <w:r>
              <w:rPr>
                <w:color w:val="141414"/>
                <w:sz w:val="22"/>
                <w:szCs w:val="22"/>
              </w:rPr>
              <w:t xml:space="preserve">Data</w:t>
            </w:r>
          </w:p>
        </w:tc>
        <w:tc>
          <w:tcPr>
            <w:tcW w:type="dxa" w:w="2600"/>
            <w:tcMar>
              <w:top w:type="dxa" w:w="90"/>
              <w:left w:type="dxa" w:w="140"/>
              <w:bottom w:type="dxa" w:w="90"/>
              <w:right w:type="dxa" w:w="140"/>
            </w:tcMar>
          </w:tcPr>
          <w:p>
            <w:pPr>
              <w:spacing w:after="0" w:line="300"/>
            </w:pPr>
            <w:r>
              <w:rPr>
                <w:color w:val="141414"/>
                <w:sz w:val="22"/>
                <w:szCs w:val="22"/>
              </w:rPr>
              <w:t xml:space="preserve">Dados do salão</w:t>
            </w:r>
          </w:p>
        </w:tc>
        <w:tc>
          <w:tcPr>
            <w:tcW w:type="dxa" w:w="5260"/>
            <w:tcMar>
              <w:top w:type="dxa" w:w="90"/>
              <w:left w:type="dxa" w:w="140"/>
              <w:bottom w:type="dxa" w:w="90"/>
              <w:right w:type="dxa" w:w="140"/>
            </w:tcMar>
          </w:tcPr>
          <w:p>
            <w:pPr>
              <w:spacing w:after="0" w:line="300"/>
            </w:pPr>
            <w:r>
              <w:rPr>
                <w:color w:val="141414"/>
                <w:sz w:val="22"/>
                <w:szCs w:val="22"/>
              </w:rPr>
              <w:t xml:space="preserve">Enviado · incompleto · atualizado</w:t>
            </w:r>
          </w:p>
        </w:tc>
      </w:tr>
      <w:tr>
        <w:trPr>
          <w:tblHeader w:val="false"/>
        </w:trPr>
        <w:tc>
          <w:tcPr>
            <w:tcW w:type="dxa" w:w="1500"/>
            <w:tcMar>
              <w:top w:type="dxa" w:w="90"/>
              <w:left w:type="dxa" w:w="140"/>
              <w:bottom w:type="dxa" w:w="90"/>
              <w:right w:type="dxa" w:w="140"/>
            </w:tcMar>
          </w:tcPr>
          <w:p>
            <w:pPr>
              <w:spacing w:after="0" w:line="300"/>
            </w:pPr>
            <w:r>
              <w:rPr>
                <w:color w:val="141414"/>
                <w:sz w:val="22"/>
                <w:szCs w:val="22"/>
              </w:rPr>
              <w:t xml:space="preserve">Agreement</w:t>
            </w:r>
          </w:p>
        </w:tc>
        <w:tc>
          <w:tcPr>
            <w:tcW w:type="dxa" w:w="2600"/>
            <w:tcMar>
              <w:top w:type="dxa" w:w="90"/>
              <w:left w:type="dxa" w:w="140"/>
              <w:bottom w:type="dxa" w:w="90"/>
              <w:right w:type="dxa" w:w="140"/>
            </w:tcMar>
          </w:tcPr>
          <w:p>
            <w:pPr>
              <w:spacing w:after="0" w:line="300"/>
            </w:pPr>
            <w:r>
              <w:rPr>
                <w:color w:val="141414"/>
                <w:sz w:val="22"/>
                <w:szCs w:val="22"/>
              </w:rPr>
              <w:t xml:space="preserve">Contrato</w:t>
            </w:r>
          </w:p>
        </w:tc>
        <w:tc>
          <w:tcPr>
            <w:tcW w:type="dxa" w:w="5260"/>
            <w:tcMar>
              <w:top w:type="dxa" w:w="90"/>
              <w:left w:type="dxa" w:w="140"/>
              <w:bottom w:type="dxa" w:w="90"/>
              <w:right w:type="dxa" w:w="140"/>
            </w:tcMar>
          </w:tcPr>
          <w:p>
            <w:pPr>
              <w:spacing w:after="0" w:line="300"/>
            </w:pPr>
            <w:r>
              <w:rPr>
                <w:color w:val="141414"/>
                <w:sz w:val="22"/>
                <w:szCs w:val="22"/>
              </w:rPr>
              <w:t xml:space="preserve">Assinar · aguardando responsável · concluído</w:t>
            </w:r>
          </w:p>
        </w:tc>
      </w:tr>
      <w:tr>
        <w:trPr>
          <w:tblHeader w:val="false"/>
        </w:trPr>
        <w:tc>
          <w:tcPr>
            <w:tcW w:type="dxa" w:w="1500"/>
            <w:tcMar>
              <w:top w:type="dxa" w:w="90"/>
              <w:left w:type="dxa" w:w="140"/>
              <w:bottom w:type="dxa" w:w="90"/>
              <w:right w:type="dxa" w:w="140"/>
            </w:tcMar>
          </w:tcPr>
          <w:p>
            <w:pPr>
              <w:spacing w:after="0" w:line="300"/>
            </w:pPr>
            <w:r>
              <w:rPr>
                <w:color w:val="141414"/>
                <w:sz w:val="22"/>
                <w:szCs w:val="22"/>
              </w:rPr>
              <w:t xml:space="preserve">Asaas</w:t>
            </w:r>
          </w:p>
        </w:tc>
        <w:tc>
          <w:tcPr>
            <w:tcW w:type="dxa" w:w="2600"/>
            <w:tcMar>
              <w:top w:type="dxa" w:w="90"/>
              <w:left w:type="dxa" w:w="140"/>
              <w:bottom w:type="dxa" w:w="90"/>
              <w:right w:type="dxa" w:w="140"/>
            </w:tcMar>
          </w:tcPr>
          <w:p>
            <w:pPr>
              <w:spacing w:after="0" w:line="300"/>
            </w:pPr>
            <w:r>
              <w:rPr>
                <w:color w:val="141414"/>
                <w:sz w:val="22"/>
                <w:szCs w:val="22"/>
              </w:rPr>
              <w:t xml:space="preserve">Recebimentos</w:t>
            </w:r>
          </w:p>
        </w:tc>
        <w:tc>
          <w:tcPr>
            <w:tcW w:type="dxa" w:w="5260"/>
            <w:tcMar>
              <w:top w:type="dxa" w:w="90"/>
              <w:left w:type="dxa" w:w="140"/>
              <w:bottom w:type="dxa" w:w="90"/>
              <w:right w:type="dxa" w:w="140"/>
            </w:tcMar>
          </w:tcPr>
          <w:p>
            <w:pPr>
              <w:spacing w:after="0" w:line="300"/>
            </w:pPr>
            <w:r>
              <w:rPr>
                <w:color w:val="141414"/>
                <w:sz w:val="22"/>
                <w:szCs w:val="22"/>
              </w:rPr>
              <w:t xml:space="preserve">Conectar · conta em análise · testar · conectado</w:t>
            </w:r>
          </w:p>
        </w:tc>
      </w:tr>
      <w:tr>
        <w:trPr>
          <w:tblHeader w:val="false"/>
        </w:trPr>
        <w:tc>
          <w:tcPr>
            <w:tcW w:type="dxa" w:w="1500"/>
            <w:tcMar>
              <w:top w:type="dxa" w:w="90"/>
              <w:left w:type="dxa" w:w="140"/>
              <w:bottom w:type="dxa" w:w="90"/>
              <w:right w:type="dxa" w:w="140"/>
            </w:tcMar>
          </w:tcPr>
          <w:p>
            <w:pPr>
              <w:spacing w:after="0" w:line="300"/>
            </w:pPr>
            <w:r>
              <w:rPr>
                <w:color w:val="141414"/>
                <w:sz w:val="22"/>
                <w:szCs w:val="22"/>
              </w:rPr>
              <w:t xml:space="preserve">Meta</w:t>
            </w:r>
          </w:p>
        </w:tc>
        <w:tc>
          <w:tcPr>
            <w:tcW w:type="dxa" w:w="2600"/>
            <w:tcMar>
              <w:top w:type="dxa" w:w="90"/>
              <w:left w:type="dxa" w:w="140"/>
              <w:bottom w:type="dxa" w:w="90"/>
              <w:right w:type="dxa" w:w="140"/>
            </w:tcMar>
          </w:tcPr>
          <w:p>
            <w:pPr>
              <w:spacing w:after="0" w:line="300"/>
            </w:pPr>
            <w:r>
              <w:rPr>
                <w:color w:val="141414"/>
                <w:sz w:val="22"/>
                <w:szCs w:val="22"/>
              </w:rPr>
              <w:t xml:space="preserve">WhatsApp do salão</w:t>
            </w:r>
          </w:p>
        </w:tc>
        <w:tc>
          <w:tcPr>
            <w:tcW w:type="dxa" w:w="5260"/>
            <w:tcMar>
              <w:top w:type="dxa" w:w="90"/>
              <w:left w:type="dxa" w:w="140"/>
              <w:bottom w:type="dxa" w:w="90"/>
              <w:right w:type="dxa" w:w="140"/>
            </w:tcMar>
          </w:tcPr>
          <w:p>
            <w:pPr>
              <w:spacing w:after="0" w:line="300"/>
            </w:pPr>
            <w:r>
              <w:rPr>
                <w:color w:val="141414"/>
                <w:sz w:val="22"/>
                <w:szCs w:val="22"/>
              </w:rPr>
              <w:t xml:space="preserve">Preparar · conectar · revisão externa · conectado</w:t>
            </w:r>
          </w:p>
        </w:tc>
      </w:tr>
      <w:tr>
        <w:trPr>
          <w:tblHeader w:val="false"/>
        </w:trPr>
        <w:tc>
          <w:tcPr>
            <w:tcW w:type="dxa" w:w="1500"/>
            <w:tcMar>
              <w:top w:type="dxa" w:w="90"/>
              <w:left w:type="dxa" w:w="140"/>
              <w:bottom w:type="dxa" w:w="90"/>
              <w:right w:type="dxa" w:w="140"/>
            </w:tcMar>
          </w:tcPr>
          <w:p>
            <w:pPr>
              <w:spacing w:after="0" w:line="300"/>
            </w:pPr>
            <w:r>
              <w:rPr>
                <w:color w:val="141414"/>
                <w:sz w:val="22"/>
                <w:szCs w:val="22"/>
              </w:rPr>
              <w:t xml:space="preserve">Offer</w:t>
            </w:r>
          </w:p>
        </w:tc>
        <w:tc>
          <w:tcPr>
            <w:tcW w:type="dxa" w:w="2600"/>
            <w:tcMar>
              <w:top w:type="dxa" w:w="90"/>
              <w:left w:type="dxa" w:w="140"/>
              <w:bottom w:type="dxa" w:w="90"/>
              <w:right w:type="dxa" w:w="140"/>
            </w:tcMar>
          </w:tcPr>
          <w:p>
            <w:pPr>
              <w:spacing w:after="0" w:line="300"/>
            </w:pPr>
            <w:r>
              <w:rPr>
                <w:color w:val="141414"/>
                <w:sz w:val="22"/>
                <w:szCs w:val="22"/>
              </w:rPr>
              <w:t xml:space="preserve">Oferta</w:t>
            </w:r>
          </w:p>
        </w:tc>
        <w:tc>
          <w:tcPr>
            <w:tcW w:type="dxa" w:w="5260"/>
            <w:tcMar>
              <w:top w:type="dxa" w:w="90"/>
              <w:left w:type="dxa" w:w="140"/>
              <w:bottom w:type="dxa" w:w="90"/>
              <w:right w:type="dxa" w:w="140"/>
            </w:tcMar>
          </w:tcPr>
          <w:p>
            <w:pPr>
              <w:spacing w:after="0" w:line="300"/>
            </w:pPr>
            <w:r>
              <w:rPr>
                <w:color w:val="141414"/>
                <w:sz w:val="22"/>
                <w:szCs w:val="22"/>
              </w:rPr>
              <w:t xml:space="preserve">Completar · revisar · aprovada</w:t>
            </w:r>
          </w:p>
        </w:tc>
      </w:tr>
      <w:tr>
        <w:trPr>
          <w:tblHeader w:val="false"/>
        </w:trPr>
        <w:tc>
          <w:tcPr>
            <w:tcW w:type="dxa" w:w="1500"/>
            <w:tcMar>
              <w:top w:type="dxa" w:w="90"/>
              <w:left w:type="dxa" w:w="140"/>
              <w:bottom w:type="dxa" w:w="90"/>
              <w:right w:type="dxa" w:w="140"/>
            </w:tcMar>
          </w:tcPr>
          <w:p>
            <w:pPr>
              <w:spacing w:after="0" w:line="300"/>
            </w:pPr>
            <w:r>
              <w:rPr>
                <w:color w:val="141414"/>
                <w:sz w:val="22"/>
                <w:szCs w:val="22"/>
              </w:rPr>
              <w:t xml:space="preserve">Reception</w:t>
            </w:r>
          </w:p>
        </w:tc>
        <w:tc>
          <w:tcPr>
            <w:tcW w:type="dxa" w:w="2600"/>
            <w:tcMar>
              <w:top w:type="dxa" w:w="90"/>
              <w:left w:type="dxa" w:w="140"/>
              <w:bottom w:type="dxa" w:w="90"/>
              <w:right w:type="dxa" w:w="140"/>
            </w:tcMar>
          </w:tcPr>
          <w:p>
            <w:pPr>
              <w:spacing w:after="0" w:line="300"/>
            </w:pPr>
            <w:r>
              <w:rPr>
                <w:color w:val="141414"/>
                <w:sz w:val="22"/>
                <w:szCs w:val="22"/>
              </w:rPr>
              <w:t xml:space="preserve">Atendimento</w:t>
            </w:r>
          </w:p>
        </w:tc>
        <w:tc>
          <w:tcPr>
            <w:tcW w:type="dxa" w:w="5260"/>
            <w:tcMar>
              <w:top w:type="dxa" w:w="90"/>
              <w:left w:type="dxa" w:w="140"/>
              <w:bottom w:type="dxa" w:w="90"/>
              <w:right w:type="dxa" w:w="140"/>
            </w:tcMar>
          </w:tcPr>
          <w:p>
            <w:pPr>
              <w:spacing w:after="0" w:line="300"/>
            </w:pPr>
            <w:r>
              <w:rPr>
                <w:color w:val="141414"/>
                <w:sz w:val="22"/>
                <w:szCs w:val="22"/>
              </w:rPr>
              <w:t xml:space="preserve">Informar horário · respostas prontas · concluído</w:t>
            </w:r>
          </w:p>
        </w:tc>
      </w:tr>
      <w:tr>
        <w:trPr>
          <w:tblHeader w:val="false"/>
        </w:trPr>
        <w:tc>
          <w:tcPr>
            <w:tcW w:type="dxa" w:w="1500"/>
            <w:tcMar>
              <w:top w:type="dxa" w:w="90"/>
              <w:left w:type="dxa" w:w="140"/>
              <w:bottom w:type="dxa" w:w="90"/>
              <w:right w:type="dxa" w:w="140"/>
            </w:tcMar>
          </w:tcPr>
          <w:p>
            <w:pPr>
              <w:spacing w:after="0" w:line="300"/>
            </w:pPr>
            <w:r>
              <w:rPr>
                <w:color w:val="141414"/>
                <w:sz w:val="22"/>
                <w:szCs w:val="22"/>
              </w:rPr>
              <w:t xml:space="preserve">Template</w:t>
            </w:r>
          </w:p>
        </w:tc>
        <w:tc>
          <w:tcPr>
            <w:tcW w:type="dxa" w:w="2600"/>
            <w:tcMar>
              <w:top w:type="dxa" w:w="90"/>
              <w:left w:type="dxa" w:w="140"/>
              <w:bottom w:type="dxa" w:w="90"/>
              <w:right w:type="dxa" w:w="140"/>
            </w:tcMar>
          </w:tcPr>
          <w:p>
            <w:pPr>
              <w:spacing w:after="0" w:line="300"/>
            </w:pPr>
            <w:r>
              <w:rPr>
                <w:color w:val="141414"/>
                <w:sz w:val="22"/>
                <w:szCs w:val="22"/>
              </w:rPr>
              <w:t xml:space="preserve">Mensagem</w:t>
            </w:r>
          </w:p>
        </w:tc>
        <w:tc>
          <w:tcPr>
            <w:tcW w:type="dxa" w:w="5260"/>
            <w:tcMar>
              <w:top w:type="dxa" w:w="90"/>
              <w:left w:type="dxa" w:w="140"/>
              <w:bottom w:type="dxa" w:w="90"/>
              <w:right w:type="dxa" w:w="140"/>
            </w:tcMar>
          </w:tcPr>
          <w:p>
            <w:pPr>
              <w:spacing w:after="0" w:line="300"/>
            </w:pPr>
            <w:r>
              <w:rPr>
                <w:color w:val="141414"/>
                <w:sz w:val="22"/>
                <w:szCs w:val="22"/>
              </w:rPr>
              <w:t xml:space="preserve">Preparando · Meta analisando · aprovada</w:t>
            </w:r>
          </w:p>
        </w:tc>
      </w:tr>
    </w:tbl>
    <w:p>
      <w:pPr>
        <w:spacing w:after="60"/>
      </w:pPr>
    </w:p>
    <w:p>
      <w:pPr>
        <w:spacing w:after="160" w:line="360"/>
      </w:pPr>
      <w:r>
        <w:rPr>
          <w:color w:val="141414"/>
        </w:rPr>
        <w:t xml:space="preserve">Cards complete in parallel. </w:t>
      </w:r>
      <w:r>
        <w:rPr>
          <w:b/>
          <w:bCs/>
          <w:color w:val="141414"/>
        </w:rPr>
        <w:t xml:space="preserve">READY is computed from verified provider facts</w:t>
      </w:r>
      <w:r>
        <w:rPr>
          <w:color w:val="141414"/>
        </w:rPr>
        <w:t xml:space="preserve"> — never from a founder checkbox, because a checkbox is how a plan starts lying about what is actually connected.</w:t>
      </w:r>
    </w:p>
    <w:p>
      <w:pPr>
        <w:spacing w:after="60"/>
      </w:pPr>
    </w:p>
    <w:p>
      <w:pPr>
        <w:pStyle w:val="Heading1"/>
        <w:spacing w:after="200" w:before="360"/>
      </w:pPr>
      <w:r>
        <w:rPr>
          <w:b/>
          <w:bCs/>
          <w:color w:val="0B4A36"/>
        </w:rPr>
        <w:t xml:space="preserve">§14 · The owner journey, in order</w:t>
      </w:r>
    </w:p>
    <w:p>
      <w:pPr>
        <w:pStyle w:val="Heading3"/>
        <w:spacing w:after="120" w:before="220"/>
      </w:pPr>
      <w:r>
        <w:rPr>
          <w:b/>
          <w:bCs/>
          <w:color w:val="141414"/>
        </w:rPr>
        <w:t xml:space="preserve">Entry and identification</w:t>
      </w:r>
    </w:p>
    <w:p>
      <w:pPr>
        <w:spacing w:after="160" w:line="360"/>
      </w:pPr>
      <w:r>
        <w:rPr>
          <w:i/>
          <w:iCs/>
          <w:color w:val="0A6E4C"/>
        </w:rPr>
        <w:t xml:space="preserve">“Quantas clientes podem voltar para o seu salão?”</w:t>
      </w:r>
      <w:r>
        <w:rPr>
          <w:color w:val="141414"/>
        </w:rPr>
        <w:t xml:space="preserve"> — then CNPJ, the owner’s WhatsApp, and a one-time code. </w:t>
      </w:r>
      <w:r>
        <w:rPr>
          <w:i/>
          <w:iCs/>
          <w:color w:val="0A6E4C"/>
        </w:rPr>
        <w:t xml:space="preserve">“Encontramos: Salão Bela Luz, São Paulo. É este?”</w:t>
      </w:r>
    </w:p>
    <w:p>
      <w:pPr>
        <w:pStyle w:val="Heading3"/>
        <w:spacing w:after="120" w:before="220"/>
      </w:pPr>
      <w:r>
        <w:rPr>
          <w:b/>
          <w:bCs/>
          <w:color w:val="141414"/>
        </w:rPr>
        <w:t xml:space="preserve">Authority and scan privacy — before any upload</w:t>
      </w:r>
    </w:p>
    <w:p>
      <w:pPr>
        <w:spacing w:after="160" w:line="360"/>
      </w:pPr>
      <w:r>
        <w:rPr>
          <w:i/>
          <w:iCs/>
          <w:color w:val="0A6E4C"/>
        </w:rPr>
        <w:t xml:space="preserve">“Vamos usar os arquivos apenas para calcular quem pode receber a campanha. Nenhuma mensagem será enviada sem autorização, e listas sem permissão comprovada ficam de fora.”</w:t>
      </w:r>
    </w:p>
    <w:p>
      <w:pPr>
        <w:spacing w:after="160" w:line="360"/>
      </w:pPr>
      <w:r>
        <w:rPr>
          <w:color w:val="141414"/>
        </w:rPr>
        <w:t xml:space="preserve">Two explicit confirmations: </w:t>
      </w:r>
      <w:r>
        <w:rPr>
          <w:b/>
          <w:bCs/>
          <w:color w:val="141414"/>
        </w:rPr>
        <w:t xml:space="preserve">I am authorized to submit these salon records</w:t>
      </w:r>
      <w:r>
        <w:rPr>
          <w:color w:val="141414"/>
        </w:rPr>
        <w:t xml:space="preserve">, and </w:t>
      </w:r>
      <w:r>
        <w:rPr>
          <w:b/>
          <w:bCs/>
          <w:color w:val="141414"/>
        </w:rPr>
        <w:t xml:space="preserve">I accept the scan terms, privacy notice and processing terms</w:t>
      </w:r>
      <w:r>
        <w:rPr>
          <w:color w:val="141414"/>
        </w:rPr>
        <w:t xml:space="preserve">. No upload control renders before both.</w:t>
      </w:r>
    </w:p>
    <w:p>
      <w:pPr>
        <w:pStyle w:val="Heading3"/>
        <w:spacing w:after="120" w:before="220"/>
      </w:pPr>
      <w:r>
        <w:rPr>
          <w:b/>
          <w:bCs/>
          <w:color w:val="141414"/>
        </w:rPr>
        <w:t xml:space="preserve">The bundle, and delegation</w:t>
      </w:r>
    </w:p>
    <w:p>
      <w:pPr>
        <w:spacing w:after="160" w:line="360"/>
      </w:pPr>
      <w:r>
        <w:rPr>
          <w:color w:val="141414"/>
        </w:rPr>
        <w:t xml:space="preserve">She uploads the named reports, or forwards the magic link to whoever has the salon computer. The delegated person lands on the upload task alone — not the account.</w:t>
      </w:r>
    </w:p>
    <w:p>
      <w:pPr>
        <w:pStyle w:val="Heading3"/>
        <w:spacing w:after="120" w:before="220"/>
      </w:pPr>
      <w:r>
        <w:rPr>
          <w:b/>
          <w:bCs/>
          <w:color w:val="141414"/>
        </w:rPr>
        <w:t xml:space="preserve">Result — three honest numbers</w:t>
      </w:r>
    </w:p>
    <w:p>
      <w:pPr>
        <w:spacing w:after="160" w:line="360"/>
      </w:pPr>
      <w:r>
        <w:rPr>
          <w:rFonts w:ascii="Consolas" w:cs="Consolas" w:eastAsia="Consolas" w:hAnsi="Consolas"/>
          <w:color w:val="0A6E4C"/>
          <w:sz w:val="21"/>
          <w:szCs w:val="21"/>
        </w:rPr>
        <w:t xml:space="preserve">612 clientes não voltam há mais de 90 dias  ·  214 têm permissão comprovada  ·  186 estão totalmente liberadas</w:t>
      </w:r>
    </w:p>
    <w:p>
      <w:pPr>
        <w:spacing w:after="160" w:line="360"/>
      </w:pPr>
      <w:r>
        <w:rPr>
          <w:color w:val="141414"/>
        </w:rPr>
        <w:t xml:space="preserve">If a required fact is missing: </w:t>
      </w:r>
      <w:r>
        <w:rPr>
          <w:i/>
          <w:iCs/>
          <w:color w:val="0A6E4C"/>
        </w:rPr>
        <w:t xml:space="preserve">“Estes arquivos não comprovam {{requisito}}. Por segurança, nenhuma cliente afetada entrou na lista.”</w:t>
      </w:r>
      <w:r>
        <w:rPr>
          <w:color w:val="141414"/>
        </w:rPr>
        <w:t xml:space="preserve"> If consent is absent entirely, say so plainly and do not onboard — there is no campaign to sell her yet.</w:t>
      </w:r>
    </w:p>
    <w:p>
      <w:pPr>
        <w:pStyle w:val="Heading3"/>
        <w:spacing w:after="120" w:before="220"/>
      </w:pPr>
      <w:r>
        <w:rPr>
          <w:b/>
          <w:bCs/>
          <w:color w:val="141414"/>
        </w:rPr>
        <w:t xml:space="preserve">Agreement</w:t>
      </w:r>
    </w:p>
    <w:p>
      <w:pPr>
        <w:spacing w:after="160" w:line="360"/>
      </w:pPr>
      <w:r>
        <w:rPr>
          <w:color w:val="141414"/>
        </w:rPr>
        <w:t xml:space="preserve">Plain-language commercial summary before the legal text: 20% only of Asaas net settled through the campaign; payments outside the path generate no fee; refunds reverse Caixa’s portion; the salon remains the seller and fulfills the service; the owner approves the offer and the manifest. If the current user lacks authority: </w:t>
      </w:r>
      <w:r>
        <w:rPr>
          <w:i/>
          <w:iCs/>
          <w:color w:val="0A6E4C"/>
        </w:rPr>
        <w:t xml:space="preserve">“Enviar para quem pode assinar”</w:t>
      </w:r>
      <w:r>
        <w:rPr>
          <w:color w:val="141414"/>
        </w:rPr>
        <w:t xml:space="preserve">.</w:t>
      </w:r>
    </w:p>
    <w:p>
      <w:pPr>
        <w:pStyle w:val="Heading3"/>
        <w:spacing w:after="120" w:before="220"/>
      </w:pPr>
      <w:r>
        <w:rPr>
          <w:b/>
          <w:bCs/>
          <w:color w:val="141414"/>
        </w:rPr>
        <w:t xml:space="preserve">Offer, reception, message, authorization</w:t>
      </w:r>
    </w:p>
    <w:p>
      <w:pPr>
        <w:spacing w:after="160" w:line="360"/>
      </w:pPr>
      <w:r>
        <w:rPr>
          <w:color w:val="141414"/>
        </w:rPr>
        <w:t xml:space="preserve">One recommended offer populated from her own data — not a gallery to browse. She confirms capacity, terms and price, or edits. Then reception hours and the handoff route. Then a real WhatsApp bubble preview, not Meta terminology. Then the final authorization screen (§16).</w:t>
      </w:r>
    </w:p>
    <w:p>
      <w:pPr>
        <w:spacing w:after="60"/>
      </w:pPr>
    </w:p>
    <w:p>
      <w:pPr>
        <w:pStyle w:val="Heading1"/>
        <w:spacing w:after="200" w:before="360"/>
      </w:pPr>
      <w:r>
        <w:rPr>
          <w:b/>
          <w:bCs/>
          <w:color w:val="0B4A36"/>
        </w:rPr>
        <w:t xml:space="preserve">§15 · Connecting the two providers</w:t>
      </w:r>
    </w:p>
    <w:p>
      <w:pPr>
        <w:pStyle w:val="Heading3"/>
        <w:spacing w:after="120" w:before="220"/>
      </w:pPr>
      <w:r>
        <w:rPr>
          <w:b/>
          <w:bCs/>
          <w:color w:val="141414"/>
        </w:rPr>
        <w:t xml:space="preserve">Asaas — the launch reality</w:t>
      </w:r>
    </w:p>
    <w:tbl>
      <w:tblPr>
        <w:tblW w:type="dxa" w:w="9360"/>
        <w:tblBorders>
          <w:top w:val="none"/>
          <w:left w:val="single" w:color="8A1C1C" w:sz="24"/>
          <w:bottom w:val="none"/>
          <w:right w:val="none"/>
          <w:insideH w:val="none"/>
          <w:insideV w:val="none"/>
        </w:tblBorders>
      </w:tblPr>
      <w:tblGrid>
        <w:gridCol w:w="9360"/>
      </w:tblGrid>
      <w:tr>
        <w:tc>
          <w:tcPr>
            <w:tcW w:type="dxa" w:w="9360"/>
            <w:shd w:fill="FBF0EE" w:val="clear"/>
            <w:tcMar>
              <w:top w:type="dxa" w:w="140"/>
              <w:left w:type="dxa" w:w="220"/>
              <w:bottom w:type="dxa" w:w="140"/>
              <w:right w:type="dxa" w:w="220"/>
            </w:tcMar>
          </w:tcPr>
          <w:p>
            <w:pPr>
              <w:spacing w:after="160" w:line="360"/>
            </w:pPr>
            <w:r>
              <w:rPr>
                <w:b/>
                <w:bCs/>
                <w:color w:val="141414"/>
              </w:rPr>
              <w:t xml:space="preserve">Blocking prerequisite. </w:t>
            </w:r>
            <w:r>
              <w:rPr>
                <w:color w:val="141414"/>
              </w:rPr>
              <w:t xml:space="preserve">Before public use, obtain written Asaas confirmation that Caixa may receive and securely store a dedicated salon-generated key; that the unrelated-merchant split topology is accepted; that the required payment, split, refund and webhook operations are allowed; and that the expected scale is supported. </w:t>
            </w:r>
            <w:r>
              <w:rPr>
                <w:b/>
                <w:bCs/>
                <w:color w:val="141414"/>
              </w:rPr>
              <w:t xml:space="preserve">UX cannot repair an unapproved financial topology</w:t>
            </w:r>
            <w:r>
              <w:rPr>
                <w:color w:val="141414"/>
              </w:rPr>
              <w:t xml:space="preserve"> — if that confirmation does not exist, payment connection stays assisted or launch stops.</w:t>
            </w:r>
          </w:p>
        </w:tc>
      </w:tr>
    </w:tbl>
    <w:p>
      <w:pPr>
        <w:pStyle w:val="ListParagraph"/>
        <w:numPr>
          <w:ilvl w:val="0"/>
          <w:numId w:val="2"/>
        </w:numPr>
        <w:spacing w:after="100" w:line="340"/>
      </w:pPr>
      <w:r>
        <w:rPr>
          <w:color w:val="141414"/>
        </w:rPr>
        <w:t xml:space="preserve">Ask first: </w:t>
      </w:r>
      <w:r>
        <w:rPr>
          <w:i/>
          <w:iCs/>
          <w:color w:val="0A6E4C"/>
        </w:rPr>
        <w:t xml:space="preserve">“Você já tem uma conta Asaas PJ aprovada?”</w:t>
      </w:r>
      <w:r>
        <w:rPr>
          <w:color w:val="141414"/>
        </w:rPr>
        <w:t xml:space="preserve"> If not, open the official account flow and save Caixa progress — document review takes provider calendar time, not owner minutes.</w:t>
      </w:r>
    </w:p>
    <w:p>
      <w:pPr>
        <w:pStyle w:val="ListParagraph"/>
        <w:numPr>
          <w:ilvl w:val="0"/>
          <w:numId w:val="2"/>
        </w:numPr>
        <w:spacing w:after="100" w:line="340"/>
      </w:pPr>
      <w:r>
        <w:rPr>
          <w:color w:val="141414"/>
        </w:rPr>
        <w:t xml:space="preserve">When ready, open the Asaas web key page in Chrome or Safari. The administrator creates a dedicated key named </w:t>
      </w:r>
      <w:r>
        <w:rPr>
          <w:rFonts w:ascii="Consolas" w:cs="Consolas" w:eastAsia="Consolas" w:hAnsi="Consolas"/>
          <w:color w:val="0A6E4C"/>
          <w:sz w:val="21"/>
          <w:szCs w:val="21"/>
        </w:rPr>
        <w:t xml:space="preserve">Caixa Cheia</w:t>
      </w:r>
      <w:r>
        <w:rPr>
          <w:color w:val="141414"/>
        </w:rPr>
        <w:t xml:space="preserve">.</w:t>
      </w:r>
    </w:p>
    <w:p>
      <w:pPr>
        <w:pStyle w:val="ListParagraph"/>
        <w:numPr>
          <w:ilvl w:val="0"/>
          <w:numId w:val="2"/>
        </w:numPr>
        <w:spacing w:after="100" w:line="340"/>
      </w:pPr>
      <w:r>
        <w:rPr>
          <w:color w:val="141414"/>
        </w:rPr>
        <w:t xml:space="preserve">She returns to a masked, single-submit field. The secret goes straight to the backend over TLS — never to analytics, support, a screenshot, or an LLM.</w:t>
      </w:r>
    </w:p>
    <w:p>
      <w:pPr>
        <w:pStyle w:val="ListParagraph"/>
        <w:numPr>
          <w:ilvl w:val="0"/>
          <w:numId w:val="2"/>
        </w:numPr>
        <w:spacing w:after="100" w:line="340"/>
      </w:pPr>
      <w:r>
        <w:rPr>
          <w:color w:val="141414"/>
        </w:rPr>
        <w:t xml:space="preserve">Validate production environment, salon CNPJ, account approval, Pix readiness and wallet. Provision webhooks automatically — </w:t>
      </w:r>
      <w:r>
        <w:rPr>
          <w:b/>
          <w:bCs/>
          <w:color w:val="141414"/>
        </w:rPr>
        <w:t xml:space="preserve">never ask an owner to configure a webhook</w:t>
      </w:r>
      <w:r>
        <w:rPr>
          <w:color w:val="141414"/>
        </w:rPr>
        <w:t xml:space="preserve">.</w:t>
      </w:r>
    </w:p>
    <w:p>
      <w:pPr>
        <w:pStyle w:val="ListParagraph"/>
        <w:numPr>
          <w:ilvl w:val="0"/>
          <w:numId w:val="2"/>
        </w:numPr>
        <w:spacing w:after="100" w:line="340"/>
      </w:pPr>
      <w:r>
        <w:rPr>
          <w:color w:val="141414"/>
        </w:rPr>
        <w:t xml:space="preserve">Store the key in a managed vault with envelope encryption; keep only fingerprint, last four, version and health in application data. Provide guided rotation and immediate revocation.</w:t>
      </w:r>
    </w:p>
    <w:p>
      <w:pPr>
        <w:pStyle w:val="ListParagraph"/>
        <w:numPr>
          <w:ilvl w:val="0"/>
          <w:numId w:val="2"/>
        </w:numPr>
        <w:spacing w:after="100" w:line="340"/>
      </w:pPr>
      <w:r>
        <w:rPr>
          <w:color w:val="141414"/>
        </w:rPr>
        <w:t xml:space="preserve">Run one real low-value production charge, split, refund and reversal before declaring </w:t>
      </w:r>
      <w:r>
        <w:rPr>
          <w:i/>
          <w:iCs/>
          <w:color w:val="0A6E4C"/>
        </w:rPr>
        <w:t xml:space="preserve">“Asaas conectado e testado”</w:t>
      </w:r>
      <w:r>
        <w:rPr>
          <w:color w:val="141414"/>
        </w:rPr>
        <w:t xml:space="preserve">.</w:t>
      </w:r>
    </w:p>
    <w:tbl>
      <w:tblPr>
        <w:tblW w:type="dxa" w:w="9360"/>
        <w:tblBorders>
          <w:top w:val="none"/>
          <w:left w:val="single" w:color="8A4B0B" w:sz="24"/>
          <w:bottom w:val="none"/>
          <w:right w:val="none"/>
          <w:insideH w:val="none"/>
          <w:insideV w:val="none"/>
        </w:tblBorders>
      </w:tblPr>
      <w:tblGrid>
        <w:gridCol w:w="9360"/>
      </w:tblGrid>
      <w:tr>
        <w:tc>
          <w:tcPr>
            <w:tcW w:type="dxa" w:w="9360"/>
            <w:shd w:fill="F4F1EA" w:val="clear"/>
            <w:tcMar>
              <w:top w:type="dxa" w:w="140"/>
              <w:left w:type="dxa" w:w="220"/>
              <w:bottom w:type="dxa" w:w="140"/>
              <w:right w:type="dxa" w:w="220"/>
            </w:tcMar>
          </w:tcPr>
          <w:p>
            <w:pPr>
              <w:spacing w:after="160" w:line="360"/>
            </w:pPr>
            <w:r>
              <w:rPr>
                <w:b/>
                <w:bCs/>
                <w:color w:val="141414"/>
              </w:rPr>
              <w:t xml:space="preserve">The notification trap. </w:t>
            </w:r>
            <w:r>
              <w:rPr>
                <w:color w:val="141414"/>
              </w:rPr>
              <w:t xml:space="preserve">Create or select the Asaas customer through the API with </w:t>
            </w:r>
            <w:r>
              <w:rPr>
                <w:rFonts w:ascii="Consolas" w:cs="Consolas" w:eastAsia="Consolas" w:hAnsi="Consolas"/>
                <w:color w:val="0A6E4C"/>
                <w:sz w:val="21"/>
                <w:szCs w:val="21"/>
              </w:rPr>
              <w:t xml:space="preserve">notificationDisabled=true</w:t>
            </w:r>
            <w:r>
              <w:rPr>
                <w:color w:val="141414"/>
              </w:rPr>
              <w:t xml:space="preserve"> and verify the stored setting before hosted checkout. Otherwise Asaas fires its own collection reminders to the salon’s clients — unapproved messages, under the salon’s name, outside the manifest the owner authorized. </w:t>
            </w:r>
            <w:r>
              <w:rPr>
                <w:b/>
                <w:bCs/>
                <w:color w:val="141414"/>
              </w:rPr>
              <w:t xml:space="preserve">Launch is blocked until a real production checkout proves no Asaas reminder of any kind reaches the customer.</w:t>
            </w:r>
          </w:p>
        </w:tc>
      </w:tr>
    </w:tbl>
    <w:p>
      <w:pPr>
        <w:pStyle w:val="Heading3"/>
        <w:spacing w:after="120" w:before="220"/>
      </w:pPr>
      <w:r>
        <w:rPr>
          <w:b/>
          <w:bCs/>
          <w:color w:val="141414"/>
        </w:rPr>
        <w:t xml:space="preserve">Meta — one BSP, and the limits that actually apply</w:t>
      </w:r>
    </w:p>
    <w:p>
      <w:pPr>
        <w:spacing w:after="160" w:line="360"/>
      </w:pPr>
      <w:r>
        <w:rPr>
          <w:color w:val="141414"/>
        </w:rPr>
        <w:t xml:space="preserve">Use one official Solution Partner supporting Embedded Signup v4, Business-App coexistence, message echoes, webhook delivery, template submission and status, a clear billing path, Brazilian numbers and support, live messaging-limit visibility, and a clean DPA. </w:t>
      </w:r>
      <w:r>
        <w:rPr>
          <w:b/>
          <w:bCs/>
          <w:color w:val="141414"/>
        </w:rPr>
        <w:t xml:space="preserve">Do not build Meta partner infrastructure as the moat</w:t>
      </w:r>
      <w:r>
        <w:rPr>
          <w:color w:val="141414"/>
        </w:rPr>
        <w:t xml:space="preserve"> — the direct Tech Provider path costs provider status, business verification, App Review, advanced permissions and capacity management, none of which is the business.</w:t>
      </w:r>
    </w:p>
    <w:p>
      <w:pPr>
        <w:pStyle w:val="ListParagraph"/>
        <w:numPr>
          <w:ilvl w:val="0"/>
          <w:numId w:val="2"/>
        </w:numPr>
        <w:spacing w:after="100" w:line="340"/>
      </w:pPr>
      <w:r>
        <w:rPr>
          <w:b/>
          <w:bCs/>
          <w:color w:val="141414"/>
        </w:rPr>
        <w:t xml:space="preserve">Readiness first: </w:t>
      </w:r>
      <w:r>
        <w:rPr>
          <w:color w:val="141414"/>
        </w:rPr>
        <w:t xml:space="preserve">WhatsApp Business installed and current; the correct Meta admin login and 2FA available; a warning if the link opened inside Instagram’s or WhatsApp’s in-app browser; disclosure that linked devices may disconnect; reception moved off an incompatible companion app if required.</w:t>
      </w:r>
    </w:p>
    <w:p>
      <w:pPr>
        <w:pStyle w:val="ListParagraph"/>
        <w:numPr>
          <w:ilvl w:val="0"/>
          <w:numId w:val="2"/>
        </w:numPr>
        <w:spacing w:after="100" w:line="340"/>
      </w:pPr>
      <w:r>
        <w:rPr>
          <w:b/>
          <w:bCs/>
          <w:color w:val="141414"/>
        </w:rPr>
        <w:t xml:space="preserve">Explicitly instruct the owner not to grant or upload historical chats or contacts. </w:t>
      </w:r>
      <w:r>
        <w:rPr>
          <w:color w:val="141414"/>
        </w:rPr>
        <w:t xml:space="preserve">Caixa needs traffic created after connection and traceably linked to a campaign recipient, offer token or voucher — nothing else. Unrelated inbound threads, group traffic and her contact book are never imported or processed.</w:t>
      </w:r>
    </w:p>
    <w:p>
      <w:pPr>
        <w:pStyle w:val="ListParagraph"/>
        <w:numPr>
          <w:ilvl w:val="0"/>
          <w:numId w:val="2"/>
        </w:numPr>
        <w:spacing w:after="100" w:line="340"/>
      </w:pPr>
      <w:r>
        <w:rPr>
          <w:b/>
          <w:bCs/>
          <w:color w:val="141414"/>
        </w:rPr>
        <w:t xml:space="preserve">Exchange the final code immediately </w:t>
      </w:r>
      <w:r>
        <w:rPr>
          <w:color w:val="141414"/>
        </w:rPr>
        <w:t xml:space="preserve">— its documented lifetime is measured in seconds — and make callback failure resumable rather than fatal.</w:t>
      </w:r>
    </w:p>
    <w:p>
      <w:pPr>
        <w:pStyle w:val="ListParagraph"/>
        <w:numPr>
          <w:ilvl w:val="0"/>
          <w:numId w:val="2"/>
        </w:numPr>
        <w:spacing w:after="100" w:line="340"/>
      </w:pPr>
      <w:r>
        <w:rPr>
          <w:b/>
          <w:bCs/>
          <w:color w:val="141414"/>
        </w:rPr>
        <w:t xml:space="preserve">Verify after connection: </w:t>
      </w:r>
      <w:r>
        <w:rPr>
          <w:color w:val="141414"/>
        </w:rPr>
        <w:t xml:space="preserve">the phone is still on the Business App, platform type is Cloud API, WABA and phone assets are accessible, message and echo webhooks are subscribed.</w:t>
      </w:r>
    </w:p>
    <w:p>
      <w:pPr>
        <w:pStyle w:val="ListParagraph"/>
        <w:numPr>
          <w:ilvl w:val="0"/>
          <w:numId w:val="2"/>
        </w:numPr>
        <w:spacing w:after="100" w:line="340"/>
      </w:pPr>
      <w:r>
        <w:rPr>
          <w:b/>
          <w:bCs/>
          <w:color w:val="141414"/>
        </w:rPr>
        <w:t xml:space="preserve">Then wait honestly: </w:t>
      </w:r>
      <w:r>
        <w:rPr>
          <w:i/>
          <w:iCs/>
          <w:color w:val="0A6E4C"/>
        </w:rPr>
        <w:t xml:space="preserve">“A Meta está analisando a mensagem. Avisaremos quando estiver aprovada.”</w:t>
      </w:r>
    </w:p>
    <w:tbl>
      <w:tblPr>
        <w:tblW w:type="dxa" w:w="9360"/>
        <w:tblBorders>
          <w:top w:val="none"/>
          <w:left w:val="single" w:color="1D6B4F" w:sz="24"/>
          <w:bottom w:val="none"/>
          <w:right w:val="none"/>
          <w:insideH w:val="none"/>
          <w:insideV w:val="none"/>
        </w:tblBorders>
      </w:tblPr>
      <w:tblGrid>
        <w:gridCol w:w="9360"/>
      </w:tblGrid>
      <w:tr>
        <w:tc>
          <w:tcPr>
            <w:tcW w:type="dxa" w:w="9360"/>
            <w:shd w:fill="EEF5F1" w:val="clear"/>
            <w:tcMar>
              <w:top w:type="dxa" w:w="140"/>
              <w:left w:type="dxa" w:w="220"/>
              <w:bottom w:type="dxa" w:w="140"/>
              <w:right w:type="dxa" w:w="220"/>
            </w:tcMar>
          </w:tcPr>
          <w:p>
            <w:pPr>
              <w:spacing w:after="160" w:line="360"/>
            </w:pPr>
            <w:r>
              <w:rPr>
                <w:b/>
                <w:bCs/>
                <w:color w:val="141414"/>
              </w:rPr>
              <w:t xml:space="preserve">Tranches, not blasts. </w:t>
            </w:r>
            <w:r>
              <w:rPr>
                <w:color w:val="141414"/>
              </w:rPr>
              <w:t xml:space="preserve">A new business portfolio starts at a low rolling 24-hour unique-recipient limit and must qualify upward. One approval tranche is capped at the smallest of: current Meta capacity, offer inventory, reception capacity, and the audience sendable before the 24-hour freshness deadline expires. A second day requires a fresh bundle, recomputation, and a new approval. </w:t>
            </w:r>
            <w:r>
              <w:rPr>
                <w:b/>
                <w:bCs/>
                <w:color w:val="141414"/>
              </w:rPr>
              <w:t xml:space="preserve">Caixa does not stretch a stale manifest across days to hit a volume promise.</w:t>
            </w:r>
          </w:p>
        </w:tc>
      </w:tr>
    </w:tbl>
    <w:p>
      <w:pPr>
        <w:pStyle w:val="Heading3"/>
        <w:spacing w:after="120" w:before="220"/>
      </w:pPr>
      <w:r>
        <w:rPr>
          <w:b/>
          <w:bCs/>
          <w:color w:val="141414"/>
        </w:rPr>
        <w:t xml:space="preserve">One controller per conversation</w:t>
      </w:r>
    </w:p>
    <w:p>
      <w:pPr>
        <w:spacing w:after="160" w:line="360"/>
      </w:pPr>
      <w:r>
        <w:rPr>
          <w:color w:val="141414"/>
        </w:rPr>
        <w:t xml:space="preserve">Because sends leave the salon’s own number, a thread must never have two voices. With no bot at launch this reduces to a hard rule: </w:t>
      </w:r>
      <w:r>
        <w:rPr>
          <w:b/>
          <w:bCs/>
          <w:color w:val="141414"/>
        </w:rPr>
        <w:t xml:space="preserve">after the T0 template, Caixa sends nothing further into that thread</w:t>
      </w:r>
      <w:r>
        <w:rPr>
          <w:color w:val="141414"/>
        </w:rPr>
        <w:t xml:space="preserve">. Reception answers in her own app, exactly as she does today. Message echoes are still consumed — they are how the system knows a human took the conversation, and they are the precondition for ever reopening Gate E.</w:t>
      </w:r>
    </w:p>
    <w:p>
      <w:r>
        <w:br w:type="page"/>
      </w:r>
    </w:p>
    <w:tbl>
      <w:tblPr>
        <w:tblW w:type="dxa" w:w="9360"/>
        <w:tblBorders>
          <w:top w:val="none"/>
          <w:left w:val="none"/>
          <w:bottom w:val="none"/>
          <w:right w:val="none"/>
          <w:insideH w:val="none"/>
          <w:insideV w:val="none"/>
        </w:tblBorders>
      </w:tblPr>
      <w:tblGrid>
        <w:gridCol w:w="9360"/>
      </w:tblGrid>
      <w:tr>
        <w:tc>
          <w:tcPr>
            <w:tcW w:type="dxa" w:w="9360"/>
            <w:shd w:fill="0B4A36" w:val="clear"/>
            <w:tcMar>
              <w:top w:type="dxa" w:w="260"/>
              <w:left w:type="dxa" w:w="300"/>
              <w:bottom w:type="dxa" w:w="260"/>
              <w:right w:type="dxa" w:w="300"/>
            </w:tcMar>
          </w:tcPr>
          <w:p>
            <w:pPr>
              <w:spacing w:after="80"/>
            </w:pPr>
            <w:r>
              <w:rPr>
                <w:b/>
                <w:bCs/>
                <w:caps/>
                <w:color w:val="BFE3D3"/>
                <w:sz w:val="22"/>
                <w:szCs w:val="22"/>
              </w:rPr>
              <w:t xml:space="preserve">Part IV</w:t>
            </w:r>
          </w:p>
          <w:p>
            <w:pPr>
              <w:spacing w:after="0"/>
            </w:pPr>
            <w:r>
              <w:rPr>
                <w:b/>
                <w:bCs/>
                <w:color w:val="FFFFFF"/>
                <w:sz w:val="40"/>
                <w:szCs w:val="40"/>
              </w:rPr>
              <w:t xml:space="preserve">Offer, checkout, voucher, fulfillment</w:t>
            </w:r>
          </w:p>
        </w:tc>
      </w:tr>
    </w:tbl>
    <w:p>
      <w:pPr>
        <w:spacing w:after="60"/>
      </w:pPr>
    </w:p>
    <w:p>
      <w:pPr>
        <w:pStyle w:val="Heading1"/>
        <w:spacing w:after="200" w:before="360"/>
      </w:pPr>
      <w:r>
        <w:rPr>
          <w:b/>
          <w:bCs/>
          <w:color w:val="0B4A36"/>
        </w:rPr>
        <w:t xml:space="preserve">§16 · The frozen Offer Contract</w:t>
      </w:r>
    </w:p>
    <w:p>
      <w:pPr>
        <w:spacing w:after="160" w:line="360"/>
      </w:pPr>
      <w:r>
        <w:rPr>
          <w:color w:val="141414"/>
        </w:rPr>
        <w:t xml:space="preserve">No campaign reaches owner approval until this structured record is complete. The landing page, checkout item, voucher, confirmation and statement all read from </w:t>
      </w:r>
      <w:r>
        <w:rPr>
          <w:b/>
          <w:bCs/>
          <w:color w:val="141414"/>
        </w:rPr>
        <w:t xml:space="preserve">this one versioned object</w:t>
      </w:r>
      <w:r>
        <w:rPr>
          <w:color w:val="141414"/>
        </w:rPr>
        <w:t xml:space="preserve">. Nothing downstream can invent or alter a value in it.</w:t>
      </w:r>
    </w:p>
    <w:tbl>
      <w:tblPr>
        <w:tblW w:type="dxa" w:w="9360"/>
        <w:tblBorders>
          <w:top w:val="single" w:color="1D6B4F" w:sz="8"/>
          <w:left w:val="none"/>
          <w:bottom w:val="single" w:color="1D6B4F" w:sz="8"/>
          <w:right w:val="none"/>
          <w:insideH w:val="single" w:color="C9D6D0" w:sz="4"/>
          <w:insideV w:val="single" w:color="C9D6D0" w:sz="4"/>
        </w:tblBorders>
      </w:tblPr>
      <w:tblGrid>
        <w:gridCol w:w="1500"/>
        <w:gridCol w:w="7860"/>
      </w:tblGrid>
      <w:tr>
        <w:trPr>
          <w:tblHeader/>
        </w:trPr>
        <w:tc>
          <w:tcPr>
            <w:tcW w:type="dxa" w:w="1500"/>
            <w:shd w:fill="0B4A36" w:val="clear"/>
            <w:tcMar>
              <w:top w:type="dxa" w:w="90"/>
              <w:left w:type="dxa" w:w="140"/>
              <w:bottom w:type="dxa" w:w="90"/>
              <w:right w:type="dxa" w:w="140"/>
            </w:tcMar>
          </w:tcPr>
          <w:p>
            <w:pPr>
              <w:spacing w:after="0" w:line="300"/>
            </w:pPr>
            <w:r>
              <w:rPr>
                <w:b/>
                <w:bCs/>
                <w:color w:val="FFFFFF"/>
                <w:sz w:val="22"/>
                <w:szCs w:val="22"/>
              </w:rPr>
              <w:t xml:space="preserve">Group</w:t>
            </w:r>
          </w:p>
        </w:tc>
        <w:tc>
          <w:tcPr>
            <w:tcW w:type="dxa" w:w="7860"/>
            <w:shd w:fill="0B4A36" w:val="clear"/>
            <w:tcMar>
              <w:top w:type="dxa" w:w="90"/>
              <w:left w:type="dxa" w:w="140"/>
              <w:bottom w:type="dxa" w:w="90"/>
              <w:right w:type="dxa" w:w="140"/>
            </w:tcMar>
          </w:tcPr>
          <w:p>
            <w:pPr>
              <w:spacing w:after="0" w:line="300"/>
            </w:pPr>
            <w:r>
              <w:rPr>
                <w:b/>
                <w:bCs/>
                <w:color w:val="FFFFFF"/>
                <w:sz w:val="22"/>
                <w:szCs w:val="22"/>
              </w:rPr>
              <w:t xml:space="preserve">Fields</w:t>
            </w:r>
          </w:p>
        </w:tc>
      </w:tr>
      <w:tr>
        <w:trPr>
          <w:tblHeader w:val="false"/>
        </w:trPr>
        <w:tc>
          <w:tcPr>
            <w:tcW w:type="dxa" w:w="1500"/>
            <w:tcMar>
              <w:top w:type="dxa" w:w="90"/>
              <w:left w:type="dxa" w:w="140"/>
              <w:bottom w:type="dxa" w:w="90"/>
              <w:right w:type="dxa" w:w="140"/>
            </w:tcMar>
          </w:tcPr>
          <w:p>
            <w:pPr>
              <w:spacing w:after="0" w:line="300"/>
            </w:pPr>
            <w:r>
              <w:rPr>
                <w:color w:val="141414"/>
                <w:sz w:val="22"/>
                <w:szCs w:val="22"/>
              </w:rPr>
              <w:t xml:space="preserve">Seller</w:t>
            </w:r>
          </w:p>
        </w:tc>
        <w:tc>
          <w:tcPr>
            <w:tcW w:type="dxa" w:w="7860"/>
            <w:tcMar>
              <w:top w:type="dxa" w:w="90"/>
              <w:left w:type="dxa" w:w="140"/>
              <w:bottom w:type="dxa" w:w="90"/>
              <w:right w:type="dxa" w:w="140"/>
            </w:tcMar>
          </w:tcPr>
          <w:p>
            <w:pPr>
              <w:spacing w:after="0" w:line="300"/>
            </w:pPr>
            <w:r>
              <w:rPr>
                <w:color w:val="141414"/>
                <w:sz w:val="22"/>
                <w:szCs w:val="22"/>
              </w:rPr>
              <w:t xml:space="preserve">CNPJ, legal and trade name, participating unit and address, consumer support channel, business hours, response SLA.</w:t>
            </w:r>
          </w:p>
        </w:tc>
      </w:tr>
      <w:tr>
        <w:trPr>
          <w:tblHeader w:val="false"/>
        </w:trPr>
        <w:tc>
          <w:tcPr>
            <w:tcW w:type="dxa" w:w="1500"/>
            <w:tcMar>
              <w:top w:type="dxa" w:w="90"/>
              <w:left w:type="dxa" w:w="140"/>
              <w:bottom w:type="dxa" w:w="90"/>
              <w:right w:type="dxa" w:w="140"/>
            </w:tcMar>
          </w:tcPr>
          <w:p>
            <w:pPr>
              <w:spacing w:after="0" w:line="300"/>
            </w:pPr>
            <w:r>
              <w:rPr>
                <w:color w:val="141414"/>
                <w:sz w:val="22"/>
                <w:szCs w:val="22"/>
              </w:rPr>
              <w:t xml:space="preserve">What is sold</w:t>
            </w:r>
          </w:p>
        </w:tc>
        <w:tc>
          <w:tcPr>
            <w:tcW w:type="dxa" w:w="7860"/>
            <w:tcMar>
              <w:top w:type="dxa" w:w="90"/>
              <w:left w:type="dxa" w:w="140"/>
              <w:bottom w:type="dxa" w:w="90"/>
              <w:right w:type="dxa" w:w="140"/>
            </w:tcMar>
          </w:tcPr>
          <w:p>
            <w:pPr>
              <w:spacing w:after="0" w:line="300"/>
            </w:pPr>
            <w:r>
              <w:rPr>
                <w:color w:val="141414"/>
                <w:sz w:val="22"/>
                <w:szCs w:val="22"/>
              </w:rPr>
              <w:t xml:space="preserve">Exact service or bundle, inclusions and exclusions, normal price, campaign price, participating professionals or "any qualified professional."</w:t>
            </w:r>
          </w:p>
        </w:tc>
      </w:tr>
      <w:tr>
        <w:trPr>
          <w:tblHeader w:val="false"/>
        </w:trPr>
        <w:tc>
          <w:tcPr>
            <w:tcW w:type="dxa" w:w="1500"/>
            <w:tcMar>
              <w:top w:type="dxa" w:w="90"/>
              <w:left w:type="dxa" w:w="140"/>
              <w:bottom w:type="dxa" w:w="90"/>
              <w:right w:type="dxa" w:w="140"/>
            </w:tcMar>
          </w:tcPr>
          <w:p>
            <w:pPr>
              <w:spacing w:after="0" w:line="300"/>
            </w:pPr>
            <w:r>
              <w:rPr>
                <w:color w:val="141414"/>
                <w:sz w:val="22"/>
                <w:szCs w:val="22"/>
              </w:rPr>
              <w:t xml:space="preserve">Limits</w:t>
            </w:r>
          </w:p>
        </w:tc>
        <w:tc>
          <w:tcPr>
            <w:tcW w:type="dxa" w:w="7860"/>
            <w:tcMar>
              <w:top w:type="dxa" w:w="90"/>
              <w:left w:type="dxa" w:w="140"/>
              <w:bottom w:type="dxa" w:w="90"/>
              <w:right w:type="dxa" w:w="140"/>
            </w:tcMar>
          </w:tcPr>
          <w:p>
            <w:pPr>
              <w:spacing w:after="0" w:line="300"/>
            </w:pPr>
            <w:r>
              <w:rPr>
                <w:color w:val="141414"/>
                <w:sz w:val="22"/>
                <w:szCs w:val="22"/>
              </w:rPr>
              <w:t xml:space="preserve">Quantity available, per-customer purchase limit, sale window, redemption window, blackout conditions, owner capacity attestation.</w:t>
            </w:r>
          </w:p>
        </w:tc>
      </w:tr>
      <w:tr>
        <w:trPr>
          <w:tblHeader w:val="false"/>
        </w:trPr>
        <w:tc>
          <w:tcPr>
            <w:tcW w:type="dxa" w:w="1500"/>
            <w:tcMar>
              <w:top w:type="dxa" w:w="90"/>
              <w:left w:type="dxa" w:w="140"/>
              <w:bottom w:type="dxa" w:w="90"/>
              <w:right w:type="dxa" w:w="140"/>
            </w:tcMar>
          </w:tcPr>
          <w:p>
            <w:pPr>
              <w:spacing w:after="0" w:line="300"/>
            </w:pPr>
            <w:r>
              <w:rPr>
                <w:color w:val="141414"/>
                <w:sz w:val="22"/>
                <w:szCs w:val="22"/>
              </w:rPr>
              <w:t xml:space="preserve">Rules</w:t>
            </w:r>
          </w:p>
        </w:tc>
        <w:tc>
          <w:tcPr>
            <w:tcW w:type="dxa" w:w="7860"/>
            <w:tcMar>
              <w:top w:type="dxa" w:w="90"/>
              <w:left w:type="dxa" w:w="140"/>
              <w:bottom w:type="dxa" w:w="90"/>
              <w:right w:type="dxa" w:w="140"/>
            </w:tcMar>
          </w:tcPr>
          <w:p>
            <w:pPr>
              <w:spacing w:after="0" w:line="300"/>
            </w:pPr>
            <w:r>
              <w:rPr>
                <w:color w:val="141414"/>
                <w:sz w:val="22"/>
                <w:szCs w:val="22"/>
              </w:rPr>
              <w:t xml:space="preserve">Booking method, rescheduling rule, cancellation and refund rule, transferability (the link may be forwarded; the voucher issues to the verified purchaser and is not transferable after purchase).</w:t>
            </w:r>
          </w:p>
        </w:tc>
      </w:tr>
      <w:tr>
        <w:trPr>
          <w:tblHeader w:val="false"/>
        </w:trPr>
        <w:tc>
          <w:tcPr>
            <w:tcW w:type="dxa" w:w="1500"/>
            <w:tcMar>
              <w:top w:type="dxa" w:w="90"/>
              <w:left w:type="dxa" w:w="140"/>
              <w:bottom w:type="dxa" w:w="90"/>
              <w:right w:type="dxa" w:w="140"/>
            </w:tcMar>
          </w:tcPr>
          <w:p>
            <w:pPr>
              <w:spacing w:after="0" w:line="300"/>
            </w:pPr>
            <w:r>
              <w:rPr>
                <w:color w:val="141414"/>
                <w:sz w:val="22"/>
                <w:szCs w:val="22"/>
              </w:rPr>
              <w:t xml:space="preserve">Endings</w:t>
            </w:r>
          </w:p>
        </w:tc>
        <w:tc>
          <w:tcPr>
            <w:tcW w:type="dxa" w:w="7860"/>
            <w:tcMar>
              <w:top w:type="dxa" w:w="90"/>
              <w:left w:type="dxa" w:w="140"/>
              <w:bottom w:type="dxa" w:w="90"/>
              <w:right w:type="dxa" w:w="140"/>
            </w:tcMar>
          </w:tcPr>
          <w:p>
            <w:pPr>
              <w:spacing w:after="0" w:line="300"/>
            </w:pPr>
            <w:r>
              <w:rPr>
                <w:color w:val="141414"/>
                <w:sz w:val="22"/>
                <w:szCs w:val="22"/>
              </w:rPr>
              <w:t xml:space="preserve">Counsel-approved outcome if the redemption deadline is reached unused — extension, refund, credit or another expressly lawful result. Never silent forfeiture.</w:t>
            </w:r>
          </w:p>
        </w:tc>
      </w:tr>
      <w:tr>
        <w:trPr>
          <w:tblHeader w:val="false"/>
        </w:trPr>
        <w:tc>
          <w:tcPr>
            <w:tcW w:type="dxa" w:w="1500"/>
            <w:tcMar>
              <w:top w:type="dxa" w:w="90"/>
              <w:left w:type="dxa" w:w="140"/>
              <w:bottom w:type="dxa" w:w="90"/>
              <w:right w:type="dxa" w:w="140"/>
            </w:tcMar>
          </w:tcPr>
          <w:p>
            <w:pPr>
              <w:spacing w:after="0" w:line="300"/>
            </w:pPr>
            <w:r>
              <w:rPr>
                <w:color w:val="141414"/>
                <w:sz w:val="22"/>
                <w:szCs w:val="22"/>
              </w:rPr>
              <w:t xml:space="preserve">Statements</w:t>
            </w:r>
          </w:p>
        </w:tc>
        <w:tc>
          <w:tcPr>
            <w:tcW w:type="dxa" w:w="7860"/>
            <w:tcMar>
              <w:top w:type="dxa" w:w="90"/>
              <w:left w:type="dxa" w:w="140"/>
              <w:bottom w:type="dxa" w:w="90"/>
              <w:right w:type="dxa" w:w="140"/>
            </w:tcMar>
          </w:tcPr>
          <w:p>
            <w:pPr>
              <w:spacing w:after="0" w:line="300"/>
            </w:pPr>
            <w:r>
              <w:rPr>
                <w:color w:val="141414"/>
                <w:sz w:val="22"/>
                <w:szCs w:val="22"/>
              </w:rPr>
              <w:t xml:space="preserve">The salon owns its consumer fiscal document and its timing, per its contador. Payment does not guarantee a specific time until reception confirms it.</w:t>
            </w:r>
          </w:p>
        </w:tc>
      </w:tr>
      <w:tr>
        <w:trPr>
          <w:tblHeader w:val="false"/>
        </w:trPr>
        <w:tc>
          <w:tcPr>
            <w:tcW w:type="dxa" w:w="1500"/>
            <w:tcMar>
              <w:top w:type="dxa" w:w="90"/>
              <w:left w:type="dxa" w:w="140"/>
              <w:bottom w:type="dxa" w:w="90"/>
              <w:right w:type="dxa" w:w="140"/>
            </w:tcMar>
          </w:tcPr>
          <w:p>
            <w:pPr>
              <w:spacing w:after="0" w:line="300"/>
            </w:pPr>
            <w:r>
              <w:rPr>
                <w:color w:val="141414"/>
                <w:sz w:val="22"/>
                <w:szCs w:val="22"/>
              </w:rPr>
              <w:t xml:space="preserve">Control</w:t>
            </w:r>
          </w:p>
        </w:tc>
        <w:tc>
          <w:tcPr>
            <w:tcW w:type="dxa" w:w="7860"/>
            <w:tcMar>
              <w:top w:type="dxa" w:w="90"/>
              <w:left w:type="dxa" w:w="140"/>
              <w:bottom w:type="dxa" w:w="90"/>
              <w:right w:type="dxa" w:w="140"/>
            </w:tcMar>
          </w:tcPr>
          <w:p>
            <w:pPr>
              <w:spacing w:after="0" w:line="300"/>
            </w:pPr>
            <w:r>
              <w:rPr>
                <w:color w:val="141414"/>
                <w:sz w:val="22"/>
                <w:szCs w:val="22"/>
              </w:rPr>
              <w:t xml:space="preserve">Version and approver.</w:t>
            </w:r>
          </w:p>
        </w:tc>
      </w:tr>
    </w:tbl>
    <w:p>
      <w:pPr>
        <w:spacing w:after="60"/>
      </w:pPr>
    </w:p>
    <w:p>
      <w:pPr>
        <w:pStyle w:val="Heading1"/>
        <w:spacing w:after="200" w:before="360"/>
      </w:pPr>
      <w:r>
        <w:rPr>
          <w:b/>
          <w:bCs/>
          <w:color w:val="0B4A36"/>
        </w:rPr>
        <w:t xml:space="preserve">§17 · Inventory</w:t>
      </w:r>
    </w:p>
    <w:p>
      <w:pPr>
        <w:pStyle w:val="ListParagraph"/>
        <w:numPr>
          <w:ilvl w:val="0"/>
          <w:numId w:val="2"/>
        </w:numPr>
        <w:spacing w:after="100" w:line="340"/>
      </w:pPr>
      <w:r>
        <w:rPr>
          <w:color w:val="141414"/>
        </w:rPr>
        <w:t xml:space="preserve">Offer inventory is atomic. Starting checkout reserves one unit for that checkout’s lifetime.</w:t>
      </w:r>
    </w:p>
    <w:p>
      <w:pPr>
        <w:pStyle w:val="ListParagraph"/>
        <w:numPr>
          <w:ilvl w:val="0"/>
          <w:numId w:val="2"/>
        </w:numPr>
        <w:spacing w:after="100" w:line="340"/>
      </w:pPr>
      <w:r>
        <w:rPr>
          <w:color w:val="141414"/>
        </w:rPr>
        <w:t xml:space="preserve">An expired or cancelled checkout releases the reservation; a settled one converts it to a sale.</w:t>
      </w:r>
    </w:p>
    <w:p>
      <w:pPr>
        <w:pStyle w:val="ListParagraph"/>
        <w:numPr>
          <w:ilvl w:val="0"/>
          <w:numId w:val="2"/>
        </w:numPr>
        <w:spacing w:after="100" w:line="340"/>
      </w:pPr>
      <w:r>
        <w:rPr>
          <w:color w:val="141414"/>
        </w:rPr>
        <w:t xml:space="preserve">Sold-out and expired offers cannot create new checkouts.</w:t>
      </w:r>
    </w:p>
    <w:p>
      <w:pPr>
        <w:pStyle w:val="ListParagraph"/>
        <w:numPr>
          <w:ilvl w:val="0"/>
          <w:numId w:val="2"/>
        </w:numPr>
        <w:spacing w:after="100" w:line="340"/>
      </w:pPr>
      <w:r>
        <w:rPr>
          <w:color w:val="141414"/>
        </w:rPr>
        <w:t xml:space="preserve">Duplicate clicks return the same active checkout, or the settled result — never a second charge.</w:t>
      </w:r>
    </w:p>
    <w:p>
      <w:pPr>
        <w:spacing w:after="160" w:line="360"/>
      </w:pPr>
      <w:r>
        <w:rPr>
          <w:b/>
          <w:bCs/>
          <w:color w:val="141414"/>
        </w:rPr>
        <w:t xml:space="preserve">Why this is not optional: </w:t>
      </w:r>
      <w:r>
        <w:rPr>
          <w:color w:val="141414"/>
        </w:rPr>
        <w:t xml:space="preserve">selling forty vouchers a salon can deliver twenty of is how a campaign becomes a consumer complaint, a Meta report, and the end of the salon’s number.</w:t>
      </w:r>
    </w:p>
    <w:p>
      <w:pPr>
        <w:spacing w:after="60"/>
      </w:pPr>
    </w:p>
    <w:p>
      <w:pPr>
        <w:pStyle w:val="Heading1"/>
        <w:spacing w:after="200" w:before="360"/>
      </w:pPr>
      <w:r>
        <w:rPr>
          <w:b/>
          <w:bCs/>
          <w:color w:val="0B4A36"/>
        </w:rPr>
        <w:t xml:space="preserve">§18 · Stable offer URL and just-in-time checkout</w:t>
      </w:r>
    </w:p>
    <w:p>
      <w:pPr>
        <w:spacing w:after="160" w:line="360"/>
      </w:pPr>
      <w:r>
        <w:rPr>
          <w:b/>
          <w:bCs/>
          <w:color w:val="141414"/>
        </w:rPr>
        <w:t xml:space="preserve">Never put a pre-created, expiring checkout in the manifest. </w:t>
      </w:r>
      <w:r>
        <w:rPr>
          <w:color w:val="141414"/>
        </w:rPr>
        <w:t xml:space="preserve">Each recipient gets an opaque signed Caixa URL:</w:t>
      </w:r>
    </w:p>
    <w:p>
      <w:pPr>
        <w:spacing w:after="160" w:line="360"/>
      </w:pPr>
      <w:r>
        <w:rPr>
          <w:rFonts w:ascii="Consolas" w:cs="Consolas" w:eastAsia="Consolas" w:hAnsi="Consolas"/>
          <w:color w:val="0A6E4C"/>
          <w:sz w:val="21"/>
          <w:szCs w:val="21"/>
        </w:rPr>
        <w:t xml:space="preserve">https://oferta.caixacheia.com.br/o/{{opaque_token}}</w:t>
      </w:r>
    </w:p>
    <w:p>
      <w:pPr>
        <w:pStyle w:val="ListParagraph"/>
        <w:numPr>
          <w:ilvl w:val="0"/>
          <w:numId w:val="2"/>
        </w:numPr>
        <w:spacing w:after="100" w:line="340"/>
      </w:pPr>
      <w:r>
        <w:rPr>
          <w:color w:val="141414"/>
        </w:rPr>
        <w:t xml:space="preserve">The token carries no visible phone, name, tenant or customer ID; it is tenant- and campaign-bound, expiring and revocable.</w:t>
      </w:r>
    </w:p>
    <w:p>
      <w:pPr>
        <w:pStyle w:val="ListParagraph"/>
        <w:numPr>
          <w:ilvl w:val="0"/>
          <w:numId w:val="2"/>
        </w:numPr>
        <w:spacing w:after="100" w:line="340"/>
      </w:pPr>
      <w:r>
        <w:rPr>
          <w:b/>
          <w:bCs/>
          <w:color w:val="141414"/>
        </w:rPr>
        <w:t xml:space="preserve">It identifies campaign source — it is explicitly not identity. </w:t>
      </w:r>
      <w:r>
        <w:rPr>
          <w:color w:val="141414"/>
        </w:rPr>
        <w:t xml:space="preserve">A forwarded link must not let one person see another’s payment or voucher status.</w:t>
      </w:r>
    </w:p>
    <w:p>
      <w:pPr>
        <w:pStyle w:val="ListParagraph"/>
        <w:numPr>
          <w:ilvl w:val="0"/>
          <w:numId w:val="2"/>
        </w:numPr>
        <w:spacing w:after="100" w:line="340"/>
      </w:pPr>
      <w:r>
        <w:rPr>
          <w:color w:val="141414"/>
        </w:rPr>
        <w:t xml:space="preserve">Click events are recorded without third-party advertising trackers.</w:t>
      </w:r>
    </w:p>
    <w:p>
      <w:pPr>
        <w:spacing w:after="160" w:line="360"/>
      </w:pPr>
      <w:r>
        <w:rPr>
          <w:b/>
          <w:bCs/>
          <w:color w:val="141414"/>
        </w:rPr>
        <w:t xml:space="preserve">Before checkout </w:t>
      </w:r>
      <w:r>
        <w:rPr>
          <w:color w:val="141414"/>
        </w:rPr>
        <w:t xml:space="preserve">the page shows the frozen Offer Contract and live inventory, collects the minimum purchaser contact needed for fulfillment, verifies control of that contact, records intended recipient and actual purchaser separately if the link was forwarded, enforces the purchase limit against the verified purchaser, and stores the exact terms, seller identity, cancellation path, privacy notice, acceptance timestamp and evidence version.</w:t>
      </w:r>
    </w:p>
    <w:p>
      <w:pPr>
        <w:spacing w:after="160" w:line="360"/>
      </w:pPr>
      <w:r>
        <w:rPr>
          <w:b/>
          <w:bCs/>
          <w:color w:val="141414"/>
        </w:rPr>
        <w:t xml:space="preserve">On Pagar com Pix: </w:t>
      </w:r>
      <w:r>
        <w:rPr>
          <w:color w:val="141414"/>
        </w:rPr>
        <w:t xml:space="preserve">reserve inventory atomically → return any existing active checkout → create or select the Asaas customer with </w:t>
      </w:r>
      <w:r>
        <w:rPr>
          <w:rFonts w:ascii="Consolas" w:cs="Consolas" w:eastAsia="Consolas" w:hAnsi="Consolas"/>
          <w:color w:val="0A6E4C"/>
          <w:sz w:val="21"/>
          <w:szCs w:val="21"/>
        </w:rPr>
        <w:t xml:space="preserve">notificationDisabled=true</w:t>
      </w:r>
      <w:r>
        <w:rPr>
          <w:color w:val="141414"/>
        </w:rPr>
        <w:t xml:space="preserve"> verified → create one server-side checkout with a unique </w:t>
      </w:r>
      <w:r>
        <w:rPr>
          <w:rFonts w:ascii="Consolas" w:cs="Consolas" w:eastAsia="Consolas" w:hAnsi="Consolas"/>
          <w:color w:val="0A6E4C"/>
          <w:sz w:val="21"/>
          <w:szCs w:val="21"/>
        </w:rPr>
        <w:t xml:space="preserve">externalReference</w:t>
      </w:r>
      <w:r>
        <w:rPr>
          <w:color w:val="141414"/>
        </w:rPr>
        <w:t xml:space="preserve"> → include the 20% split → set a short expiry → configure callbacks → redirect to the hosted page. The stable page can mint a fresh checkout at any time while the offer is live.</w:t>
      </w:r>
    </w:p>
    <w:tbl>
      <w:tblPr>
        <w:tblW w:type="dxa" w:w="9360"/>
        <w:tblBorders>
          <w:top w:val="none"/>
          <w:left w:val="single" w:color="1D6B4F" w:sz="24"/>
          <w:bottom w:val="none"/>
          <w:right w:val="none"/>
          <w:insideH w:val="none"/>
          <w:insideV w:val="none"/>
        </w:tblBorders>
      </w:tblPr>
      <w:tblGrid>
        <w:gridCol w:w="9360"/>
      </w:tblGrid>
      <w:tr>
        <w:tc>
          <w:tcPr>
            <w:tcW w:type="dxa" w:w="9360"/>
            <w:shd w:fill="EEF5F1" w:val="clear"/>
            <w:tcMar>
              <w:top w:type="dxa" w:w="140"/>
              <w:left w:type="dxa" w:w="220"/>
              <w:bottom w:type="dxa" w:w="140"/>
              <w:right w:type="dxa" w:w="220"/>
            </w:tcMar>
          </w:tcPr>
          <w:p>
            <w:pPr>
              <w:spacing w:after="160" w:line="360"/>
            </w:pPr>
            <w:r>
              <w:rPr>
                <w:b/>
                <w:bCs/>
                <w:color w:val="141414"/>
              </w:rPr>
              <w:t xml:space="preserve">Browser callbacks are UX. Only authenticated webhooks move money or state. </w:t>
            </w:r>
            <w:r>
              <w:rPr>
                <w:color w:val="141414"/>
              </w:rPr>
              <w:t xml:space="preserve">A success page that marks a payment settled is a page that can be forged by anyone who reads a URL.</w:t>
            </w:r>
          </w:p>
        </w:tc>
      </w:tr>
    </w:tbl>
    <w:p>
      <w:pPr>
        <w:spacing w:after="60"/>
      </w:pPr>
    </w:p>
    <w:p>
      <w:pPr>
        <w:pStyle w:val="Heading1"/>
        <w:spacing w:after="200" w:before="360"/>
      </w:pPr>
      <w:r>
        <w:rPr>
          <w:b/>
          <w:bCs/>
          <w:color w:val="0B4A36"/>
        </w:rPr>
        <w:t xml:space="preserve">§19 · Payment ledger</w:t>
      </w:r>
    </w:p>
    <w:p>
      <w:pPr>
        <w:spacing w:after="160" w:line="360"/>
      </w:pPr>
      <w:r>
        <w:rPr>
          <w:rFonts w:ascii="Consolas" w:cs="Consolas" w:eastAsia="Consolas" w:hAnsi="Consolas"/>
          <w:color w:val="0A6E4C"/>
          <w:sz w:val="21"/>
          <w:szCs w:val="21"/>
        </w:rPr>
        <w:t xml:space="preserve">OFFER_VIEWED → INVENTORY_RESERVED → CHECKOUT_ACTIVE → PIX_PENDING → PAYMENT_CONFIRMED</w:t>
      </w:r>
    </w:p>
    <w:p>
      <w:pPr>
        <w:spacing w:after="160" w:line="360"/>
      </w:pPr>
      <w:r>
        <w:rPr>
          <w:rFonts w:ascii="Consolas" w:cs="Consolas" w:eastAsia="Consolas" w:hAnsi="Consolas"/>
          <w:color w:val="0A6E4C"/>
          <w:sz w:val="21"/>
          <w:szCs w:val="21"/>
        </w:rPr>
        <w:t xml:space="preserve">PAYMENT_CONFIRMED → VOUCHER_PAID   (buyer’s entitlement)</w:t>
      </w:r>
    </w:p>
    <w:p>
      <w:pPr>
        <w:spacing w:after="160" w:line="360"/>
      </w:pPr>
      <w:r>
        <w:rPr>
          <w:rFonts w:ascii="Consolas" w:cs="Consolas" w:eastAsia="Consolas" w:hAnsi="Consolas"/>
          <w:color w:val="0A6E4C"/>
          <w:sz w:val="21"/>
          <w:szCs w:val="21"/>
        </w:rPr>
        <w:t xml:space="preserve">PAYMENT_CONFIRMED → SPLIT_PENDING → SPLIT_DONE | SPLIT_REFUSED   (Caixa’s revenue)</w:t>
      </w:r>
    </w:p>
    <w:p>
      <w:pPr>
        <w:spacing w:after="160" w:line="360"/>
      </w:pPr>
      <w:r>
        <w:rPr>
          <w:rFonts w:ascii="Consolas" w:cs="Consolas" w:eastAsia="Consolas" w:hAnsi="Consolas"/>
          <w:color w:val="0A6E4C"/>
          <w:sz w:val="21"/>
          <w:szCs w:val="21"/>
        </w:rPr>
        <w:t xml:space="preserve">Alternate: CHECKOUT_EXPIRED | CHECKOUT_CANCELLED | PAYMENT_FAILED</w:t>
      </w:r>
    </w:p>
    <w:p>
      <w:pPr>
        <w:spacing w:after="160" w:line="360"/>
      </w:pPr>
      <w:r>
        <w:rPr>
          <w:rFonts w:ascii="Consolas" w:cs="Consolas" w:eastAsia="Consolas" w:hAnsi="Consolas"/>
          <w:color w:val="0A6E4C"/>
          <w:sz w:val="21"/>
          <w:szCs w:val="21"/>
        </w:rPr>
        <w:t xml:space="preserve">After payment: REFUND_REQUESTED → REFUND_PROCESSING → PAYMENT_REFUNDED → SPLIT_REFUNDED → UNUSED_VOUCHER_INVALIDATED</w:t>
      </w:r>
    </w:p>
    <w:p>
      <w:pPr>
        <w:spacing w:after="160" w:line="360"/>
      </w:pPr>
      <w:r>
        <w:rPr>
          <w:rFonts w:ascii="Consolas" w:cs="Consolas" w:eastAsia="Consolas" w:hAnsi="Consolas"/>
          <w:color w:val="0A6E4C"/>
          <w:sz w:val="21"/>
          <w:szCs w:val="21"/>
        </w:rPr>
        <w:t xml:space="preserve">Exceptional: CHARGEBACK_BEFORE_REDEMPTION | POST_REDEMPTION_PAYMENT_DISPUTE | WEBHOOK_MISMATCH</w:t>
      </w:r>
    </w:p>
    <w:p>
      <w:pPr>
        <w:spacing w:after="60"/>
      </w:pPr>
    </w:p>
    <w:p>
      <w:pPr>
        <w:pStyle w:val="ListParagraph"/>
        <w:numPr>
          <w:ilvl w:val="0"/>
          <w:numId w:val="2"/>
        </w:numPr>
        <w:spacing w:after="100" w:line="340"/>
      </w:pPr>
      <w:r>
        <w:rPr>
          <w:b/>
          <w:bCs/>
          <w:color w:val="141414"/>
        </w:rPr>
        <w:t xml:space="preserve">The two branches are independent. </w:t>
      </w:r>
      <w:r>
        <w:rPr>
          <w:rFonts w:ascii="Consolas" w:cs="Consolas" w:eastAsia="Consolas" w:hAnsi="Consolas"/>
          <w:color w:val="0A6E4C"/>
          <w:sz w:val="21"/>
          <w:szCs w:val="21"/>
        </w:rPr>
        <w:t xml:space="preserve">PAYMENT_CONFIRMED</w:t>
      </w:r>
      <w:r>
        <w:rPr>
          <w:color w:val="141414"/>
        </w:rPr>
        <w:t xml:space="preserve"> issues the voucher and the salon’s obligation immediately. A pending or refused split is a founder problem, never the buyer’s — she paid, she gets the service.</w:t>
      </w:r>
    </w:p>
    <w:p>
      <w:pPr>
        <w:pStyle w:val="ListParagraph"/>
        <w:numPr>
          <w:ilvl w:val="0"/>
          <w:numId w:val="2"/>
        </w:numPr>
        <w:spacing w:after="100" w:line="340"/>
      </w:pPr>
      <w:r>
        <w:rPr>
          <w:color w:val="141414"/>
        </w:rPr>
        <w:t xml:space="preserve">Webhooks are signature- or token-validated, idempotent and replay-safe. A forged or replayed event changes nothing.</w:t>
      </w:r>
    </w:p>
    <w:p>
      <w:pPr>
        <w:pStyle w:val="ListParagraph"/>
        <w:numPr>
          <w:ilvl w:val="0"/>
          <w:numId w:val="2"/>
        </w:numPr>
        <w:spacing w:after="100" w:line="340"/>
      </w:pPr>
      <w:r>
        <w:rPr>
          <w:color w:val="141414"/>
        </w:rPr>
        <w:t xml:space="preserve">Partial refunds stay disabled at launch until counsel, Asaas behavior, ledger and voucher effects are all proven.</w:t>
      </w:r>
    </w:p>
    <w:p>
      <w:pPr>
        <w:pStyle w:val="ListParagraph"/>
        <w:numPr>
          <w:ilvl w:val="0"/>
          <w:numId w:val="2"/>
        </w:numPr>
        <w:spacing w:after="100" w:line="340"/>
      </w:pPr>
      <w:r>
        <w:rPr>
          <w:color w:val="141414"/>
        </w:rPr>
        <w:t xml:space="preserve">Duplicate payments enter an immediate refund workflow.</w:t>
      </w:r>
    </w:p>
    <w:p>
      <w:pPr>
        <w:pStyle w:val="ListParagraph"/>
        <w:numPr>
          <w:ilvl w:val="0"/>
          <w:numId w:val="2"/>
        </w:numPr>
        <w:spacing w:after="100" w:line="340"/>
      </w:pPr>
      <w:r>
        <w:rPr>
          <w:color w:val="141414"/>
        </w:rPr>
        <w:t xml:space="preserve">A pre-redemption chargeback pauses and disputes the voucher. A </w:t>
      </w:r>
      <w:r>
        <w:rPr>
          <w:b/>
          <w:bCs/>
          <w:color w:val="141414"/>
        </w:rPr>
        <w:t xml:space="preserve">post-redemption</w:t>
      </w:r>
      <w:r>
        <w:rPr>
          <w:color w:val="141414"/>
        </w:rPr>
        <w:t xml:space="preserve"> dispute records a salon loss and reverses the fee — it cannot un-consume a service already delivered.</w:t>
      </w:r>
    </w:p>
    <w:p>
      <w:pPr>
        <w:pStyle w:val="ListParagraph"/>
        <w:numPr>
          <w:ilvl w:val="0"/>
          <w:numId w:val="2"/>
        </w:numPr>
        <w:spacing w:after="100" w:line="340"/>
      </w:pPr>
      <w:r>
        <w:rPr>
          <w:b/>
          <w:bCs/>
          <w:color w:val="141414"/>
        </w:rPr>
        <w:t xml:space="preserve">Fee cash carries a reversal reserve </w:t>
      </w:r>
      <w:r>
        <w:rPr>
          <w:color w:val="141414"/>
        </w:rPr>
        <w:t xml:space="preserve">so later refunds never create a shortfall (§25).</w:t>
      </w:r>
    </w:p>
    <w:p>
      <w:pPr>
        <w:spacing w:after="60"/>
      </w:pPr>
    </w:p>
    <w:p>
      <w:pPr>
        <w:pStyle w:val="Heading1"/>
        <w:spacing w:after="200" w:before="360"/>
      </w:pPr>
      <w:r>
        <w:rPr>
          <w:b/>
          <w:bCs/>
          <w:color w:val="0B4A36"/>
        </w:rPr>
        <w:t xml:space="preserve">§20 · Voucher and fulfillment — the part v4 did not have</w:t>
      </w:r>
    </w:p>
    <w:p>
      <w:pPr>
        <w:spacing w:after="160" w:line="360"/>
      </w:pPr>
      <w:r>
        <w:rPr>
          <w:rFonts w:ascii="Consolas" w:cs="Consolas" w:eastAsia="Consolas" w:hAnsi="Consolas"/>
          <w:color w:val="0A6E4C"/>
          <w:sz w:val="21"/>
          <w:szCs w:val="21"/>
        </w:rPr>
        <w:t xml:space="preserve">DRAFT → PAYMENT_PENDING → PAID_UNBOOKED → BOOKING_REQUESTED → BOOKED → REDEEMED</w:t>
      </w:r>
    </w:p>
    <w:p>
      <w:pPr>
        <w:spacing w:after="160" w:line="360"/>
      </w:pPr>
      <w:r>
        <w:rPr>
          <w:rFonts w:ascii="Consolas" w:cs="Consolas" w:eastAsia="Consolas" w:hAnsi="Consolas"/>
          <w:color w:val="0A6E4C"/>
          <w:sz w:val="21"/>
          <w:szCs w:val="21"/>
        </w:rPr>
        <w:t xml:space="preserve">From PAID_UNBOOKED or BOOKED: CANCELLATION_REQUESTED → REFUND_PENDING → REFUNDED</w:t>
      </w:r>
    </w:p>
    <w:p>
      <w:pPr>
        <w:spacing w:after="160" w:line="360"/>
      </w:pPr>
      <w:r>
        <w:rPr>
          <w:rFonts w:ascii="Consolas" w:cs="Consolas" w:eastAsia="Consolas" w:hAnsi="Consolas"/>
          <w:color w:val="0A6E4C"/>
          <w:sz w:val="21"/>
          <w:szCs w:val="21"/>
        </w:rPr>
        <w:t xml:space="preserve">Exceptional: REDEMPTION_DUE | CHARGEBACK_BEFORE_REDEMPTION | POST_REDEMPTION_PAYMENT_DISPUTE | RESOLUTION_REQUIRED</w:t>
      </w:r>
    </w:p>
    <w:p>
      <w:pPr>
        <w:spacing w:after="60"/>
      </w:pPr>
    </w:p>
    <w:tbl>
      <w:tblPr>
        <w:tblW w:type="dxa" w:w="9360"/>
        <w:tblBorders>
          <w:top w:val="none"/>
          <w:left w:val="single" w:color="8A1C1C" w:sz="24"/>
          <w:bottom w:val="none"/>
          <w:right w:val="none"/>
          <w:insideH w:val="none"/>
          <w:insideV w:val="none"/>
        </w:tblBorders>
      </w:tblPr>
      <w:tblGrid>
        <w:gridCol w:w="9360"/>
      </w:tblGrid>
      <w:tr>
        <w:tc>
          <w:tcPr>
            <w:tcW w:type="dxa" w:w="9360"/>
            <w:shd w:fill="FBF0EE" w:val="clear"/>
            <w:tcMar>
              <w:top w:type="dxa" w:w="140"/>
              <w:left w:type="dxa" w:w="220"/>
              <w:bottom w:type="dxa" w:w="140"/>
              <w:right w:type="dxa" w:w="220"/>
            </w:tcMar>
          </w:tcPr>
          <w:p>
            <w:pPr>
              <w:spacing w:after="160" w:line="360"/>
            </w:pPr>
            <w:r>
              <w:rPr>
                <w:b/>
                <w:bCs/>
                <w:color w:val="141414"/>
              </w:rPr>
              <w:t xml:space="preserve">An unused paid voucher is a salon obligation, and it is excluded from every future reactivation audience until redeemed, refunded or resolved. </w:t>
            </w:r>
            <w:r>
              <w:rPr>
                <w:color w:val="141414"/>
              </w:rPr>
              <w:t xml:space="preserve">This is the same CPC 47 rule the eligibility gate enforces — now applied to the liabilities Caixa itself creates. A deadline moves a voucher to </w:t>
            </w:r>
            <w:r>
              <w:rPr>
                <w:rFonts w:ascii="Consolas" w:cs="Consolas" w:eastAsia="Consolas" w:hAnsi="Consolas"/>
                <w:color w:val="0A6E4C"/>
                <w:sz w:val="21"/>
                <w:szCs w:val="21"/>
              </w:rPr>
              <w:t xml:space="preserve">REDEMPTION_DUE</w:t>
            </w:r>
            <w:r>
              <w:rPr>
                <w:color w:val="141414"/>
              </w:rPr>
              <w:t xml:space="preserve">; time alone never erases it. </w:t>
            </w:r>
            <w:r>
              <w:rPr>
                <w:rFonts w:ascii="Consolas" w:cs="Consolas" w:eastAsia="Consolas" w:hAnsi="Consolas"/>
                <w:color w:val="0A6E4C"/>
                <w:sz w:val="21"/>
                <w:szCs w:val="21"/>
              </w:rPr>
              <w:t xml:space="preserve">RESOLUTION_REQUIRED</w:t>
            </w:r>
            <w:r>
              <w:rPr>
                <w:color w:val="141414"/>
              </w:rPr>
              <w:t xml:space="preserve"> is an exception queue, not an acceptable resting state.</w:t>
            </w:r>
          </w:p>
        </w:tc>
      </w:tr>
    </w:tbl>
    <w:p>
      <w:pPr>
        <w:pStyle w:val="Heading3"/>
        <w:spacing w:after="120" w:before="220"/>
      </w:pPr>
      <w:r>
        <w:rPr>
          <w:b/>
          <w:bCs/>
          <w:color w:val="141414"/>
        </w:rPr>
        <w:t xml:space="preserve">After payment</w:t>
      </w:r>
    </w:p>
    <w:p>
      <w:pPr>
        <w:spacing w:after="160" w:line="360"/>
      </w:pPr>
      <w:r>
        <w:rPr>
          <w:color w:val="141414"/>
        </w:rPr>
        <w:t xml:space="preserve">The success page confirms only what the webhook confirms, then shows the voucher code, an </w:t>
      </w:r>
      <w:r>
        <w:rPr>
          <w:b/>
          <w:bCs/>
          <w:color w:val="141414"/>
        </w:rPr>
        <w:t xml:space="preserve">Agendar agora</w:t>
      </w:r>
      <w:r>
        <w:rPr>
          <w:color w:val="141414"/>
        </w:rPr>
        <w:t xml:space="preserve"> action that has the </w:t>
      </w:r>
      <w:r>
        <w:rPr>
          <w:b/>
          <w:bCs/>
          <w:color w:val="141414"/>
        </w:rPr>
        <w:t xml:space="preserve">customer</w:t>
      </w:r>
      <w:r>
        <w:rPr>
          <w:color w:val="141414"/>
        </w:rPr>
        <w:t xml:space="preserve"> open the booking conversation with the salon, an optional non-binding preference for daypart and unit, a cancellation and help path, and the seller’s support contact. It never promises that reception can start a free-form message later — outside an open service window that requires a separately approved utility template.</w:t>
      </w:r>
    </w:p>
    <w:p>
      <w:pPr>
        <w:pStyle w:val="Heading3"/>
        <w:spacing w:after="120" w:before="220"/>
      </w:pPr>
      <w:r>
        <w:rPr>
          <w:b/>
          <w:bCs/>
          <w:color w:val="141414"/>
        </w:rPr>
        <w:t xml:space="preserve">Reception’s view</w:t>
      </w:r>
    </w:p>
    <w:p>
      <w:pPr>
        <w:spacing w:after="160" w:line="360"/>
      </w:pPr>
      <w:r>
        <w:rPr>
          <w:color w:val="141414"/>
        </w:rPr>
        <w:t xml:space="preserve">A mobile task with the customer’s first name and masked phone, the purchased offer, payment status, voucher code, any stated preference, current state, and four actions: </w:t>
      </w:r>
      <w:r>
        <w:rPr>
          <w:b/>
          <w:bCs/>
          <w:color w:val="141414"/>
        </w:rPr>
        <w:t xml:space="preserve">Confirmar agendamento</w:t>
      </w:r>
      <w:r>
        <w:rPr>
          <w:color w:val="141414"/>
        </w:rPr>
        <w:t xml:space="preserve"> · </w:t>
      </w:r>
      <w:r>
        <w:rPr>
          <w:b/>
          <w:bCs/>
          <w:color w:val="141414"/>
        </w:rPr>
        <w:t xml:space="preserve">Marcar como utilizado</w:t>
      </w:r>
      <w:r>
        <w:rPr>
          <w:color w:val="141414"/>
        </w:rPr>
        <w:t xml:space="preserve"> · </w:t>
      </w:r>
      <w:r>
        <w:rPr>
          <w:b/>
          <w:bCs/>
          <w:color w:val="141414"/>
        </w:rPr>
        <w:t xml:space="preserve">Solicitar cancelamento/reembolso</w:t>
      </w:r>
      <w:r>
        <w:rPr>
          <w:color w:val="141414"/>
        </w:rPr>
        <w:t xml:space="preserve"> · </w:t>
      </w:r>
      <w:r>
        <w:rPr>
          <w:b/>
          <w:bCs/>
          <w:color w:val="141414"/>
        </w:rPr>
        <w:t xml:space="preserve">Falar com cliente</w:t>
      </w:r>
      <w:r>
        <w:rPr>
          <w:color w:val="141414"/>
        </w:rPr>
        <w:t xml:space="preserve">. It exposes neither the campaign list nor any financial credential.</w:t>
      </w:r>
    </w:p>
    <w:p>
      <w:pPr>
        <w:spacing w:after="60"/>
      </w:pPr>
    </w:p>
    <w:p>
      <w:pPr>
        <w:pStyle w:val="Heading1"/>
        <w:spacing w:after="200" w:before="360"/>
      </w:pPr>
      <w:r>
        <w:rPr>
          <w:b/>
          <w:bCs/>
          <w:color w:val="0B4A36"/>
        </w:rPr>
        <w:t xml:space="preserve">§21 · Fulfillment automation and its safety stops</w:t>
      </w:r>
    </w:p>
    <w:tbl>
      <w:tblPr>
        <w:tblW w:type="dxa" w:w="9360"/>
        <w:tblBorders>
          <w:top w:val="single" w:color="1D6B4F" w:sz="8"/>
          <w:left w:val="none"/>
          <w:bottom w:val="single" w:color="1D6B4F" w:sz="8"/>
          <w:right w:val="none"/>
          <w:insideH w:val="single" w:color="C9D6D0" w:sz="4"/>
          <w:insideV w:val="single" w:color="C9D6D0" w:sz="4"/>
        </w:tblBorders>
      </w:tblPr>
      <w:tblGrid>
        <w:gridCol w:w="2300"/>
        <w:gridCol w:w="3830"/>
        <w:gridCol w:w="3230"/>
      </w:tblGrid>
      <w:tr>
        <w:trPr>
          <w:tblHeader/>
        </w:trPr>
        <w:tc>
          <w:tcPr>
            <w:tcW w:type="dxa" w:w="2300"/>
            <w:shd w:fill="0B4A36" w:val="clear"/>
            <w:tcMar>
              <w:top w:type="dxa" w:w="90"/>
              <w:left w:type="dxa" w:w="140"/>
              <w:bottom w:type="dxa" w:w="90"/>
              <w:right w:type="dxa" w:w="140"/>
            </w:tcMar>
          </w:tcPr>
          <w:p>
            <w:pPr>
              <w:spacing w:after="0" w:line="300"/>
            </w:pPr>
            <w:r>
              <w:rPr>
                <w:b/>
                <w:bCs/>
                <w:color w:val="FFFFFF"/>
                <w:sz w:val="22"/>
                <w:szCs w:val="22"/>
              </w:rPr>
              <w:t xml:space="preserve">Trigger</w:t>
            </w:r>
          </w:p>
        </w:tc>
        <w:tc>
          <w:tcPr>
            <w:tcW w:type="dxa" w:w="3830"/>
            <w:shd w:fill="0B4A36" w:val="clear"/>
            <w:tcMar>
              <w:top w:type="dxa" w:w="90"/>
              <w:left w:type="dxa" w:w="140"/>
              <w:bottom w:type="dxa" w:w="90"/>
              <w:right w:type="dxa" w:w="140"/>
            </w:tcMar>
          </w:tcPr>
          <w:p>
            <w:pPr>
              <w:spacing w:after="0" w:line="300"/>
            </w:pPr>
            <w:r>
              <w:rPr>
                <w:b/>
                <w:bCs/>
                <w:color w:val="FFFFFF"/>
                <w:sz w:val="22"/>
                <w:szCs w:val="22"/>
              </w:rPr>
              <w:t xml:space="preserve">Automatic action</w:t>
            </w:r>
          </w:p>
        </w:tc>
        <w:tc>
          <w:tcPr>
            <w:tcW w:type="dxa" w:w="3230"/>
            <w:shd w:fill="0B4A36" w:val="clear"/>
            <w:tcMar>
              <w:top w:type="dxa" w:w="90"/>
              <w:left w:type="dxa" w:w="140"/>
              <w:bottom w:type="dxa" w:w="90"/>
              <w:right w:type="dxa" w:w="140"/>
            </w:tcMar>
          </w:tcPr>
          <w:p>
            <w:pPr>
              <w:spacing w:after="0" w:line="300"/>
            </w:pPr>
            <w:r>
              <w:rPr>
                <w:b/>
                <w:bCs/>
                <w:color w:val="FFFFFF"/>
                <w:sz w:val="22"/>
                <w:szCs w:val="22"/>
              </w:rPr>
              <w:t xml:space="preserve">Safety stop</w:t>
            </w:r>
          </w:p>
        </w:tc>
      </w:tr>
      <w:tr>
        <w:trPr>
          <w:tblHeader w:val="false"/>
        </w:trPr>
        <w:tc>
          <w:tcPr>
            <w:tcW w:type="dxa" w:w="2300"/>
            <w:tcMar>
              <w:top w:type="dxa" w:w="90"/>
              <w:left w:type="dxa" w:w="140"/>
              <w:bottom w:type="dxa" w:w="90"/>
              <w:right w:type="dxa" w:w="140"/>
            </w:tcMar>
          </w:tcPr>
          <w:p>
            <w:pPr>
              <w:spacing w:after="0" w:line="300"/>
            </w:pPr>
            <w:r>
              <w:rPr>
                <w:color w:val="141414"/>
                <w:sz w:val="22"/>
                <w:szCs w:val="22"/>
              </w:rPr>
              <w:t xml:space="preserve">PAYMENT_CONFIRMED</w:t>
            </w:r>
          </w:p>
        </w:tc>
        <w:tc>
          <w:tcPr>
            <w:tcW w:type="dxa" w:w="3830"/>
            <w:tcMar>
              <w:top w:type="dxa" w:w="90"/>
              <w:left w:type="dxa" w:w="140"/>
              <w:bottom w:type="dxa" w:w="90"/>
              <w:right w:type="dxa" w:w="140"/>
            </w:tcMar>
          </w:tcPr>
          <w:p>
            <w:pPr>
              <w:spacing w:after="0" w:line="300"/>
            </w:pPr>
            <w:r>
              <w:rPr>
                <w:color w:val="141414"/>
                <w:sz w:val="22"/>
                <w:szCs w:val="22"/>
              </w:rPr>
              <w:t xml:space="preserve">Issue voucher; create reception task; show Agendar agora.</w:t>
            </w:r>
          </w:p>
        </w:tc>
        <w:tc>
          <w:tcPr>
            <w:tcW w:type="dxa" w:w="3230"/>
            <w:tcMar>
              <w:top w:type="dxa" w:w="90"/>
              <w:left w:type="dxa" w:w="140"/>
              <w:bottom w:type="dxa" w:w="90"/>
              <w:right w:type="dxa" w:w="140"/>
            </w:tcMar>
          </w:tcPr>
          <w:p>
            <w:pPr>
              <w:spacing w:after="0" w:line="300"/>
            </w:pPr>
            <w:r>
              <w:rPr>
                <w:color w:val="141414"/>
                <w:sz w:val="22"/>
                <w:szCs w:val="22"/>
              </w:rPr>
              <w:t xml:space="preserve">Never waits on the split.</w:t>
            </w:r>
          </w:p>
        </w:tc>
      </w:tr>
      <w:tr>
        <w:trPr>
          <w:tblHeader w:val="false"/>
        </w:trPr>
        <w:tc>
          <w:tcPr>
            <w:tcW w:type="dxa" w:w="2300"/>
            <w:tcMar>
              <w:top w:type="dxa" w:w="90"/>
              <w:left w:type="dxa" w:w="140"/>
              <w:bottom w:type="dxa" w:w="90"/>
              <w:right w:type="dxa" w:w="140"/>
            </w:tcMar>
          </w:tcPr>
          <w:p>
            <w:pPr>
              <w:spacing w:after="0" w:line="300"/>
            </w:pPr>
            <w:r>
              <w:rPr>
                <w:color w:val="141414"/>
                <w:sz w:val="22"/>
                <w:szCs w:val="22"/>
              </w:rPr>
              <w:t xml:space="preserve">PAID_UNBOOKED</w:t>
            </w:r>
          </w:p>
        </w:tc>
        <w:tc>
          <w:tcPr>
            <w:tcW w:type="dxa" w:w="3830"/>
            <w:tcMar>
              <w:top w:type="dxa" w:w="90"/>
              <w:left w:type="dxa" w:w="140"/>
              <w:bottom w:type="dxa" w:w="90"/>
              <w:right w:type="dxa" w:w="140"/>
            </w:tcMar>
          </w:tcPr>
          <w:p>
            <w:pPr>
              <w:spacing w:after="0" w:line="300"/>
            </w:pPr>
            <w:r>
              <w:rPr>
                <w:color w:val="141414"/>
                <w:sz w:val="22"/>
                <w:szCs w:val="22"/>
              </w:rPr>
              <w:t xml:space="preserve">Keep the task visible; at most one approved utility booking prompt.</w:t>
            </w:r>
          </w:p>
        </w:tc>
        <w:tc>
          <w:tcPr>
            <w:tcW w:type="dxa" w:w="3230"/>
            <w:tcMar>
              <w:top w:type="dxa" w:w="90"/>
              <w:left w:type="dxa" w:w="140"/>
              <w:bottom w:type="dxa" w:w="90"/>
              <w:right w:type="dxa" w:w="140"/>
            </w:tcMar>
          </w:tcPr>
          <w:p>
            <w:pPr>
              <w:spacing w:after="0" w:line="300"/>
            </w:pPr>
            <w:r>
              <w:rPr>
                <w:color w:val="141414"/>
                <w:sz w:val="22"/>
                <w:szCs w:val="22"/>
              </w:rPr>
              <w:t xml:space="preserve">No promotional content, ever.</w:t>
            </w:r>
          </w:p>
        </w:tc>
      </w:tr>
      <w:tr>
        <w:trPr>
          <w:tblHeader w:val="false"/>
        </w:trPr>
        <w:tc>
          <w:tcPr>
            <w:tcW w:type="dxa" w:w="2300"/>
            <w:tcMar>
              <w:top w:type="dxa" w:w="90"/>
              <w:left w:type="dxa" w:w="140"/>
              <w:bottom w:type="dxa" w:w="90"/>
              <w:right w:type="dxa" w:w="140"/>
            </w:tcMar>
          </w:tcPr>
          <w:p>
            <w:pPr>
              <w:spacing w:after="0" w:line="300"/>
            </w:pPr>
            <w:r>
              <w:rPr>
                <w:color w:val="141414"/>
                <w:sz w:val="22"/>
                <w:szCs w:val="22"/>
              </w:rPr>
              <w:t xml:space="preserve">Customer requests booking</w:t>
            </w:r>
          </w:p>
        </w:tc>
        <w:tc>
          <w:tcPr>
            <w:tcW w:type="dxa" w:w="3830"/>
            <w:tcMar>
              <w:top w:type="dxa" w:w="90"/>
              <w:left w:type="dxa" w:w="140"/>
              <w:bottom w:type="dxa" w:w="90"/>
              <w:right w:type="dxa" w:w="140"/>
            </w:tcMar>
          </w:tcPr>
          <w:p>
            <w:pPr>
              <w:spacing w:after="0" w:line="300"/>
            </w:pPr>
            <w:r>
              <w:rPr>
                <w:color w:val="141414"/>
                <w:sz w:val="22"/>
                <w:szCs w:val="22"/>
              </w:rPr>
              <w:t xml:space="preserve">Start the reception SLA within business hours.</w:t>
            </w:r>
          </w:p>
        </w:tc>
        <w:tc>
          <w:tcPr>
            <w:tcW w:type="dxa" w:w="3230"/>
            <w:tcMar>
              <w:top w:type="dxa" w:w="90"/>
              <w:left w:type="dxa" w:w="140"/>
              <w:bottom w:type="dxa" w:w="90"/>
              <w:right w:type="dxa" w:w="140"/>
            </w:tcMar>
          </w:tcPr>
          <w:p>
            <w:pPr>
              <w:spacing w:after="0" w:line="300"/>
            </w:pPr>
            <w:r>
              <w:rPr>
                <w:color w:val="141414"/>
                <w:sz w:val="22"/>
                <w:szCs w:val="22"/>
              </w:rPr>
              <w:t xml:space="preserve">Thread is human-owned from that moment.</w:t>
            </w:r>
          </w:p>
        </w:tc>
      </w:tr>
      <w:tr>
        <w:trPr>
          <w:tblHeader w:val="false"/>
        </w:trPr>
        <w:tc>
          <w:tcPr>
            <w:tcW w:type="dxa" w:w="2300"/>
            <w:tcMar>
              <w:top w:type="dxa" w:w="90"/>
              <w:left w:type="dxa" w:w="140"/>
              <w:bottom w:type="dxa" w:w="90"/>
              <w:right w:type="dxa" w:w="140"/>
            </w:tcMar>
          </w:tcPr>
          <w:p>
            <w:pPr>
              <w:spacing w:after="0" w:line="300"/>
            </w:pPr>
            <w:r>
              <w:rPr>
                <w:color w:val="141414"/>
                <w:sz w:val="22"/>
                <w:szCs w:val="22"/>
              </w:rPr>
              <w:t xml:space="preserve">Reception misses SLA</w:t>
            </w:r>
          </w:p>
        </w:tc>
        <w:tc>
          <w:tcPr>
            <w:tcW w:type="dxa" w:w="3830"/>
            <w:tcMar>
              <w:top w:type="dxa" w:w="90"/>
              <w:left w:type="dxa" w:w="140"/>
              <w:bottom w:type="dxa" w:w="90"/>
              <w:right w:type="dxa" w:w="140"/>
            </w:tcMar>
          </w:tcPr>
          <w:p>
            <w:pPr>
              <w:spacing w:after="0" w:line="300"/>
            </w:pPr>
            <w:r>
              <w:rPr>
                <w:color w:val="141414"/>
                <w:sz w:val="22"/>
                <w:szCs w:val="22"/>
              </w:rPr>
              <w:t xml:space="preserve">Remind once; at 2× SLA escalate to the salon owner.</w:t>
            </w:r>
          </w:p>
        </w:tc>
        <w:tc>
          <w:tcPr>
            <w:tcW w:type="dxa" w:w="3230"/>
            <w:tcMar>
              <w:top w:type="dxa" w:w="90"/>
              <w:left w:type="dxa" w:w="140"/>
              <w:bottom w:type="dxa" w:w="90"/>
              <w:right w:type="dxa" w:w="140"/>
            </w:tcMar>
          </w:tcPr>
          <w:p>
            <w:pPr>
              <w:spacing w:after="0" w:line="300"/>
            </w:pPr>
            <w:r>
              <w:rPr>
                <w:color w:val="141414"/>
                <w:sz w:val="22"/>
                <w:szCs w:val="22"/>
              </w:rPr>
              <w:t xml:space="preserve">Pause new checkouts for that offer.</w:t>
            </w:r>
          </w:p>
        </w:tc>
      </w:tr>
      <w:tr>
        <w:trPr>
          <w:tblHeader w:val="false"/>
        </w:trPr>
        <w:tc>
          <w:tcPr>
            <w:tcW w:type="dxa" w:w="2300"/>
            <w:tcMar>
              <w:top w:type="dxa" w:w="90"/>
              <w:left w:type="dxa" w:w="140"/>
              <w:bottom w:type="dxa" w:w="90"/>
              <w:right w:type="dxa" w:w="140"/>
            </w:tcMar>
          </w:tcPr>
          <w:p>
            <w:pPr>
              <w:spacing w:after="0" w:line="300"/>
            </w:pPr>
            <w:r>
              <w:rPr>
                <w:color w:val="141414"/>
                <w:sz w:val="22"/>
                <w:szCs w:val="22"/>
              </w:rPr>
              <w:t xml:space="preserve">A paid buyer is stranded past maximum SLA</w:t>
            </w:r>
          </w:p>
        </w:tc>
        <w:tc>
          <w:tcPr>
            <w:tcW w:type="dxa" w:w="3830"/>
            <w:tcMar>
              <w:top w:type="dxa" w:w="90"/>
              <w:left w:type="dxa" w:w="140"/>
              <w:bottom w:type="dxa" w:w="90"/>
              <w:right w:type="dxa" w:w="140"/>
            </w:tcMar>
          </w:tcPr>
          <w:p>
            <w:pPr>
              <w:spacing w:after="0" w:line="300"/>
            </w:pPr>
            <w:r>
              <w:rPr>
                <w:color w:val="141414"/>
                <w:sz w:val="22"/>
                <w:szCs w:val="22"/>
              </w:rPr>
              <w:t xml:space="preserve">Apologize through an approved channel; expose the cancellation path.</w:t>
            </w:r>
          </w:p>
        </w:tc>
        <w:tc>
          <w:tcPr>
            <w:tcW w:type="dxa" w:w="3230"/>
            <w:tcMar>
              <w:top w:type="dxa" w:w="90"/>
              <w:left w:type="dxa" w:w="140"/>
              <w:bottom w:type="dxa" w:w="90"/>
              <w:right w:type="dxa" w:w="140"/>
            </w:tcMar>
          </w:tcPr>
          <w:p>
            <w:pPr>
              <w:spacing w:after="0" w:line="300"/>
            </w:pPr>
            <w:r>
              <w:rPr>
                <w:color w:val="141414"/>
                <w:sz w:val="22"/>
                <w:szCs w:val="22"/>
              </w:rPr>
              <w:t xml:space="preserve">Pause all new sales for that salon.</w:t>
            </w:r>
          </w:p>
        </w:tc>
      </w:tr>
      <w:tr>
        <w:trPr>
          <w:tblHeader w:val="false"/>
        </w:trPr>
        <w:tc>
          <w:tcPr>
            <w:tcW w:type="dxa" w:w="2300"/>
            <w:tcMar>
              <w:top w:type="dxa" w:w="90"/>
              <w:left w:type="dxa" w:w="140"/>
              <w:bottom w:type="dxa" w:w="90"/>
              <w:right w:type="dxa" w:w="140"/>
            </w:tcMar>
          </w:tcPr>
          <w:p>
            <w:pPr>
              <w:spacing w:after="0" w:line="300"/>
            </w:pPr>
            <w:r>
              <w:rPr>
                <w:color w:val="141414"/>
                <w:sz w:val="22"/>
                <w:szCs w:val="22"/>
              </w:rPr>
              <w:t xml:space="preserve">Redemption deadline approaches</w:t>
            </w:r>
          </w:p>
        </w:tc>
        <w:tc>
          <w:tcPr>
            <w:tcW w:type="dxa" w:w="3830"/>
            <w:tcMar>
              <w:top w:type="dxa" w:w="90"/>
              <w:left w:type="dxa" w:w="140"/>
              <w:bottom w:type="dxa" w:w="90"/>
              <w:right w:type="dxa" w:w="140"/>
            </w:tcMar>
          </w:tcPr>
          <w:p>
            <w:pPr>
              <w:spacing w:after="0" w:line="300"/>
            </w:pPr>
            <w:r>
              <w:rPr>
                <w:color w:val="141414"/>
                <w:sz w:val="22"/>
                <w:szCs w:val="22"/>
              </w:rPr>
              <w:t xml:space="preserve">Approved fulfillment reminder at the counsel-approved cadence.</w:t>
            </w:r>
          </w:p>
        </w:tc>
        <w:tc>
          <w:tcPr>
            <w:tcW w:type="dxa" w:w="3230"/>
            <w:tcMar>
              <w:top w:type="dxa" w:w="90"/>
              <w:left w:type="dxa" w:w="140"/>
              <w:bottom w:type="dxa" w:w="90"/>
              <w:right w:type="dxa" w:w="140"/>
            </w:tcMar>
          </w:tcPr>
          <w:p>
            <w:pPr>
              <w:spacing w:after="0" w:line="300"/>
            </w:pPr>
            <w:r>
              <w:rPr>
                <w:color w:val="141414"/>
                <w:sz w:val="22"/>
                <w:szCs w:val="22"/>
              </w:rPr>
              <w:t xml:space="preserve">No upsell. No automatic forfeiture.</w:t>
            </w:r>
          </w:p>
        </w:tc>
      </w:tr>
      <w:tr>
        <w:trPr>
          <w:tblHeader w:val="false"/>
        </w:trPr>
        <w:tc>
          <w:tcPr>
            <w:tcW w:type="dxa" w:w="2300"/>
            <w:tcMar>
              <w:top w:type="dxa" w:w="90"/>
              <w:left w:type="dxa" w:w="140"/>
              <w:bottom w:type="dxa" w:w="90"/>
              <w:right w:type="dxa" w:w="140"/>
            </w:tcMar>
          </w:tcPr>
          <w:p>
            <w:pPr>
              <w:spacing w:after="0" w:line="300"/>
            </w:pPr>
            <w:r>
              <w:rPr>
                <w:color w:val="141414"/>
                <w:sz w:val="22"/>
                <w:szCs w:val="22"/>
              </w:rPr>
              <w:t xml:space="preserve">Deadline reached unused</w:t>
            </w:r>
          </w:p>
        </w:tc>
        <w:tc>
          <w:tcPr>
            <w:tcW w:type="dxa" w:w="3830"/>
            <w:tcMar>
              <w:top w:type="dxa" w:w="90"/>
              <w:left w:type="dxa" w:w="140"/>
              <w:bottom w:type="dxa" w:w="90"/>
              <w:right w:type="dxa" w:w="140"/>
            </w:tcMar>
          </w:tcPr>
          <w:p>
            <w:pPr>
              <w:spacing w:after="0" w:line="300"/>
            </w:pPr>
            <w:r>
              <w:rPr>
                <w:color w:val="141414"/>
                <w:sz w:val="22"/>
                <w:szCs w:val="22"/>
              </w:rPr>
              <w:t xml:space="preserve">Move to REDEMPTION_DUE; require extension, refund or credit.</w:t>
            </w:r>
          </w:p>
        </w:tc>
        <w:tc>
          <w:tcPr>
            <w:tcW w:type="dxa" w:w="3230"/>
            <w:tcMar>
              <w:top w:type="dxa" w:w="90"/>
              <w:left w:type="dxa" w:w="140"/>
              <w:bottom w:type="dxa" w:w="90"/>
              <w:right w:type="dxa" w:w="140"/>
            </w:tcMar>
          </w:tcPr>
          <w:p>
            <w:pPr>
              <w:spacing w:after="0" w:line="300"/>
            </w:pPr>
            <w:r>
              <w:rPr>
                <w:color w:val="141414"/>
                <w:sz w:val="22"/>
                <w:szCs w:val="22"/>
              </w:rPr>
              <w:t xml:space="preserve">New sales stay paused while unresolved.</w:t>
            </w:r>
          </w:p>
        </w:tc>
      </w:tr>
      <w:tr>
        <w:trPr>
          <w:tblHeader w:val="false"/>
        </w:trPr>
        <w:tc>
          <w:tcPr>
            <w:tcW w:type="dxa" w:w="2300"/>
            <w:tcMar>
              <w:top w:type="dxa" w:w="90"/>
              <w:left w:type="dxa" w:w="140"/>
              <w:bottom w:type="dxa" w:w="90"/>
              <w:right w:type="dxa" w:w="140"/>
            </w:tcMar>
          </w:tcPr>
          <w:p>
            <w:pPr>
              <w:spacing w:after="0" w:line="300"/>
            </w:pPr>
            <w:r>
              <w:rPr>
                <w:color w:val="141414"/>
                <w:sz w:val="22"/>
                <w:szCs w:val="22"/>
              </w:rPr>
              <w:t xml:space="preserve">Cancellation or refund requested</w:t>
            </w:r>
          </w:p>
        </w:tc>
        <w:tc>
          <w:tcPr>
            <w:tcW w:type="dxa" w:w="3830"/>
            <w:tcMar>
              <w:top w:type="dxa" w:w="90"/>
              <w:left w:type="dxa" w:w="140"/>
              <w:bottom w:type="dxa" w:w="90"/>
              <w:right w:type="dxa" w:w="140"/>
            </w:tcMar>
          </w:tcPr>
          <w:p>
            <w:pPr>
              <w:spacing w:after="0" w:line="300"/>
            </w:pPr>
            <w:r>
              <w:rPr>
                <w:color w:val="141414"/>
                <w:sz w:val="22"/>
                <w:szCs w:val="22"/>
              </w:rPr>
              <w:t xml:space="preserve">Freeze redemption; route the authorized decision; show status.</w:t>
            </w:r>
          </w:p>
        </w:tc>
        <w:tc>
          <w:tcPr>
            <w:tcW w:type="dxa" w:w="3230"/>
            <w:tcMar>
              <w:top w:type="dxa" w:w="90"/>
              <w:left w:type="dxa" w:w="140"/>
              <w:bottom w:type="dxa" w:w="90"/>
              <w:right w:type="dxa" w:w="140"/>
            </w:tcMar>
          </w:tcPr>
          <w:p>
            <w:pPr>
              <w:spacing w:after="0" w:line="300"/>
            </w:pPr>
            <w:r>
              <w:rPr>
                <w:color w:val="141414"/>
                <w:sz w:val="22"/>
                <w:szCs w:val="22"/>
              </w:rPr>
              <w:t xml:space="preserve">No automated decision on disputed facts.</w:t>
            </w:r>
          </w:p>
        </w:tc>
      </w:tr>
      <w:tr>
        <w:trPr>
          <w:tblHeader w:val="false"/>
        </w:trPr>
        <w:tc>
          <w:tcPr>
            <w:tcW w:type="dxa" w:w="2300"/>
            <w:tcMar>
              <w:top w:type="dxa" w:w="90"/>
              <w:left w:type="dxa" w:w="140"/>
              <w:bottom w:type="dxa" w:w="90"/>
              <w:right w:type="dxa" w:w="140"/>
            </w:tcMar>
          </w:tcPr>
          <w:p>
            <w:pPr>
              <w:spacing w:after="0" w:line="300"/>
            </w:pPr>
            <w:r>
              <w:rPr>
                <w:color w:val="141414"/>
                <w:sz w:val="22"/>
                <w:szCs w:val="22"/>
              </w:rPr>
              <w:t xml:space="preserve">Booked appointment passes</w:t>
            </w:r>
          </w:p>
        </w:tc>
        <w:tc>
          <w:tcPr>
            <w:tcW w:type="dxa" w:w="3830"/>
            <w:tcMar>
              <w:top w:type="dxa" w:w="90"/>
              <w:left w:type="dxa" w:w="140"/>
              <w:bottom w:type="dxa" w:w="90"/>
              <w:right w:type="dxa" w:w="140"/>
            </w:tcMar>
          </w:tcPr>
          <w:p>
            <w:pPr>
              <w:spacing w:after="0" w:line="300"/>
            </w:pPr>
            <w:r>
              <w:rPr>
                <w:color w:val="141414"/>
                <w:sz w:val="22"/>
                <w:szCs w:val="22"/>
              </w:rPr>
              <w:t xml:space="preserve">Ask reception to mark redeemed, no-show, rescheduled or unresolved.</w:t>
            </w:r>
          </w:p>
        </w:tc>
        <w:tc>
          <w:tcPr>
            <w:tcW w:type="dxa" w:w="3230"/>
            <w:tcMar>
              <w:top w:type="dxa" w:w="90"/>
              <w:left w:type="dxa" w:w="140"/>
              <w:bottom w:type="dxa" w:w="90"/>
              <w:right w:type="dxa" w:w="140"/>
            </w:tcMar>
          </w:tcPr>
          <w:p>
            <w:pPr>
              <w:spacing w:after="0" w:line="300"/>
            </w:pPr>
            <w:r>
              <w:rPr>
                <w:color w:val="141414"/>
                <w:sz w:val="22"/>
                <w:szCs w:val="22"/>
              </w:rPr>
              <w:t xml:space="preserve">Stale state blocks that client’s repeat eligibility.</w:t>
            </w:r>
          </w:p>
        </w:tc>
      </w:tr>
    </w:tbl>
    <w:p>
      <w:pPr>
        <w:spacing w:after="60"/>
      </w:pPr>
    </w:p>
    <w:p>
      <w:pPr>
        <w:spacing w:after="160" w:line="360"/>
      </w:pPr>
      <w:r>
        <w:rPr>
          <w:b/>
          <w:bCs/>
          <w:color w:val="141414"/>
        </w:rPr>
        <w:t xml:space="preserve">Every paid obligation has an owner, a deadline, a last action and a next action. </w:t>
      </w:r>
      <w:r>
        <w:rPr>
          <w:color w:val="141414"/>
        </w:rPr>
        <w:t xml:space="preserve">Automation may reduce reception’s work. It may never hide it.</w:t>
      </w:r>
    </w:p>
    <w:p>
      <w:pPr>
        <w:pStyle w:val="Heading3"/>
        <w:spacing w:after="120" w:before="220"/>
      </w:pPr>
      <w:r>
        <w:rPr>
          <w:b/>
          <w:bCs/>
          <w:color w:val="141414"/>
        </w:rPr>
        <w:t xml:space="preserve">Cancellation and consumer rights</w:t>
      </w:r>
    </w:p>
    <w:p>
      <w:pPr>
        <w:spacing w:after="160" w:line="360"/>
      </w:pPr>
      <w:r>
        <w:rPr>
          <w:color w:val="141414"/>
        </w:rPr>
        <w:t xml:space="preserve">The offer page presents a clear cancellation channel in the same medium used to buy. Counsel approves the final terms, including Brazil’s generally applicable seven-day right of withdrawal for online purchases and anything that changes its application. A requested refund pauses redemption, routes to the salon, invokes the Asaas refund only after the authorized decision, reverses the split, updates voucher and statement, and confirms the result to the customer.</w:t>
      </w:r>
    </w:p>
    <w:p>
      <w:pPr>
        <w:spacing w:after="60"/>
      </w:pPr>
    </w:p>
    <w:p>
      <w:pPr>
        <w:pStyle w:val="Heading1"/>
        <w:spacing w:after="200" w:before="360"/>
      </w:pPr>
      <w:r>
        <w:rPr>
          <w:b/>
          <w:bCs/>
          <w:color w:val="0B4A36"/>
        </w:rPr>
        <w:t xml:space="preserve">§22 · Customer messaging cadence — deliberately thin</w:t>
      </w:r>
    </w:p>
    <w:tbl>
      <w:tblPr>
        <w:tblW w:type="dxa" w:w="9360"/>
        <w:tblBorders>
          <w:top w:val="single" w:color="1D6B4F" w:sz="8"/>
          <w:left w:val="none"/>
          <w:bottom w:val="single" w:color="1D6B4F" w:sz="8"/>
          <w:right w:val="none"/>
          <w:insideH w:val="single" w:color="C9D6D0" w:sz="4"/>
          <w:insideV w:val="single" w:color="C9D6D0" w:sz="4"/>
        </w:tblBorders>
      </w:tblPr>
      <w:tblGrid>
        <w:gridCol w:w="2300"/>
        <w:gridCol w:w="7060"/>
      </w:tblGrid>
      <w:tr>
        <w:trPr>
          <w:tblHeader/>
        </w:trPr>
        <w:tc>
          <w:tcPr>
            <w:tcW w:type="dxa" w:w="2300"/>
            <w:shd w:fill="0B4A36" w:val="clear"/>
            <w:tcMar>
              <w:top w:type="dxa" w:w="90"/>
              <w:left w:type="dxa" w:w="140"/>
              <w:bottom w:type="dxa" w:w="90"/>
              <w:right w:type="dxa" w:w="140"/>
            </w:tcMar>
          </w:tcPr>
          <w:p>
            <w:pPr>
              <w:spacing w:after="0" w:line="300"/>
            </w:pPr>
            <w:r>
              <w:rPr>
                <w:b/>
                <w:bCs/>
                <w:color w:val="FFFFFF"/>
                <w:sz w:val="22"/>
                <w:szCs w:val="22"/>
              </w:rPr>
              <w:t xml:space="preserve">Moment</w:t>
            </w:r>
          </w:p>
        </w:tc>
        <w:tc>
          <w:tcPr>
            <w:tcW w:type="dxa" w:w="7060"/>
            <w:shd w:fill="0B4A36" w:val="clear"/>
            <w:tcMar>
              <w:top w:type="dxa" w:w="90"/>
              <w:left w:type="dxa" w:w="140"/>
              <w:bottom w:type="dxa" w:w="90"/>
              <w:right w:type="dxa" w:w="140"/>
            </w:tcMar>
          </w:tcPr>
          <w:p>
            <w:pPr>
              <w:spacing w:after="0" w:line="300"/>
            </w:pPr>
            <w:r>
              <w:rPr>
                <w:b/>
                <w:bCs/>
                <w:color w:val="FFFFFF"/>
                <w:sz w:val="22"/>
                <w:szCs w:val="22"/>
              </w:rPr>
              <w:t xml:space="preserve">What Caixa does</w:t>
            </w:r>
          </w:p>
        </w:tc>
      </w:tr>
      <w:tr>
        <w:trPr>
          <w:tblHeader w:val="false"/>
        </w:trPr>
        <w:tc>
          <w:tcPr>
            <w:tcW w:type="dxa" w:w="2300"/>
            <w:tcMar>
              <w:top w:type="dxa" w:w="90"/>
              <w:left w:type="dxa" w:w="140"/>
              <w:bottom w:type="dxa" w:w="90"/>
              <w:right w:type="dxa" w:w="140"/>
            </w:tcMar>
          </w:tcPr>
          <w:p>
            <w:pPr>
              <w:spacing w:after="0" w:line="300"/>
            </w:pPr>
            <w:r>
              <w:rPr>
                <w:color w:val="141414"/>
                <w:sz w:val="22"/>
                <w:szCs w:val="22"/>
              </w:rPr>
              <w:t xml:space="preserve">T0</w:t>
            </w:r>
          </w:p>
        </w:tc>
        <w:tc>
          <w:tcPr>
            <w:tcW w:type="dxa" w:w="7060"/>
            <w:tcMar>
              <w:top w:type="dxa" w:w="90"/>
              <w:left w:type="dxa" w:w="140"/>
              <w:bottom w:type="dxa" w:w="90"/>
              <w:right w:type="dxa" w:w="140"/>
            </w:tcMar>
          </w:tcPr>
          <w:p>
            <w:pPr>
              <w:spacing w:after="0" w:line="300"/>
            </w:pPr>
            <w:r>
              <w:rPr>
                <w:color w:val="141414"/>
                <w:sz w:val="22"/>
                <w:szCs w:val="22"/>
              </w:rPr>
              <w:t xml:space="preserve">One owner-approved marketing template. Three paths: Ver oferta · Falar com o salão · a visible way to stop messages.</w:t>
            </w:r>
          </w:p>
        </w:tc>
      </w:tr>
      <w:tr>
        <w:trPr>
          <w:tblHeader w:val="false"/>
        </w:trPr>
        <w:tc>
          <w:tcPr>
            <w:tcW w:type="dxa" w:w="2300"/>
            <w:tcMar>
              <w:top w:type="dxa" w:w="90"/>
              <w:left w:type="dxa" w:w="140"/>
              <w:bottom w:type="dxa" w:w="90"/>
              <w:right w:type="dxa" w:w="140"/>
            </w:tcMar>
          </w:tcPr>
          <w:p>
            <w:pPr>
              <w:spacing w:after="0" w:line="300"/>
            </w:pPr>
            <w:r>
              <w:rPr>
                <w:color w:val="141414"/>
                <w:sz w:val="22"/>
                <w:szCs w:val="22"/>
              </w:rPr>
              <w:t xml:space="preserve">Customer replies</w:t>
            </w:r>
          </w:p>
        </w:tc>
        <w:tc>
          <w:tcPr>
            <w:tcW w:type="dxa" w:w="7060"/>
            <w:tcMar>
              <w:top w:type="dxa" w:w="90"/>
              <w:left w:type="dxa" w:w="140"/>
              <w:bottom w:type="dxa" w:w="90"/>
              <w:right w:type="dxa" w:w="140"/>
            </w:tcMar>
          </w:tcPr>
          <w:p>
            <w:pPr>
              <w:spacing w:after="0" w:line="300"/>
            </w:pPr>
            <w:r>
              <w:rPr>
                <w:color w:val="141414"/>
                <w:sz w:val="22"/>
                <w:szCs w:val="22"/>
              </w:rPr>
              <w:t xml:space="preserve">Nothing automated. The thread is the salon’s, answered by reception in her own app.</w:t>
            </w:r>
          </w:p>
        </w:tc>
      </w:tr>
      <w:tr>
        <w:trPr>
          <w:tblHeader w:val="false"/>
        </w:trPr>
        <w:tc>
          <w:tcPr>
            <w:tcW w:type="dxa" w:w="2300"/>
            <w:tcMar>
              <w:top w:type="dxa" w:w="90"/>
              <w:left w:type="dxa" w:w="140"/>
              <w:bottom w:type="dxa" w:w="90"/>
              <w:right w:type="dxa" w:w="140"/>
            </w:tcMar>
          </w:tcPr>
          <w:p>
            <w:pPr>
              <w:spacing w:after="0" w:line="300"/>
            </w:pPr>
            <w:r>
              <w:rPr>
                <w:color w:val="141414"/>
                <w:sz w:val="22"/>
                <w:szCs w:val="22"/>
              </w:rPr>
              <w:t xml:space="preserve">No reply, no click</w:t>
            </w:r>
          </w:p>
        </w:tc>
        <w:tc>
          <w:tcPr>
            <w:tcW w:type="dxa" w:w="7060"/>
            <w:tcMar>
              <w:top w:type="dxa" w:w="90"/>
              <w:left w:type="dxa" w:w="140"/>
              <w:bottom w:type="dxa" w:w="90"/>
              <w:right w:type="dxa" w:w="140"/>
            </w:tcMar>
          </w:tcPr>
          <w:p>
            <w:pPr>
              <w:spacing w:after="0" w:line="300"/>
            </w:pPr>
            <w:r>
              <w:rPr>
                <w:color w:val="141414"/>
                <w:sz w:val="22"/>
                <w:szCs w:val="22"/>
              </w:rPr>
              <w:t xml:space="preserve">Stop. No second marketing touch at launch — not to nonresponders, not "just one reminder."</w:t>
            </w:r>
          </w:p>
        </w:tc>
      </w:tr>
      <w:tr>
        <w:trPr>
          <w:tblHeader w:val="false"/>
        </w:trPr>
        <w:tc>
          <w:tcPr>
            <w:tcW w:type="dxa" w:w="2300"/>
            <w:tcMar>
              <w:top w:type="dxa" w:w="90"/>
              <w:left w:type="dxa" w:w="140"/>
              <w:bottom w:type="dxa" w:w="90"/>
              <w:right w:type="dxa" w:w="140"/>
            </w:tcMar>
          </w:tcPr>
          <w:p>
            <w:pPr>
              <w:spacing w:after="0" w:line="300"/>
            </w:pPr>
            <w:r>
              <w:rPr>
                <w:color w:val="141414"/>
                <w:sz w:val="22"/>
                <w:szCs w:val="22"/>
              </w:rPr>
              <w:t xml:space="preserve">Clicked, no checkout</w:t>
            </w:r>
          </w:p>
        </w:tc>
        <w:tc>
          <w:tcPr>
            <w:tcW w:type="dxa" w:w="7060"/>
            <w:tcMar>
              <w:top w:type="dxa" w:w="90"/>
              <w:left w:type="dxa" w:w="140"/>
              <w:bottom w:type="dxa" w:w="90"/>
              <w:right w:type="dxa" w:w="140"/>
            </w:tcMar>
          </w:tcPr>
          <w:p>
            <w:pPr>
              <w:spacing w:after="0" w:line="300"/>
            </w:pPr>
            <w:r>
              <w:rPr>
                <w:color w:val="141414"/>
                <w:sz w:val="22"/>
                <w:szCs w:val="22"/>
              </w:rPr>
              <w:t xml:space="preserve">Recover on the webpage, never with an unsolicited chat.</w:t>
            </w:r>
          </w:p>
        </w:tc>
      </w:tr>
      <w:tr>
        <w:trPr>
          <w:tblHeader w:val="false"/>
        </w:trPr>
        <w:tc>
          <w:tcPr>
            <w:tcW w:type="dxa" w:w="2300"/>
            <w:tcMar>
              <w:top w:type="dxa" w:w="90"/>
              <w:left w:type="dxa" w:w="140"/>
              <w:bottom w:type="dxa" w:w="90"/>
              <w:right w:type="dxa" w:w="140"/>
            </w:tcMar>
          </w:tcPr>
          <w:p>
            <w:pPr>
              <w:spacing w:after="0" w:line="300"/>
            </w:pPr>
            <w:r>
              <w:rPr>
                <w:color w:val="141414"/>
                <w:sz w:val="22"/>
                <w:szCs w:val="22"/>
              </w:rPr>
              <w:t xml:space="preserve">Checkout active, unpaid</w:t>
            </w:r>
          </w:p>
        </w:tc>
        <w:tc>
          <w:tcPr>
            <w:tcW w:type="dxa" w:w="7060"/>
            <w:tcMar>
              <w:top w:type="dxa" w:w="90"/>
              <w:left w:type="dxa" w:w="140"/>
              <w:bottom w:type="dxa" w:w="90"/>
              <w:right w:type="dxa" w:w="140"/>
            </w:tcMar>
          </w:tcPr>
          <w:p>
            <w:pPr>
              <w:spacing w:after="0" w:line="300"/>
            </w:pPr>
            <w:r>
              <w:rPr>
                <w:color w:val="141414"/>
                <w:sz w:val="22"/>
                <w:szCs w:val="22"/>
              </w:rPr>
              <w:t xml:space="preserve">No WhatsApp chase at launch.</w:t>
            </w:r>
          </w:p>
        </w:tc>
      </w:tr>
      <w:tr>
        <w:trPr>
          <w:tblHeader w:val="false"/>
        </w:trPr>
        <w:tc>
          <w:tcPr>
            <w:tcW w:type="dxa" w:w="2300"/>
            <w:tcMar>
              <w:top w:type="dxa" w:w="90"/>
              <w:left w:type="dxa" w:w="140"/>
              <w:bottom w:type="dxa" w:w="90"/>
              <w:right w:type="dxa" w:w="140"/>
            </w:tcMar>
          </w:tcPr>
          <w:p>
            <w:pPr>
              <w:spacing w:after="0" w:line="300"/>
            </w:pPr>
            <w:r>
              <w:rPr>
                <w:color w:val="141414"/>
                <w:sz w:val="22"/>
                <w:szCs w:val="22"/>
              </w:rPr>
              <w:t xml:space="preserve">Settled</w:t>
            </w:r>
          </w:p>
        </w:tc>
        <w:tc>
          <w:tcPr>
            <w:tcW w:type="dxa" w:w="7060"/>
            <w:tcMar>
              <w:top w:type="dxa" w:w="90"/>
              <w:left w:type="dxa" w:w="140"/>
              <w:bottom w:type="dxa" w:w="90"/>
              <w:right w:type="dxa" w:w="140"/>
            </w:tcMar>
          </w:tcPr>
          <w:p>
            <w:pPr>
              <w:spacing w:after="0" w:line="300"/>
            </w:pPr>
            <w:r>
              <w:rPr>
                <w:color w:val="141414"/>
                <w:sz w:val="22"/>
                <w:szCs w:val="22"/>
              </w:rPr>
              <w:t xml:space="preserve">Success state plus approved confirmation.</w:t>
            </w:r>
          </w:p>
        </w:tc>
      </w:tr>
      <w:tr>
        <w:trPr>
          <w:tblHeader w:val="false"/>
        </w:trPr>
        <w:tc>
          <w:tcPr>
            <w:tcW w:type="dxa" w:w="2300"/>
            <w:tcMar>
              <w:top w:type="dxa" w:w="90"/>
              <w:left w:type="dxa" w:w="140"/>
              <w:bottom w:type="dxa" w:w="90"/>
              <w:right w:type="dxa" w:w="140"/>
            </w:tcMar>
          </w:tcPr>
          <w:p>
            <w:pPr>
              <w:spacing w:after="0" w:line="300"/>
            </w:pPr>
            <w:r>
              <w:rPr>
                <w:color w:val="141414"/>
                <w:sz w:val="22"/>
                <w:szCs w:val="22"/>
              </w:rPr>
              <w:t xml:space="preserve">Paid but unbooked</w:t>
            </w:r>
          </w:p>
        </w:tc>
        <w:tc>
          <w:tcPr>
            <w:tcW w:type="dxa" w:w="7060"/>
            <w:tcMar>
              <w:top w:type="dxa" w:w="90"/>
              <w:left w:type="dxa" w:w="140"/>
              <w:bottom w:type="dxa" w:w="90"/>
              <w:right w:type="dxa" w:w="140"/>
            </w:tcMar>
          </w:tcPr>
          <w:p>
            <w:pPr>
              <w:spacing w:after="0" w:line="300"/>
            </w:pPr>
            <w:r>
              <w:rPr>
                <w:color w:val="141414"/>
                <w:sz w:val="22"/>
                <w:szCs w:val="22"/>
              </w:rPr>
              <w:t xml:space="preserve">Bounded utility follow-up and a reception task until booked or lawfully resolved.</w:t>
            </w:r>
          </w:p>
        </w:tc>
      </w:tr>
      <w:tr>
        <w:trPr>
          <w:tblHeader w:val="false"/>
        </w:trPr>
        <w:tc>
          <w:tcPr>
            <w:tcW w:type="dxa" w:w="2300"/>
            <w:tcMar>
              <w:top w:type="dxa" w:w="90"/>
              <w:left w:type="dxa" w:w="140"/>
              <w:bottom w:type="dxa" w:w="90"/>
              <w:right w:type="dxa" w:w="140"/>
            </w:tcMar>
          </w:tcPr>
          <w:p>
            <w:pPr>
              <w:spacing w:after="0" w:line="300"/>
            </w:pPr>
            <w:r>
              <w:rPr>
                <w:color w:val="141414"/>
                <w:sz w:val="22"/>
                <w:szCs w:val="22"/>
              </w:rPr>
              <w:t xml:space="preserve">Opt-out, complaint, or anything sensitive</w:t>
            </w:r>
          </w:p>
        </w:tc>
        <w:tc>
          <w:tcPr>
            <w:tcW w:type="dxa" w:w="7060"/>
            <w:tcMar>
              <w:top w:type="dxa" w:w="90"/>
              <w:left w:type="dxa" w:w="140"/>
              <w:bottom w:type="dxa" w:w="90"/>
              <w:right w:type="dxa" w:w="140"/>
            </w:tcMar>
          </w:tcPr>
          <w:p>
            <w:pPr>
              <w:spacing w:after="0" w:line="300"/>
            </w:pPr>
            <w:r>
              <w:rPr>
                <w:color w:val="141414"/>
                <w:sz w:val="22"/>
                <w:szCs w:val="22"/>
              </w:rPr>
              <w:t xml:space="preserve">Immediate suppression or hard handoff. Automation stops.</w:t>
            </w:r>
          </w:p>
        </w:tc>
      </w:tr>
      <w:tr>
        <w:trPr>
          <w:tblHeader w:val="false"/>
        </w:trPr>
        <w:tc>
          <w:tcPr>
            <w:tcW w:type="dxa" w:w="2300"/>
            <w:tcMar>
              <w:top w:type="dxa" w:w="90"/>
              <w:left w:type="dxa" w:w="140"/>
              <w:bottom w:type="dxa" w:w="90"/>
              <w:right w:type="dxa" w:w="140"/>
            </w:tcMar>
          </w:tcPr>
          <w:p>
            <w:pPr>
              <w:spacing w:after="0" w:line="300"/>
            </w:pPr>
            <w:r>
              <w:rPr>
                <w:color w:val="141414"/>
                <w:sz w:val="22"/>
                <w:szCs w:val="22"/>
              </w:rPr>
              <w:t xml:space="preserve">Paid</w:t>
            </w:r>
          </w:p>
        </w:tc>
        <w:tc>
          <w:tcPr>
            <w:tcW w:type="dxa" w:w="7060"/>
            <w:tcMar>
              <w:top w:type="dxa" w:w="90"/>
              <w:left w:type="dxa" w:w="140"/>
              <w:bottom w:type="dxa" w:w="90"/>
              <w:right w:type="dxa" w:w="140"/>
            </w:tcMar>
          </w:tcPr>
          <w:p>
            <w:pPr>
              <w:spacing w:after="0" w:line="300"/>
            </w:pPr>
            <w:r>
              <w:rPr>
                <w:color w:val="141414"/>
                <w:sz w:val="22"/>
                <w:szCs w:val="22"/>
              </w:rPr>
              <w:t xml:space="preserve">No automated upsell. Ever.</w:t>
            </w:r>
          </w:p>
        </w:tc>
      </w:tr>
    </w:tbl>
    <w:p>
      <w:pPr>
        <w:spacing w:after="60"/>
      </w:pPr>
    </w:p>
    <w:p>
      <w:pPr>
        <w:spacing w:after="160" w:line="360"/>
      </w:pPr>
      <w:r>
        <w:rPr>
          <w:color w:val="141414"/>
        </w:rPr>
        <w:t xml:space="preserve">This is not blast-and-pass — the system stays present wherever real intent exists. But it manufactures no unsolicited touch beyond the one the owner authorized, which is the only reason the salon’s number stays healthy.</w:t>
      </w:r>
    </w:p>
    <w:p>
      <w:r>
        <w:br w:type="page"/>
      </w:r>
    </w:p>
    <w:tbl>
      <w:tblPr>
        <w:tblW w:type="dxa" w:w="9360"/>
        <w:tblBorders>
          <w:top w:val="none"/>
          <w:left w:val="none"/>
          <w:bottom w:val="none"/>
          <w:right w:val="none"/>
          <w:insideH w:val="none"/>
          <w:insideV w:val="none"/>
        </w:tblBorders>
      </w:tblPr>
      <w:tblGrid>
        <w:gridCol w:w="9360"/>
      </w:tblGrid>
      <w:tr>
        <w:tc>
          <w:tcPr>
            <w:tcW w:type="dxa" w:w="9360"/>
            <w:shd w:fill="0B4A36" w:val="clear"/>
            <w:tcMar>
              <w:top w:type="dxa" w:w="260"/>
              <w:left w:type="dxa" w:w="300"/>
              <w:bottom w:type="dxa" w:w="260"/>
              <w:right w:type="dxa" w:w="300"/>
            </w:tcMar>
          </w:tcPr>
          <w:p>
            <w:pPr>
              <w:spacing w:after="80"/>
            </w:pPr>
            <w:r>
              <w:rPr>
                <w:b/>
                <w:bCs/>
                <w:caps/>
                <w:color w:val="BFE3D3"/>
                <w:sz w:val="22"/>
                <w:szCs w:val="22"/>
              </w:rPr>
              <w:t xml:space="preserve">Part V</w:t>
            </w:r>
          </w:p>
          <w:p>
            <w:pPr>
              <w:spacing w:after="0"/>
            </w:pPr>
            <w:r>
              <w:rPr>
                <w:b/>
                <w:bCs/>
                <w:color w:val="FFFFFF"/>
                <w:sz w:val="40"/>
                <w:szCs w:val="40"/>
              </w:rPr>
              <w:t xml:space="preserve">Architecture, privacy, security</w:t>
            </w:r>
          </w:p>
        </w:tc>
      </w:tr>
    </w:tbl>
    <w:p>
      <w:pPr>
        <w:spacing w:after="60"/>
      </w:pPr>
    </w:p>
    <w:p>
      <w:pPr>
        <w:pStyle w:val="Heading1"/>
        <w:spacing w:after="200" w:before="360"/>
      </w:pPr>
      <w:r>
        <w:rPr>
          <w:b/>
          <w:bCs/>
          <w:color w:val="0B4A36"/>
        </w:rPr>
        <w:t xml:space="preserve">§23 · Shape</w:t>
      </w:r>
    </w:p>
    <w:p>
      <w:pPr>
        <w:spacing w:after="160" w:line="360"/>
      </w:pPr>
      <w:r>
        <w:rPr>
          <w:color w:val="141414"/>
        </w:rPr>
        <w:t xml:space="preserve">One repository, one modular application. KISS is not the same as one fragile machine, and it is not microservices either — no service split until a measured bottleneck demands one.</w:t>
      </w:r>
    </w:p>
    <w:p>
      <w:pPr>
        <w:pStyle w:val="ListParagraph"/>
        <w:numPr>
          <w:ilvl w:val="0"/>
          <w:numId w:val="2"/>
        </w:numPr>
        <w:spacing w:after="100" w:line="340"/>
      </w:pPr>
      <w:r>
        <w:rPr>
          <w:color w:val="141414"/>
        </w:rPr>
        <w:t xml:space="preserve">One FastAPI modular monolith.</w:t>
      </w:r>
    </w:p>
    <w:p>
      <w:pPr>
        <w:pStyle w:val="ListParagraph"/>
        <w:numPr>
          <w:ilvl w:val="0"/>
          <w:numId w:val="2"/>
        </w:numPr>
        <w:spacing w:after="100" w:line="340"/>
      </w:pPr>
      <w:r>
        <w:rPr>
          <w:color w:val="141414"/>
        </w:rPr>
        <w:t xml:space="preserve">Managed Postgres with tenant isolation enforced in both database and application layers.</w:t>
      </w:r>
    </w:p>
    <w:p>
      <w:pPr>
        <w:pStyle w:val="ListParagraph"/>
        <w:numPr>
          <w:ilvl w:val="0"/>
          <w:numId w:val="2"/>
        </w:numPr>
        <w:spacing w:after="100" w:line="340"/>
      </w:pPr>
      <w:r>
        <w:rPr>
          <w:color w:val="141414"/>
        </w:rPr>
        <w:t xml:space="preserve">Managed queue and outbox workers — the outbox is what makes "sent exactly once, recorded exactly once" true under retry.</w:t>
      </w:r>
    </w:p>
    <w:p>
      <w:pPr>
        <w:pStyle w:val="ListParagraph"/>
        <w:numPr>
          <w:ilvl w:val="0"/>
          <w:numId w:val="2"/>
        </w:numPr>
        <w:spacing w:after="100" w:line="340"/>
      </w:pPr>
      <w:r>
        <w:rPr>
          <w:color w:val="141414"/>
        </w:rPr>
        <w:t xml:space="preserve">Encrypted object storage for short-lived source files.</w:t>
      </w:r>
    </w:p>
    <w:p>
      <w:pPr>
        <w:pStyle w:val="ListParagraph"/>
        <w:numPr>
          <w:ilvl w:val="0"/>
          <w:numId w:val="2"/>
        </w:numPr>
        <w:spacing w:after="100" w:line="340"/>
      </w:pPr>
      <w:r>
        <w:rPr>
          <w:color w:val="141414"/>
        </w:rPr>
        <w:t xml:space="preserve">Managed secret vault / KMS.</w:t>
      </w:r>
    </w:p>
    <w:p>
      <w:pPr>
        <w:pStyle w:val="ListParagraph"/>
        <w:numPr>
          <w:ilvl w:val="0"/>
          <w:numId w:val="2"/>
        </w:numPr>
        <w:spacing w:after="100" w:line="340"/>
      </w:pPr>
      <w:r>
        <w:rPr>
          <w:color w:val="141414"/>
        </w:rPr>
        <w:t xml:space="preserve">One owner portal, one internal console, one public offer surface.</w:t>
      </w:r>
    </w:p>
    <w:p>
      <w:pPr>
        <w:pStyle w:val="ListParagraph"/>
        <w:numPr>
          <w:ilvl w:val="0"/>
          <w:numId w:val="2"/>
        </w:numPr>
        <w:spacing w:after="100" w:line="340"/>
      </w:pPr>
      <w:r>
        <w:rPr>
          <w:color w:val="141414"/>
        </w:rPr>
        <w:t xml:space="preserve">One approved BSP integration; Asaas and Trinks behind versioned adapter interfaces.</w:t>
      </w:r>
    </w:p>
    <w:p>
      <w:pPr>
        <w:spacing w:after="60"/>
      </w:pPr>
    </w:p>
    <w:p>
      <w:pPr>
        <w:pStyle w:val="Heading1"/>
        <w:spacing w:after="200" w:before="360"/>
      </w:pPr>
      <w:r>
        <w:rPr>
          <w:b/>
          <w:bCs/>
          <w:color w:val="0B4A36"/>
        </w:rPr>
        <w:t xml:space="preserve">§24 · Modules</w:t>
      </w:r>
    </w:p>
    <w:tbl>
      <w:tblPr>
        <w:tblW w:type="dxa" w:w="9360"/>
        <w:tblBorders>
          <w:top w:val="single" w:color="1D6B4F" w:sz="8"/>
          <w:left w:val="none"/>
          <w:bottom w:val="single" w:color="1D6B4F" w:sz="8"/>
          <w:right w:val="none"/>
          <w:insideH w:val="single" w:color="C9D6D0" w:sz="4"/>
          <w:insideV w:val="single" w:color="C9D6D0" w:sz="4"/>
        </w:tblBorders>
      </w:tblPr>
      <w:tblGrid>
        <w:gridCol w:w="2400"/>
        <w:gridCol w:w="6960"/>
      </w:tblGrid>
      <w:tr>
        <w:trPr>
          <w:tblHeader/>
        </w:trPr>
        <w:tc>
          <w:tcPr>
            <w:tcW w:type="dxa" w:w="2400"/>
            <w:shd w:fill="0B4A36" w:val="clear"/>
            <w:tcMar>
              <w:top w:type="dxa" w:w="90"/>
              <w:left w:type="dxa" w:w="140"/>
              <w:bottom w:type="dxa" w:w="90"/>
              <w:right w:type="dxa" w:w="140"/>
            </w:tcMar>
          </w:tcPr>
          <w:p>
            <w:pPr>
              <w:spacing w:after="0" w:line="300"/>
            </w:pPr>
            <w:r>
              <w:rPr>
                <w:b/>
                <w:bCs/>
                <w:color w:val="FFFFFF"/>
                <w:sz w:val="22"/>
                <w:szCs w:val="22"/>
              </w:rPr>
              <w:t xml:space="preserve">Module</w:t>
            </w:r>
          </w:p>
        </w:tc>
        <w:tc>
          <w:tcPr>
            <w:tcW w:type="dxa" w:w="6960"/>
            <w:shd w:fill="0B4A36" w:val="clear"/>
            <w:tcMar>
              <w:top w:type="dxa" w:w="90"/>
              <w:left w:type="dxa" w:w="140"/>
              <w:bottom w:type="dxa" w:w="90"/>
              <w:right w:type="dxa" w:w="140"/>
            </w:tcMar>
          </w:tcPr>
          <w:p>
            <w:pPr>
              <w:spacing w:after="0" w:line="300"/>
            </w:pPr>
            <w:r>
              <w:rPr>
                <w:b/>
                <w:bCs/>
                <w:color w:val="FFFFFF"/>
                <w:sz w:val="22"/>
                <w:szCs w:val="22"/>
              </w:rPr>
              <w:t xml:space="preserve">Responsibility</w:t>
            </w:r>
          </w:p>
        </w:tc>
      </w:tr>
      <w:tr>
        <w:trPr>
          <w:tblHeader w:val="false"/>
        </w:trPr>
        <w:tc>
          <w:tcPr>
            <w:tcW w:type="dxa" w:w="2400"/>
            <w:tcMar>
              <w:top w:type="dxa" w:w="90"/>
              <w:left w:type="dxa" w:w="140"/>
              <w:bottom w:type="dxa" w:w="90"/>
              <w:right w:type="dxa" w:w="140"/>
            </w:tcMar>
          </w:tcPr>
          <w:p>
            <w:pPr>
              <w:spacing w:after="0" w:line="300"/>
            </w:pPr>
            <w:r>
              <w:rPr>
                <w:color w:val="141414"/>
                <w:sz w:val="22"/>
                <w:szCs w:val="22"/>
              </w:rPr>
              <w:t xml:space="preserve">Identity and tenant</w:t>
            </w:r>
          </w:p>
        </w:tc>
        <w:tc>
          <w:tcPr>
            <w:tcW w:type="dxa" w:w="6960"/>
            <w:tcMar>
              <w:top w:type="dxa" w:w="90"/>
              <w:left w:type="dxa" w:w="140"/>
              <w:bottom w:type="dxa" w:w="90"/>
              <w:right w:type="dxa" w:w="140"/>
            </w:tcMar>
          </w:tcPr>
          <w:p>
            <w:pPr>
              <w:spacing w:after="0" w:line="300"/>
            </w:pPr>
            <w:r>
              <w:rPr>
                <w:color w:val="141414"/>
                <w:sz w:val="22"/>
                <w:szCs w:val="22"/>
              </w:rPr>
              <w:t xml:space="preserve">CNPJ, users, roles, magic links, MFA, authorization.</w:t>
            </w:r>
          </w:p>
        </w:tc>
      </w:tr>
      <w:tr>
        <w:trPr>
          <w:tblHeader w:val="false"/>
        </w:trPr>
        <w:tc>
          <w:tcPr>
            <w:tcW w:type="dxa" w:w="2400"/>
            <w:tcMar>
              <w:top w:type="dxa" w:w="90"/>
              <w:left w:type="dxa" w:w="140"/>
              <w:bottom w:type="dxa" w:w="90"/>
              <w:right w:type="dxa" w:w="140"/>
            </w:tcMar>
          </w:tcPr>
          <w:p>
            <w:pPr>
              <w:spacing w:after="0" w:line="300"/>
            </w:pPr>
            <w:r>
              <w:rPr>
                <w:color w:val="141414"/>
                <w:sz w:val="22"/>
                <w:szCs w:val="22"/>
              </w:rPr>
              <w:t xml:space="preserve">Owner lifecycle</w:t>
            </w:r>
          </w:p>
        </w:tc>
        <w:tc>
          <w:tcPr>
            <w:tcW w:type="dxa" w:w="6960"/>
            <w:tcMar>
              <w:top w:type="dxa" w:w="90"/>
              <w:left w:type="dxa" w:w="140"/>
              <w:bottom w:type="dxa" w:w="90"/>
              <w:right w:type="dxa" w:w="140"/>
            </w:tcMar>
          </w:tcPr>
          <w:p>
            <w:pPr>
              <w:spacing w:after="0" w:line="300"/>
            </w:pPr>
            <w:r>
              <w:rPr>
                <w:color w:val="141414"/>
                <w:sz w:val="22"/>
                <w:szCs w:val="22"/>
              </w:rPr>
              <w:t xml:space="preserve">Activation board, tasks, nudges, termination.</w:t>
            </w:r>
          </w:p>
        </w:tc>
      </w:tr>
      <w:tr>
        <w:trPr>
          <w:tblHeader w:val="false"/>
        </w:trPr>
        <w:tc>
          <w:tcPr>
            <w:tcW w:type="dxa" w:w="2400"/>
            <w:tcMar>
              <w:top w:type="dxa" w:w="90"/>
              <w:left w:type="dxa" w:w="140"/>
              <w:bottom w:type="dxa" w:w="90"/>
              <w:right w:type="dxa" w:w="140"/>
            </w:tcMar>
          </w:tcPr>
          <w:p>
            <w:pPr>
              <w:spacing w:after="0" w:line="300"/>
            </w:pPr>
            <w:r>
              <w:rPr>
                <w:color w:val="141414"/>
                <w:sz w:val="22"/>
                <w:szCs w:val="22"/>
              </w:rPr>
              <w:t xml:space="preserve">Source intake</w:t>
            </w:r>
          </w:p>
        </w:tc>
        <w:tc>
          <w:tcPr>
            <w:tcW w:type="dxa" w:w="6960"/>
            <w:tcMar>
              <w:top w:type="dxa" w:w="90"/>
              <w:left w:type="dxa" w:w="140"/>
              <w:bottom w:type="dxa" w:w="90"/>
              <w:right w:type="dxa" w:w="140"/>
            </w:tcMar>
          </w:tcPr>
          <w:p>
            <w:pPr>
              <w:spacing w:after="0" w:line="300"/>
            </w:pPr>
            <w:r>
              <w:rPr>
                <w:color w:val="141414"/>
                <w:sz w:val="22"/>
                <w:szCs w:val="22"/>
              </w:rPr>
              <w:t xml:space="preserve">Upload, validation, provenance, normalization, deletion.</w:t>
            </w:r>
          </w:p>
        </w:tc>
      </w:tr>
      <w:tr>
        <w:trPr>
          <w:tblHeader w:val="false"/>
        </w:trPr>
        <w:tc>
          <w:tcPr>
            <w:tcW w:type="dxa" w:w="2400"/>
            <w:tcMar>
              <w:top w:type="dxa" w:w="90"/>
              <w:left w:type="dxa" w:w="140"/>
              <w:bottom w:type="dxa" w:w="90"/>
              <w:right w:type="dxa" w:w="140"/>
            </w:tcMar>
          </w:tcPr>
          <w:p>
            <w:pPr>
              <w:spacing w:after="0" w:line="300"/>
            </w:pPr>
            <w:r>
              <w:rPr>
                <w:color w:val="141414"/>
                <w:sz w:val="22"/>
                <w:szCs w:val="22"/>
              </w:rPr>
              <w:t xml:space="preserve">Consent and suppression</w:t>
            </w:r>
          </w:p>
        </w:tc>
        <w:tc>
          <w:tcPr>
            <w:tcW w:type="dxa" w:w="6960"/>
            <w:tcMar>
              <w:top w:type="dxa" w:w="90"/>
              <w:left w:type="dxa" w:w="140"/>
              <w:bottom w:type="dxa" w:w="90"/>
              <w:right w:type="dxa" w:w="140"/>
            </w:tcMar>
          </w:tcPr>
          <w:p>
            <w:pPr>
              <w:spacing w:after="0" w:line="300"/>
            </w:pPr>
            <w:r>
              <w:rPr>
                <w:color w:val="141414"/>
                <w:sz w:val="22"/>
                <w:szCs w:val="22"/>
              </w:rPr>
              <w:t xml:space="preserve">Evidence, withdrawal, re-opt-in, three-point enforcement.</w:t>
            </w:r>
          </w:p>
        </w:tc>
      </w:tr>
      <w:tr>
        <w:trPr>
          <w:tblHeader w:val="false"/>
        </w:trPr>
        <w:tc>
          <w:tcPr>
            <w:tcW w:type="dxa" w:w="2400"/>
            <w:tcMar>
              <w:top w:type="dxa" w:w="90"/>
              <w:left w:type="dxa" w:w="140"/>
              <w:bottom w:type="dxa" w:w="90"/>
              <w:right w:type="dxa" w:w="140"/>
            </w:tcMar>
          </w:tcPr>
          <w:p>
            <w:pPr>
              <w:spacing w:after="0" w:line="300"/>
            </w:pPr>
            <w:r>
              <w:rPr>
                <w:color w:val="141414"/>
                <w:sz w:val="22"/>
                <w:szCs w:val="22"/>
              </w:rPr>
              <w:t xml:space="preserve">Eligibility</w:t>
            </w:r>
          </w:p>
        </w:tc>
        <w:tc>
          <w:tcPr>
            <w:tcW w:type="dxa" w:w="6960"/>
            <w:tcMar>
              <w:top w:type="dxa" w:w="90"/>
              <w:left w:type="dxa" w:w="140"/>
              <w:bottom w:type="dxa" w:w="90"/>
              <w:right w:type="dxa" w:w="140"/>
            </w:tcMar>
          </w:tcPr>
          <w:p>
            <w:pPr>
              <w:spacing w:after="0" w:line="300"/>
            </w:pPr>
            <w:r>
              <w:rPr>
                <w:color w:val="141414"/>
                <w:sz w:val="22"/>
                <w:szCs w:val="22"/>
              </w:rPr>
              <w:t xml:space="preserve">Lapse, exclusions, freshness, and an explicit fail-closed reason per excluded row.</w:t>
            </w:r>
          </w:p>
        </w:tc>
      </w:tr>
      <w:tr>
        <w:trPr>
          <w:tblHeader w:val="false"/>
        </w:trPr>
        <w:tc>
          <w:tcPr>
            <w:tcW w:type="dxa" w:w="2400"/>
            <w:tcMar>
              <w:top w:type="dxa" w:w="90"/>
              <w:left w:type="dxa" w:w="140"/>
              <w:bottom w:type="dxa" w:w="90"/>
              <w:right w:type="dxa" w:w="140"/>
            </w:tcMar>
          </w:tcPr>
          <w:p>
            <w:pPr>
              <w:spacing w:after="0" w:line="300"/>
            </w:pPr>
            <w:r>
              <w:rPr>
                <w:color w:val="141414"/>
                <w:sz w:val="22"/>
                <w:szCs w:val="22"/>
              </w:rPr>
              <w:t xml:space="preserve">Offer and inventory</w:t>
            </w:r>
          </w:p>
        </w:tc>
        <w:tc>
          <w:tcPr>
            <w:tcW w:type="dxa" w:w="6960"/>
            <w:tcMar>
              <w:top w:type="dxa" w:w="90"/>
              <w:left w:type="dxa" w:w="140"/>
              <w:bottom w:type="dxa" w:w="90"/>
              <w:right w:type="dxa" w:w="140"/>
            </w:tcMar>
          </w:tcPr>
          <w:p>
            <w:pPr>
              <w:spacing w:after="0" w:line="300"/>
            </w:pPr>
            <w:r>
              <w:rPr>
                <w:color w:val="141414"/>
                <w:sz w:val="22"/>
                <w:szCs w:val="22"/>
              </w:rPr>
              <w:t xml:space="preserve">Offer Contract, capacity, versions, atomic reservations.</w:t>
            </w:r>
          </w:p>
        </w:tc>
      </w:tr>
      <w:tr>
        <w:trPr>
          <w:tblHeader w:val="false"/>
        </w:trPr>
        <w:tc>
          <w:tcPr>
            <w:tcW w:type="dxa" w:w="2400"/>
            <w:tcMar>
              <w:top w:type="dxa" w:w="90"/>
              <w:left w:type="dxa" w:w="140"/>
              <w:bottom w:type="dxa" w:w="90"/>
              <w:right w:type="dxa" w:w="140"/>
            </w:tcMar>
          </w:tcPr>
          <w:p>
            <w:pPr>
              <w:spacing w:after="0" w:line="300"/>
            </w:pPr>
            <w:r>
              <w:rPr>
                <w:color w:val="141414"/>
                <w:sz w:val="22"/>
                <w:szCs w:val="22"/>
              </w:rPr>
              <w:t xml:space="preserve">Campaign</w:t>
            </w:r>
          </w:p>
        </w:tc>
        <w:tc>
          <w:tcPr>
            <w:tcW w:type="dxa" w:w="6960"/>
            <w:tcMar>
              <w:top w:type="dxa" w:w="90"/>
              <w:left w:type="dxa" w:w="140"/>
              <w:bottom w:type="dxa" w:w="90"/>
              <w:right w:type="dxa" w:w="140"/>
            </w:tcMar>
          </w:tcPr>
          <w:p>
            <w:pPr>
              <w:spacing w:after="0" w:line="300"/>
            </w:pPr>
            <w:r>
              <w:rPr>
                <w:color w:val="141414"/>
                <w:sz w:val="22"/>
                <w:szCs w:val="22"/>
              </w:rPr>
              <w:t xml:space="preserve">Template rendering with deterministic variables, manifest, approval, tranche scheduling, outbox.</w:t>
            </w:r>
          </w:p>
        </w:tc>
      </w:tr>
      <w:tr>
        <w:trPr>
          <w:tblHeader w:val="false"/>
        </w:trPr>
        <w:tc>
          <w:tcPr>
            <w:tcW w:type="dxa" w:w="2400"/>
            <w:tcMar>
              <w:top w:type="dxa" w:w="90"/>
              <w:left w:type="dxa" w:w="140"/>
              <w:bottom w:type="dxa" w:w="90"/>
              <w:right w:type="dxa" w:w="140"/>
            </w:tcMar>
          </w:tcPr>
          <w:p>
            <w:pPr>
              <w:spacing w:after="0" w:line="300"/>
            </w:pPr>
            <w:r>
              <w:rPr>
                <w:color w:val="141414"/>
                <w:sz w:val="22"/>
                <w:szCs w:val="22"/>
              </w:rPr>
              <w:t xml:space="preserve">WhatsApp / BSP</w:t>
            </w:r>
          </w:p>
        </w:tc>
        <w:tc>
          <w:tcPr>
            <w:tcW w:type="dxa" w:w="6960"/>
            <w:tcMar>
              <w:top w:type="dxa" w:w="90"/>
              <w:left w:type="dxa" w:w="140"/>
              <w:bottom w:type="dxa" w:w="90"/>
              <w:right w:type="dxa" w:w="140"/>
            </w:tcMar>
          </w:tcPr>
          <w:p>
            <w:pPr>
              <w:spacing w:after="0" w:line="300"/>
            </w:pPr>
            <w:r>
              <w:rPr>
                <w:color w:val="141414"/>
                <w:sz w:val="22"/>
                <w:szCs w:val="22"/>
              </w:rPr>
              <w:t xml:space="preserve">Embedded Signup, templates, live limits, webhooks, quality, echoes.</w:t>
            </w:r>
          </w:p>
        </w:tc>
      </w:tr>
      <w:tr>
        <w:trPr>
          <w:tblHeader w:val="false"/>
        </w:trPr>
        <w:tc>
          <w:tcPr>
            <w:tcW w:type="dxa" w:w="2400"/>
            <w:tcMar>
              <w:top w:type="dxa" w:w="90"/>
              <w:left w:type="dxa" w:w="140"/>
              <w:bottom w:type="dxa" w:w="90"/>
              <w:right w:type="dxa" w:w="140"/>
            </w:tcMar>
          </w:tcPr>
          <w:p>
            <w:pPr>
              <w:spacing w:after="0" w:line="300"/>
            </w:pPr>
            <w:r>
              <w:rPr>
                <w:color w:val="141414"/>
                <w:sz w:val="22"/>
                <w:szCs w:val="22"/>
              </w:rPr>
              <w:t xml:space="preserve">Offer page and checkout</w:t>
            </w:r>
          </w:p>
        </w:tc>
        <w:tc>
          <w:tcPr>
            <w:tcW w:type="dxa" w:w="6960"/>
            <w:tcMar>
              <w:top w:type="dxa" w:w="90"/>
              <w:left w:type="dxa" w:w="140"/>
              <w:bottom w:type="dxa" w:w="90"/>
              <w:right w:type="dxa" w:w="140"/>
            </w:tcMar>
          </w:tcPr>
          <w:p>
            <w:pPr>
              <w:spacing w:after="0" w:line="300"/>
            </w:pPr>
            <w:r>
              <w:rPr>
                <w:color w:val="141414"/>
                <w:sz w:val="22"/>
                <w:szCs w:val="22"/>
              </w:rPr>
              <w:t xml:space="preserve">Opaque tokens, frozen-terms display, purchaser verification, idempotent checkout.</w:t>
            </w:r>
          </w:p>
        </w:tc>
      </w:tr>
      <w:tr>
        <w:trPr>
          <w:tblHeader w:val="false"/>
        </w:trPr>
        <w:tc>
          <w:tcPr>
            <w:tcW w:type="dxa" w:w="2400"/>
            <w:tcMar>
              <w:top w:type="dxa" w:w="90"/>
              <w:left w:type="dxa" w:w="140"/>
              <w:bottom w:type="dxa" w:w="90"/>
              <w:right w:type="dxa" w:w="140"/>
            </w:tcMar>
          </w:tcPr>
          <w:p>
            <w:pPr>
              <w:spacing w:after="0" w:line="300"/>
            </w:pPr>
            <w:r>
              <w:rPr>
                <w:color w:val="141414"/>
                <w:sz w:val="22"/>
                <w:szCs w:val="22"/>
              </w:rPr>
              <w:t xml:space="preserve">Payments and ledger</w:t>
            </w:r>
          </w:p>
        </w:tc>
        <w:tc>
          <w:tcPr>
            <w:tcW w:type="dxa" w:w="6960"/>
            <w:tcMar>
              <w:top w:type="dxa" w:w="90"/>
              <w:left w:type="dxa" w:w="140"/>
              <w:bottom w:type="dxa" w:w="90"/>
              <w:right w:type="dxa" w:w="140"/>
            </w:tcMar>
          </w:tcPr>
          <w:p>
            <w:pPr>
              <w:spacing w:after="0" w:line="300"/>
            </w:pPr>
            <w:r>
              <w:rPr>
                <w:color w:val="141414"/>
                <w:sz w:val="22"/>
                <w:szCs w:val="22"/>
              </w:rPr>
              <w:t xml:space="preserve">Charge, split, refund, chargeback, reconciliation, revenue recognition.</w:t>
            </w:r>
          </w:p>
        </w:tc>
      </w:tr>
      <w:tr>
        <w:trPr>
          <w:tblHeader w:val="false"/>
        </w:trPr>
        <w:tc>
          <w:tcPr>
            <w:tcW w:type="dxa" w:w="2400"/>
            <w:tcMar>
              <w:top w:type="dxa" w:w="90"/>
              <w:left w:type="dxa" w:w="140"/>
              <w:bottom w:type="dxa" w:w="90"/>
              <w:right w:type="dxa" w:w="140"/>
            </w:tcMar>
          </w:tcPr>
          <w:p>
            <w:pPr>
              <w:spacing w:after="0" w:line="300"/>
            </w:pPr>
            <w:r>
              <w:rPr>
                <w:color w:val="141414"/>
                <w:sz w:val="22"/>
                <w:szCs w:val="22"/>
              </w:rPr>
              <w:t xml:space="preserve">Voucher and fulfillment</w:t>
            </w:r>
          </w:p>
        </w:tc>
        <w:tc>
          <w:tcPr>
            <w:tcW w:type="dxa" w:w="6960"/>
            <w:tcMar>
              <w:top w:type="dxa" w:w="90"/>
              <w:left w:type="dxa" w:w="140"/>
              <w:bottom w:type="dxa" w:w="90"/>
              <w:right w:type="dxa" w:w="140"/>
            </w:tcMar>
          </w:tcPr>
          <w:p>
            <w:pPr>
              <w:spacing w:after="0" w:line="300"/>
            </w:pPr>
            <w:r>
              <w:rPr>
                <w:color w:val="141414"/>
                <w:sz w:val="22"/>
                <w:szCs w:val="22"/>
              </w:rPr>
              <w:t xml:space="preserve">Issue, booking task, redemption, cancellation, expiry resolution.</w:t>
            </w:r>
          </w:p>
        </w:tc>
      </w:tr>
      <w:tr>
        <w:trPr>
          <w:tblHeader w:val="false"/>
        </w:trPr>
        <w:tc>
          <w:tcPr>
            <w:tcW w:type="dxa" w:w="2400"/>
            <w:tcMar>
              <w:top w:type="dxa" w:w="90"/>
              <w:left w:type="dxa" w:w="140"/>
              <w:bottom w:type="dxa" w:w="90"/>
              <w:right w:type="dxa" w:w="140"/>
            </w:tcMar>
          </w:tcPr>
          <w:p>
            <w:pPr>
              <w:spacing w:after="0" w:line="300"/>
            </w:pPr>
            <w:r>
              <w:rPr>
                <w:color w:val="141414"/>
                <w:sz w:val="22"/>
                <w:szCs w:val="22"/>
              </w:rPr>
              <w:t xml:space="preserve">Statements</w:t>
            </w:r>
          </w:p>
        </w:tc>
        <w:tc>
          <w:tcPr>
            <w:tcW w:type="dxa" w:w="6960"/>
            <w:tcMar>
              <w:top w:type="dxa" w:w="90"/>
              <w:left w:type="dxa" w:w="140"/>
              <w:bottom w:type="dxa" w:w="90"/>
              <w:right w:type="dxa" w:w="140"/>
            </w:tcMar>
          </w:tcPr>
          <w:p>
            <w:pPr>
              <w:spacing w:after="0" w:line="300"/>
            </w:pPr>
            <w:r>
              <w:rPr>
                <w:color w:val="141414"/>
                <w:sz w:val="22"/>
                <w:szCs w:val="22"/>
              </w:rPr>
              <w:t xml:space="preserve">Salon closeout, Caixa fee NFS-e, accounting export.</w:t>
            </w:r>
          </w:p>
        </w:tc>
      </w:tr>
      <w:tr>
        <w:trPr>
          <w:tblHeader w:val="false"/>
        </w:trPr>
        <w:tc>
          <w:tcPr>
            <w:tcW w:type="dxa" w:w="2400"/>
            <w:tcMar>
              <w:top w:type="dxa" w:w="90"/>
              <w:left w:type="dxa" w:w="140"/>
              <w:bottom w:type="dxa" w:w="90"/>
              <w:right w:type="dxa" w:w="140"/>
            </w:tcMar>
          </w:tcPr>
          <w:p>
            <w:pPr>
              <w:spacing w:after="0" w:line="300"/>
            </w:pPr>
            <w:r>
              <w:rPr>
                <w:color w:val="141414"/>
                <w:sz w:val="22"/>
                <w:szCs w:val="22"/>
              </w:rPr>
              <w:t xml:space="preserve">Ops queue</w:t>
            </w:r>
          </w:p>
        </w:tc>
        <w:tc>
          <w:tcPr>
            <w:tcW w:type="dxa" w:w="6960"/>
            <w:tcMar>
              <w:top w:type="dxa" w:w="90"/>
              <w:left w:type="dxa" w:w="140"/>
              <w:bottom w:type="dxa" w:w="90"/>
              <w:right w:type="dxa" w:w="140"/>
            </w:tcMar>
          </w:tcPr>
          <w:p>
            <w:pPr>
              <w:spacing w:after="0" w:line="300"/>
            </w:pPr>
            <w:r>
              <w:rPr>
                <w:color w:val="141414"/>
                <w:sz w:val="22"/>
                <w:szCs w:val="22"/>
              </w:rPr>
              <w:t xml:space="preserve">Prioritized exceptions, kill switches, diagnostics.</w:t>
            </w:r>
          </w:p>
        </w:tc>
      </w:tr>
      <w:tr>
        <w:trPr>
          <w:tblHeader w:val="false"/>
        </w:trPr>
        <w:tc>
          <w:tcPr>
            <w:tcW w:type="dxa" w:w="2400"/>
            <w:tcMar>
              <w:top w:type="dxa" w:w="90"/>
              <w:left w:type="dxa" w:w="140"/>
              <w:bottom w:type="dxa" w:w="90"/>
              <w:right w:type="dxa" w:w="140"/>
            </w:tcMar>
          </w:tcPr>
          <w:p>
            <w:pPr>
              <w:spacing w:after="0" w:line="300"/>
            </w:pPr>
            <w:r>
              <w:rPr>
                <w:color w:val="141414"/>
                <w:sz w:val="22"/>
                <w:szCs w:val="22"/>
              </w:rPr>
              <w:t xml:space="preserve">Analytics</w:t>
            </w:r>
          </w:p>
        </w:tc>
        <w:tc>
          <w:tcPr>
            <w:tcW w:type="dxa" w:w="6960"/>
            <w:tcMar>
              <w:top w:type="dxa" w:w="90"/>
              <w:left w:type="dxa" w:w="140"/>
              <w:bottom w:type="dxa" w:w="90"/>
              <w:right w:type="dxa" w:w="140"/>
            </w:tcMar>
          </w:tcPr>
          <w:p>
            <w:pPr>
              <w:spacing w:after="0" w:line="300"/>
            </w:pPr>
            <w:r>
              <w:rPr>
                <w:color w:val="141414"/>
                <w:sz w:val="22"/>
                <w:szCs w:val="22"/>
              </w:rPr>
              <w:t xml:space="preserve">Funnel events, contribution, provider and support metrics.</w:t>
            </w:r>
          </w:p>
        </w:tc>
      </w:tr>
    </w:tbl>
    <w:p>
      <w:pPr>
        <w:spacing w:after="60"/>
      </w:pPr>
    </w:p>
    <w:p>
      <w:pPr>
        <w:pStyle w:val="Heading1"/>
        <w:spacing w:after="200" w:before="360"/>
      </w:pPr>
      <w:r>
        <w:rPr>
          <w:b/>
          <w:bCs/>
          <w:color w:val="0B4A36"/>
        </w:rPr>
        <w:t xml:space="preserve">§25 · Seven rules that do not bend</w:t>
      </w:r>
    </w:p>
    <w:p>
      <w:pPr>
        <w:pStyle w:val="ListParagraph"/>
        <w:numPr>
          <w:ilvl w:val="0"/>
          <w:numId w:val="2"/>
        </w:numPr>
        <w:spacing w:after="100" w:line="340"/>
      </w:pPr>
      <w:r>
        <w:rPr>
          <w:color w:val="141414"/>
        </w:rPr>
        <w:t xml:space="preserve">Eligibility, exclusions, money, inventory, links, status and statements come from code — never from a model.</w:t>
      </w:r>
    </w:p>
    <w:p>
      <w:pPr>
        <w:pStyle w:val="ListParagraph"/>
        <w:numPr>
          <w:ilvl w:val="0"/>
          <w:numId w:val="2"/>
        </w:numPr>
        <w:spacing w:after="100" w:line="340"/>
      </w:pPr>
      <w:r>
        <w:rPr>
          <w:color w:val="141414"/>
        </w:rPr>
        <w:t xml:space="preserve">Every business-initiated send is tied to a stored owner authorization.</w:t>
      </w:r>
    </w:p>
    <w:p>
      <w:pPr>
        <w:pStyle w:val="ListParagraph"/>
        <w:numPr>
          <w:ilvl w:val="0"/>
          <w:numId w:val="2"/>
        </w:numPr>
        <w:spacing w:after="100" w:line="340"/>
      </w:pPr>
      <w:r>
        <w:rPr>
          <w:color w:val="141414"/>
        </w:rPr>
        <w:t xml:space="preserve">Every external write carries an idempotency key and an audit event.</w:t>
      </w:r>
    </w:p>
    <w:p>
      <w:pPr>
        <w:pStyle w:val="ListParagraph"/>
        <w:numPr>
          <w:ilvl w:val="0"/>
          <w:numId w:val="2"/>
        </w:numPr>
        <w:spacing w:after="100" w:line="340"/>
      </w:pPr>
      <w:r>
        <w:rPr>
          <w:color w:val="141414"/>
        </w:rPr>
        <w:t xml:space="preserve">Every unknown condition on a required fact fails closed.</w:t>
      </w:r>
    </w:p>
    <w:p>
      <w:pPr>
        <w:pStyle w:val="ListParagraph"/>
        <w:numPr>
          <w:ilvl w:val="0"/>
          <w:numId w:val="2"/>
        </w:numPr>
        <w:spacing w:after="100" w:line="340"/>
      </w:pPr>
      <w:r>
        <w:rPr>
          <w:color w:val="141414"/>
        </w:rPr>
        <w:t xml:space="preserve">Every conversation has exactly one controller.</w:t>
      </w:r>
    </w:p>
    <w:p>
      <w:pPr>
        <w:pStyle w:val="ListParagraph"/>
        <w:numPr>
          <w:ilvl w:val="0"/>
          <w:numId w:val="2"/>
        </w:numPr>
        <w:spacing w:after="100" w:line="340"/>
      </w:pPr>
      <w:r>
        <w:rPr>
          <w:color w:val="141414"/>
        </w:rPr>
        <w:t xml:space="preserve">Every provider or quality restriction pauses safely rather than retrying.</w:t>
      </w:r>
    </w:p>
    <w:p>
      <w:pPr>
        <w:pStyle w:val="ListParagraph"/>
        <w:numPr>
          <w:ilvl w:val="0"/>
          <w:numId w:val="2"/>
        </w:numPr>
        <w:spacing w:after="100" w:line="340"/>
      </w:pPr>
      <w:r>
        <w:rPr>
          <w:color w:val="141414"/>
        </w:rPr>
        <w:t xml:space="preserve">No customer row ever reaches an LLM. Mail-merge happens locally, after the AI has drafted a generic template.</w:t>
      </w:r>
    </w:p>
    <w:p>
      <w:pPr>
        <w:spacing w:after="60"/>
      </w:pPr>
    </w:p>
    <w:p>
      <w:pPr>
        <w:pStyle w:val="Heading1"/>
        <w:spacing w:after="200" w:before="360"/>
      </w:pPr>
      <w:r>
        <w:rPr>
          <w:b/>
          <w:bCs/>
          <w:color w:val="0B4A36"/>
        </w:rPr>
        <w:t xml:space="preserve">§26 · What approval stores</w:t>
      </w:r>
    </w:p>
    <w:p>
      <w:pPr>
        <w:spacing w:after="160" w:line="360"/>
      </w:pPr>
      <w:r>
        <w:rPr>
          <w:color w:val="141414"/>
        </w:rPr>
        <w:t xml:space="preserve">Source snapshot and rule version · offer version · the exact recipient list · the exact rendered message and stable link · approver identity, authority, timestamp and re-authentication · manifest hash · scheduling and send events · template and provider version · payment and voucher events · and any change that invalidated a prior approval.</w:t>
      </w:r>
    </w:p>
    <w:p>
      <w:pPr>
        <w:spacing w:after="160" w:line="360"/>
      </w:pPr>
      <w:r>
        <w:rPr>
          <w:b/>
          <w:bCs/>
          <w:color w:val="141414"/>
        </w:rPr>
        <w:t xml:space="preserve">Approval is re-required </w:t>
      </w:r>
      <w:r>
        <w:rPr>
          <w:color w:val="141414"/>
        </w:rPr>
        <w:t xml:space="preserve">when the recipient list, offer terms, price, inventory, initial copy, destination domain or reminder policy changes. A "small edit" after approval is a new approval.</w:t>
      </w:r>
    </w:p>
    <w:p>
      <w:pPr>
        <w:spacing w:after="60"/>
      </w:pPr>
    </w:p>
    <w:p>
      <w:pPr>
        <w:pStyle w:val="Heading1"/>
        <w:spacing w:after="200" w:before="360"/>
      </w:pPr>
      <w:r>
        <w:rPr>
          <w:b/>
          <w:bCs/>
          <w:color w:val="0B4A36"/>
        </w:rPr>
        <w:t xml:space="preserve">§27 · Security, shipped in week one</w:t>
      </w:r>
    </w:p>
    <w:p>
      <w:pPr>
        <w:spacing w:after="160" w:line="360"/>
      </w:pPr>
      <w:r>
        <w:rPr>
          <w:color w:val="141414"/>
        </w:rPr>
        <w:t xml:space="preserve">Before any customer data exists, not after:</w:t>
      </w:r>
    </w:p>
    <w:p>
      <w:pPr>
        <w:pStyle w:val="ListParagraph"/>
        <w:numPr>
          <w:ilvl w:val="0"/>
          <w:numId w:val="2"/>
        </w:numPr>
        <w:spacing w:after="100" w:line="340"/>
      </w:pPr>
      <w:r>
        <w:rPr>
          <w:color w:val="141414"/>
        </w:rPr>
        <w:t xml:space="preserve">Separate production and test environments; test uses synthetic data only.</w:t>
      </w:r>
    </w:p>
    <w:p>
      <w:pPr>
        <w:pStyle w:val="ListParagraph"/>
        <w:numPr>
          <w:ilvl w:val="0"/>
          <w:numId w:val="2"/>
        </w:numPr>
        <w:spacing w:after="100" w:line="340"/>
      </w:pPr>
      <w:r>
        <w:rPr>
          <w:color w:val="141414"/>
        </w:rPr>
        <w:t xml:space="preserve">Tenant isolation enforced in two layers and tested.</w:t>
      </w:r>
    </w:p>
    <w:p>
      <w:pPr>
        <w:pStyle w:val="ListParagraph"/>
        <w:numPr>
          <w:ilvl w:val="0"/>
          <w:numId w:val="2"/>
        </w:numPr>
        <w:spacing w:after="100" w:line="340"/>
      </w:pPr>
      <w:r>
        <w:rPr>
          <w:color w:val="141414"/>
        </w:rPr>
        <w:t xml:space="preserve">MFA on every privileged founder action, audited.</w:t>
      </w:r>
    </w:p>
    <w:p>
      <w:pPr>
        <w:pStyle w:val="ListParagraph"/>
        <w:numPr>
          <w:ilvl w:val="0"/>
          <w:numId w:val="2"/>
        </w:numPr>
        <w:spacing w:after="100" w:line="340"/>
      </w:pPr>
      <w:r>
        <w:rPr>
          <w:color w:val="141414"/>
        </w:rPr>
        <w:t xml:space="preserve">Secrets in a vault — not database columns, not env files visible to support.</w:t>
      </w:r>
    </w:p>
    <w:p>
      <w:pPr>
        <w:pStyle w:val="ListParagraph"/>
        <w:numPr>
          <w:ilvl w:val="0"/>
          <w:numId w:val="2"/>
        </w:numPr>
        <w:spacing w:after="100" w:line="340"/>
      </w:pPr>
      <w:r>
        <w:rPr>
          <w:color w:val="141414"/>
        </w:rPr>
        <w:t xml:space="preserve">Encrypted backups with a rehearsed restore.</w:t>
      </w:r>
    </w:p>
    <w:p>
      <w:pPr>
        <w:pStyle w:val="ListParagraph"/>
        <w:numPr>
          <w:ilvl w:val="0"/>
          <w:numId w:val="2"/>
        </w:numPr>
        <w:spacing w:after="100" w:line="340"/>
      </w:pPr>
      <w:r>
        <w:rPr>
          <w:color w:val="141414"/>
        </w:rPr>
        <w:t xml:space="preserve">Short sessions; re-authentication for high-risk approvals.</w:t>
      </w:r>
    </w:p>
    <w:p>
      <w:pPr>
        <w:pStyle w:val="ListParagraph"/>
        <w:numPr>
          <w:ilvl w:val="0"/>
          <w:numId w:val="2"/>
        </w:numPr>
        <w:spacing w:after="100" w:line="340"/>
      </w:pPr>
      <w:r>
        <w:rPr>
          <w:color w:val="141414"/>
        </w:rPr>
        <w:t xml:space="preserve">No PII or secret in logs, analytics, error trackers, screenshots or support chat.</w:t>
      </w:r>
    </w:p>
    <w:p>
      <w:pPr>
        <w:pStyle w:val="ListParagraph"/>
        <w:numPr>
          <w:ilvl w:val="0"/>
          <w:numId w:val="2"/>
        </w:numPr>
        <w:spacing w:after="100" w:line="340"/>
      </w:pPr>
      <w:r>
        <w:rPr>
          <w:color w:val="141414"/>
        </w:rPr>
        <w:t xml:space="preserve">Opaque, signed, rate-limited, revocable, scoped links.</w:t>
      </w:r>
    </w:p>
    <w:p>
      <w:pPr>
        <w:pStyle w:val="ListParagraph"/>
        <w:numPr>
          <w:ilvl w:val="0"/>
          <w:numId w:val="2"/>
        </w:numPr>
        <w:spacing w:after="100" w:line="340"/>
      </w:pPr>
      <w:r>
        <w:rPr>
          <w:color w:val="141414"/>
        </w:rPr>
        <w:t xml:space="preserve">Verified webhook signatures and timestamps; idempotent, replay-safe processing.</w:t>
      </w:r>
    </w:p>
    <w:p>
      <w:pPr>
        <w:pStyle w:val="ListParagraph"/>
        <w:numPr>
          <w:ilvl w:val="0"/>
          <w:numId w:val="2"/>
        </w:numPr>
        <w:spacing w:after="100" w:line="340"/>
      </w:pPr>
      <w:r>
        <w:rPr>
          <w:color w:val="141414"/>
        </w:rPr>
        <w:t xml:space="preserve">Isolated, hardened file parsing; scanned dependencies, containers and generated code.</w:t>
      </w:r>
    </w:p>
    <w:p>
      <w:pPr>
        <w:pStyle w:val="ListParagraph"/>
        <w:numPr>
          <w:ilvl w:val="0"/>
          <w:numId w:val="2"/>
        </w:numPr>
        <w:spacing w:after="100" w:line="340"/>
      </w:pPr>
      <w:r>
        <w:rPr>
          <w:color w:val="141414"/>
        </w:rPr>
        <w:t xml:space="preserve">Rehearsed migrations and rollback; provider-outage and founder-unavailability runbooks.</w:t>
      </w:r>
    </w:p>
    <w:p>
      <w:pPr>
        <w:pStyle w:val="ListParagraph"/>
        <w:numPr>
          <w:ilvl w:val="0"/>
          <w:numId w:val="2"/>
        </w:numPr>
        <w:spacing w:after="100" w:line="340"/>
      </w:pPr>
      <w:r>
        <w:rPr>
          <w:color w:val="141414"/>
        </w:rPr>
        <w:t xml:space="preserve">External security review completed before public self-service opens.</w:t>
      </w:r>
    </w:p>
    <w:p>
      <w:pPr>
        <w:spacing w:after="160" w:line="360"/>
      </w:pPr>
      <w:r>
        <w:rPr>
          <w:b/>
          <w:bCs/>
          <w:color w:val="141414"/>
        </w:rPr>
        <w:t xml:space="preserve">The AI coding tool receives source code and synthetic fixtures. Never production credentials, never customer data.</w:t>
      </w:r>
    </w:p>
    <w:p>
      <w:pPr>
        <w:spacing w:after="60"/>
      </w:pPr>
    </w:p>
    <w:p>
      <w:pPr>
        <w:pStyle w:val="Heading1"/>
        <w:spacing w:after="200" w:before="360"/>
      </w:pPr>
      <w:r>
        <w:rPr>
          <w:b/>
          <w:bCs/>
          <w:color w:val="0B4A36"/>
        </w:rPr>
        <w:t xml:space="preserve">§28 · Two kill switches</w:t>
      </w:r>
    </w:p>
    <w:p>
      <w:pPr>
        <w:spacing w:after="160" w:line="360"/>
      </w:pPr>
      <w:r>
        <w:rPr>
          <w:b/>
          <w:bCs/>
          <w:color w:val="141414"/>
        </w:rPr>
        <w:t xml:space="preserve">Stop all outbound sending</w:t>
      </w:r>
      <w:r>
        <w:rPr>
          <w:color w:val="141414"/>
        </w:rPr>
        <w:t xml:space="preserve"> and </w:t>
      </w:r>
      <w:r>
        <w:rPr>
          <w:b/>
          <w:bCs/>
          <w:color w:val="141414"/>
        </w:rPr>
        <w:t xml:space="preserve">stop all financial writes</w:t>
      </w:r>
      <w:r>
        <w:rPr>
          <w:color w:val="141414"/>
        </w:rPr>
        <w:t xml:space="preserve"> — each scopeable to a single tenant. Every other switch anyone might want is a tenant filter on one of these two.</w:t>
      </w:r>
    </w:p>
    <w:p>
      <w:pPr>
        <w:spacing w:after="160" w:line="360"/>
      </w:pPr>
      <w:r>
        <w:rPr>
          <w:color w:val="141414"/>
        </w:rPr>
        <w:t xml:space="preserve">Unauthorized send, cross-tenant access, duplicate charge, suspected secret exposure or a provider signature failure triggers immediate containment.</w:t>
      </w:r>
    </w:p>
    <w:p>
      <w:pPr>
        <w:spacing w:after="60"/>
      </w:pPr>
    </w:p>
    <w:p>
      <w:pPr>
        <w:pStyle w:val="Heading1"/>
        <w:spacing w:after="200" w:before="360"/>
      </w:pPr>
      <w:r>
        <w:rPr>
          <w:b/>
          <w:bCs/>
          <w:color w:val="0B4A36"/>
        </w:rPr>
        <w:t xml:space="preserve">§29 · LGPD posture</w:t>
      </w:r>
    </w:p>
    <w:tbl>
      <w:tblPr>
        <w:tblW w:type="dxa" w:w="9360"/>
        <w:tblBorders>
          <w:top w:val="single" w:color="1D6B4F" w:sz="8"/>
          <w:left w:val="none"/>
          <w:bottom w:val="single" w:color="1D6B4F" w:sz="8"/>
          <w:right w:val="none"/>
          <w:insideH w:val="single" w:color="C9D6D0" w:sz="4"/>
          <w:insideV w:val="single" w:color="C9D6D0" w:sz="4"/>
        </w:tblBorders>
      </w:tblPr>
      <w:tblGrid>
        <w:gridCol w:w="3600"/>
        <w:gridCol w:w="5760"/>
      </w:tblGrid>
      <w:tr>
        <w:trPr>
          <w:tblHeader/>
        </w:trPr>
        <w:tc>
          <w:tcPr>
            <w:tcW w:type="dxa" w:w="3600"/>
            <w:shd w:fill="0B4A36" w:val="clear"/>
            <w:tcMar>
              <w:top w:type="dxa" w:w="90"/>
              <w:left w:type="dxa" w:w="140"/>
              <w:bottom w:type="dxa" w:w="90"/>
              <w:right w:type="dxa" w:w="140"/>
            </w:tcMar>
          </w:tcPr>
          <w:p>
            <w:pPr>
              <w:spacing w:after="0" w:line="300"/>
            </w:pPr>
            <w:r>
              <w:rPr>
                <w:b/>
                <w:bCs/>
                <w:color w:val="FFFFFF"/>
                <w:sz w:val="22"/>
                <w:szCs w:val="22"/>
              </w:rPr>
              <w:t xml:space="preserve">Purpose</w:t>
            </w:r>
          </w:p>
        </w:tc>
        <w:tc>
          <w:tcPr>
            <w:tcW w:type="dxa" w:w="5760"/>
            <w:shd w:fill="0B4A36" w:val="clear"/>
            <w:tcMar>
              <w:top w:type="dxa" w:w="90"/>
              <w:left w:type="dxa" w:w="140"/>
              <w:bottom w:type="dxa" w:w="90"/>
              <w:right w:type="dxa" w:w="140"/>
            </w:tcMar>
          </w:tcPr>
          <w:p>
            <w:pPr>
              <w:spacing w:after="0" w:line="300"/>
            </w:pPr>
            <w:r>
              <w:rPr>
                <w:b/>
                <w:bCs/>
                <w:color w:val="FFFFFF"/>
                <w:sz w:val="22"/>
                <w:szCs w:val="22"/>
              </w:rPr>
              <w:t xml:space="preserve">Intended role</w:t>
            </w:r>
          </w:p>
        </w:tc>
      </w:tr>
      <w:tr>
        <w:trPr>
          <w:tblHeader w:val="false"/>
        </w:trPr>
        <w:tc>
          <w:tcPr>
            <w:tcW w:type="dxa" w:w="3600"/>
            <w:tcMar>
              <w:top w:type="dxa" w:w="90"/>
              <w:left w:type="dxa" w:w="140"/>
              <w:bottom w:type="dxa" w:w="90"/>
              <w:right w:type="dxa" w:w="140"/>
            </w:tcMar>
          </w:tcPr>
          <w:p>
            <w:pPr>
              <w:spacing w:after="0" w:line="300"/>
            </w:pPr>
            <w:r>
              <w:rPr>
                <w:color w:val="141414"/>
                <w:sz w:val="22"/>
                <w:szCs w:val="22"/>
              </w:rPr>
              <w:t xml:space="preserve">Salon campaign audience and offer</w:t>
            </w:r>
          </w:p>
        </w:tc>
        <w:tc>
          <w:tcPr>
            <w:tcW w:type="dxa" w:w="5760"/>
            <w:tcMar>
              <w:top w:type="dxa" w:w="90"/>
              <w:left w:type="dxa" w:w="140"/>
              <w:bottom w:type="dxa" w:w="90"/>
              <w:right w:type="dxa" w:w="140"/>
            </w:tcMar>
          </w:tcPr>
          <w:p>
            <w:pPr>
              <w:spacing w:after="0" w:line="300"/>
            </w:pPr>
            <w:r>
              <w:rPr>
                <w:color w:val="141414"/>
                <w:sz w:val="22"/>
                <w:szCs w:val="22"/>
              </w:rPr>
              <w:t xml:space="preserve">Salon is controller; Caixa is instructed operator.</w:t>
            </w:r>
          </w:p>
        </w:tc>
      </w:tr>
      <w:tr>
        <w:trPr>
          <w:tblHeader w:val="false"/>
        </w:trPr>
        <w:tc>
          <w:tcPr>
            <w:tcW w:type="dxa" w:w="3600"/>
            <w:tcMar>
              <w:top w:type="dxa" w:w="90"/>
              <w:left w:type="dxa" w:w="140"/>
              <w:bottom w:type="dxa" w:w="90"/>
              <w:right w:type="dxa" w:w="140"/>
            </w:tcMar>
          </w:tcPr>
          <w:p>
            <w:pPr>
              <w:spacing w:after="0" w:line="300"/>
            </w:pPr>
            <w:r>
              <w:rPr>
                <w:color w:val="141414"/>
                <w:sz w:val="22"/>
                <w:szCs w:val="22"/>
              </w:rPr>
              <w:t xml:space="preserve">Caixa billing, tax, fraud and account security</w:t>
            </w:r>
          </w:p>
        </w:tc>
        <w:tc>
          <w:tcPr>
            <w:tcW w:type="dxa" w:w="5760"/>
            <w:tcMar>
              <w:top w:type="dxa" w:w="90"/>
              <w:left w:type="dxa" w:w="140"/>
              <w:bottom w:type="dxa" w:w="90"/>
              <w:right w:type="dxa" w:w="140"/>
            </w:tcMar>
          </w:tcPr>
          <w:p>
            <w:pPr>
              <w:spacing w:after="0" w:line="300"/>
            </w:pPr>
            <w:r>
              <w:rPr>
                <w:color w:val="141414"/>
                <w:sz w:val="22"/>
                <w:szCs w:val="22"/>
              </w:rPr>
              <w:t xml:space="preserve">Caixa is independent controller.</w:t>
            </w:r>
          </w:p>
        </w:tc>
      </w:tr>
      <w:tr>
        <w:trPr>
          <w:tblHeader w:val="false"/>
        </w:trPr>
        <w:tc>
          <w:tcPr>
            <w:tcW w:type="dxa" w:w="3600"/>
            <w:tcMar>
              <w:top w:type="dxa" w:w="90"/>
              <w:left w:type="dxa" w:w="140"/>
              <w:bottom w:type="dxa" w:w="90"/>
              <w:right w:type="dxa" w:w="140"/>
            </w:tcMar>
          </w:tcPr>
          <w:p>
            <w:pPr>
              <w:spacing w:after="0" w:line="300"/>
            </w:pPr>
            <w:r>
              <w:rPr>
                <w:color w:val="141414"/>
                <w:sz w:val="22"/>
                <w:szCs w:val="22"/>
              </w:rPr>
              <w:t xml:space="preserve">Product analytics</w:t>
            </w:r>
          </w:p>
        </w:tc>
        <w:tc>
          <w:tcPr>
            <w:tcW w:type="dxa" w:w="5760"/>
            <w:tcMar>
              <w:top w:type="dxa" w:w="90"/>
              <w:left w:type="dxa" w:w="140"/>
              <w:bottom w:type="dxa" w:w="90"/>
              <w:right w:type="dxa" w:w="140"/>
            </w:tcMar>
          </w:tcPr>
          <w:p>
            <w:pPr>
              <w:spacing w:after="0" w:line="300"/>
            </w:pPr>
            <w:r>
              <w:rPr>
                <w:color w:val="141414"/>
                <w:sz w:val="22"/>
                <w:szCs w:val="22"/>
              </w:rPr>
              <w:t xml:space="preserve">Aggregated / anonymized, under a documented basis.</w:t>
            </w:r>
          </w:p>
        </w:tc>
      </w:tr>
      <w:tr>
        <w:trPr>
          <w:tblHeader w:val="false"/>
        </w:trPr>
        <w:tc>
          <w:tcPr>
            <w:tcW w:type="dxa" w:w="3600"/>
            <w:tcMar>
              <w:top w:type="dxa" w:w="90"/>
              <w:left w:type="dxa" w:w="140"/>
              <w:bottom w:type="dxa" w:w="90"/>
              <w:right w:type="dxa" w:w="140"/>
            </w:tcMar>
          </w:tcPr>
          <w:p>
            <w:pPr>
              <w:spacing w:after="0" w:line="300"/>
            </w:pPr>
            <w:r>
              <w:rPr>
                <w:color w:val="141414"/>
                <w:sz w:val="22"/>
                <w:szCs w:val="22"/>
              </w:rPr>
              <w:t xml:space="preserve">Case study</w:t>
            </w:r>
          </w:p>
        </w:tc>
        <w:tc>
          <w:tcPr>
            <w:tcW w:type="dxa" w:w="5760"/>
            <w:tcMar>
              <w:top w:type="dxa" w:w="90"/>
              <w:left w:type="dxa" w:w="140"/>
              <w:bottom w:type="dxa" w:w="90"/>
              <w:right w:type="dxa" w:w="140"/>
            </w:tcMar>
          </w:tcPr>
          <w:p>
            <w:pPr>
              <w:spacing w:after="0" w:line="300"/>
            </w:pPr>
            <w:r>
              <w:rPr>
                <w:color w:val="141414"/>
                <w:sz w:val="22"/>
                <w:szCs w:val="22"/>
              </w:rPr>
              <w:t xml:space="preserve">Separate permission from the salon and any identifiable person.</w:t>
            </w:r>
          </w:p>
        </w:tc>
      </w:tr>
    </w:tbl>
    <w:p>
      <w:pPr>
        <w:spacing w:after="60"/>
      </w:pPr>
    </w:p>
    <w:p>
      <w:pPr>
        <w:spacing w:after="160" w:line="360"/>
      </w:pPr>
      <w:r>
        <w:rPr>
          <w:b/>
          <w:bCs/>
          <w:color w:val="141414"/>
        </w:rPr>
        <w:t xml:space="preserve">Counsel documents the allocation per purpose. </w:t>
      </w:r>
      <w:r>
        <w:rPr>
          <w:color w:val="141414"/>
        </w:rPr>
        <w:t xml:space="preserve">Do not assume the ANPD small-agent simplifications apply forever — volume and automated processing can narrow or remove them.</w:t>
      </w:r>
    </w:p>
    <w:p>
      <w:pPr>
        <w:spacing w:after="160" w:line="360"/>
      </w:pPr>
      <w:r>
        <w:rPr>
          <w:b/>
          <w:bCs/>
          <w:color w:val="141414"/>
        </w:rPr>
        <w:t xml:space="preserve">Retention. </w:t>
      </w:r>
      <w:r>
        <w:rPr>
          <w:color w:val="141414"/>
        </w:rPr>
        <w:t xml:space="preserve">Before the first production upload, a record schedule is defined, approved, configured and </w:t>
      </w:r>
      <w:r>
        <w:rPr>
          <w:b/>
          <w:bCs/>
          <w:color w:val="141414"/>
        </w:rPr>
        <w:t xml:space="preserve">tested</w:t>
      </w:r>
      <w:r>
        <w:rPr>
          <w:color w:val="141414"/>
        </w:rPr>
        <w:t xml:space="preserve"> by category: raw files, normalized campaign data, consent and withdrawal evidence, manifest and approval evidence, message bodies and status metadata, payment and reversal records, voucher and fulfillment records, tax and accounting exports, incident evidence, and backups. Each names purpose, legal basis, active period, backup tail, deletion mechanism, owner and offboarding treatment. </w:t>
      </w:r>
      <w:r>
        <w:rPr>
          <w:b/>
          <w:bCs/>
          <w:color w:val="141414"/>
        </w:rPr>
        <w:t xml:space="preserve">The upload endpoint stays disabled until counsel approves it and the automated deletion tests pass.</w:t>
      </w:r>
    </w:p>
    <w:p>
      <w:pPr>
        <w:spacing w:after="160" w:line="360"/>
      </w:pPr>
      <w:r>
        <w:rPr>
          <w:color w:val="141414"/>
        </w:rPr>
        <w:t xml:space="preserve">"Delete everything" is not credible where tax, dispute, consent and authorization records must remain. Say so honestly: retained records are purpose-limited, access-restricted, and deleted when the period ends.</w:t>
      </w:r>
    </w:p>
    <w:p>
      <w:r>
        <w:br w:type="page"/>
      </w:r>
    </w:p>
    <w:tbl>
      <w:tblPr>
        <w:tblW w:type="dxa" w:w="9360"/>
        <w:tblBorders>
          <w:top w:val="none"/>
          <w:left w:val="none"/>
          <w:bottom w:val="none"/>
          <w:right w:val="none"/>
          <w:insideH w:val="none"/>
          <w:insideV w:val="none"/>
        </w:tblBorders>
      </w:tblPr>
      <w:tblGrid>
        <w:gridCol w:w="9360"/>
      </w:tblGrid>
      <w:tr>
        <w:tc>
          <w:tcPr>
            <w:tcW w:type="dxa" w:w="9360"/>
            <w:shd w:fill="0B4A36" w:val="clear"/>
            <w:tcMar>
              <w:top w:type="dxa" w:w="260"/>
              <w:left w:type="dxa" w:w="300"/>
              <w:bottom w:type="dxa" w:w="260"/>
              <w:right w:type="dxa" w:w="300"/>
            </w:tcMar>
          </w:tcPr>
          <w:p>
            <w:pPr>
              <w:spacing w:after="80"/>
            </w:pPr>
            <w:r>
              <w:rPr>
                <w:b/>
                <w:bCs/>
                <w:caps/>
                <w:color w:val="BFE3D3"/>
                <w:sz w:val="22"/>
                <w:szCs w:val="22"/>
              </w:rPr>
              <w:t xml:space="preserve">Part VI</w:t>
            </w:r>
          </w:p>
          <w:p>
            <w:pPr>
              <w:spacing w:after="0"/>
            </w:pPr>
            <w:r>
              <w:rPr>
                <w:b/>
                <w:bCs/>
                <w:color w:val="FFFFFF"/>
                <w:sz w:val="40"/>
                <w:szCs w:val="40"/>
              </w:rPr>
              <w:t xml:space="preserve">Operations, economics, rollout</w:t>
            </w:r>
          </w:p>
        </w:tc>
      </w:tr>
    </w:tbl>
    <w:p>
      <w:pPr>
        <w:spacing w:after="60"/>
      </w:pPr>
    </w:p>
    <w:p>
      <w:pPr>
        <w:pStyle w:val="Heading1"/>
        <w:spacing w:after="200" w:before="360"/>
      </w:pPr>
      <w:r>
        <w:rPr>
          <w:b/>
          <w:bCs/>
          <w:color w:val="0B4A36"/>
        </w:rPr>
        <w:t xml:space="preserve">§30 · The founder console — three queues</w:t>
      </w:r>
    </w:p>
    <w:tbl>
      <w:tblPr>
        <w:tblW w:type="dxa" w:w="9360"/>
        <w:tblBorders>
          <w:top w:val="single" w:color="1D6B4F" w:sz="8"/>
          <w:left w:val="none"/>
          <w:bottom w:val="single" w:color="1D6B4F" w:sz="8"/>
          <w:right w:val="none"/>
          <w:insideH w:val="single" w:color="C9D6D0" w:sz="4"/>
          <w:insideV w:val="single" w:color="C9D6D0" w:sz="4"/>
        </w:tblBorders>
      </w:tblPr>
      <w:tblGrid>
        <w:gridCol w:w="1600"/>
        <w:gridCol w:w="4700"/>
        <w:gridCol w:w="3060"/>
      </w:tblGrid>
      <w:tr>
        <w:trPr>
          <w:tblHeader/>
        </w:trPr>
        <w:tc>
          <w:tcPr>
            <w:tcW w:type="dxa" w:w="1600"/>
            <w:shd w:fill="0B4A36" w:val="clear"/>
            <w:tcMar>
              <w:top w:type="dxa" w:w="90"/>
              <w:left w:type="dxa" w:w="140"/>
              <w:bottom w:type="dxa" w:w="90"/>
              <w:right w:type="dxa" w:w="140"/>
            </w:tcMar>
          </w:tcPr>
          <w:p>
            <w:pPr>
              <w:spacing w:after="0" w:line="300"/>
            </w:pPr>
            <w:r>
              <w:rPr>
                <w:b/>
                <w:bCs/>
                <w:color w:val="FFFFFF"/>
                <w:sz w:val="22"/>
                <w:szCs w:val="22"/>
              </w:rPr>
              <w:t xml:space="preserve">Queue</w:t>
            </w:r>
          </w:p>
        </w:tc>
        <w:tc>
          <w:tcPr>
            <w:tcW w:type="dxa" w:w="4700"/>
            <w:shd w:fill="0B4A36" w:val="clear"/>
            <w:tcMar>
              <w:top w:type="dxa" w:w="90"/>
              <w:left w:type="dxa" w:w="140"/>
              <w:bottom w:type="dxa" w:w="90"/>
              <w:right w:type="dxa" w:w="140"/>
            </w:tcMar>
          </w:tcPr>
          <w:p>
            <w:pPr>
              <w:spacing w:after="0" w:line="300"/>
            </w:pPr>
            <w:r>
              <w:rPr>
                <w:b/>
                <w:bCs/>
                <w:color w:val="FFFFFF"/>
                <w:sz w:val="22"/>
                <w:szCs w:val="22"/>
              </w:rPr>
              <w:t xml:space="preserve">Contains</w:t>
            </w:r>
          </w:p>
        </w:tc>
        <w:tc>
          <w:tcPr>
            <w:tcW w:type="dxa" w:w="3060"/>
            <w:shd w:fill="0B4A36" w:val="clear"/>
            <w:tcMar>
              <w:top w:type="dxa" w:w="90"/>
              <w:left w:type="dxa" w:w="140"/>
              <w:bottom w:type="dxa" w:w="90"/>
              <w:right w:type="dxa" w:w="140"/>
            </w:tcMar>
          </w:tcPr>
          <w:p>
            <w:pPr>
              <w:spacing w:after="0" w:line="300"/>
            </w:pPr>
            <w:r>
              <w:rPr>
                <w:b/>
                <w:bCs/>
                <w:color w:val="FFFFFF"/>
                <w:sz w:val="22"/>
                <w:szCs w:val="22"/>
              </w:rPr>
              <w:t xml:space="preserve">Response</w:t>
            </w:r>
          </w:p>
        </w:tc>
      </w:tr>
      <w:tr>
        <w:trPr>
          <w:tblHeader w:val="false"/>
        </w:trPr>
        <w:tc>
          <w:tcPr>
            <w:tcW w:type="dxa" w:w="1600"/>
            <w:tcMar>
              <w:top w:type="dxa" w:w="90"/>
              <w:left w:type="dxa" w:w="140"/>
              <w:bottom w:type="dxa" w:w="90"/>
              <w:right w:type="dxa" w:w="140"/>
            </w:tcMar>
          </w:tcPr>
          <w:p>
            <w:pPr>
              <w:spacing w:after="0" w:line="300"/>
            </w:pPr>
            <w:r>
              <w:rPr>
                <w:color w:val="141414"/>
                <w:sz w:val="22"/>
                <w:szCs w:val="22"/>
              </w:rPr>
              <w:t xml:space="preserve">Red now</w:t>
            </w:r>
          </w:p>
        </w:tc>
        <w:tc>
          <w:tcPr>
            <w:tcW w:type="dxa" w:w="4700"/>
            <w:tcMar>
              <w:top w:type="dxa" w:w="90"/>
              <w:left w:type="dxa" w:w="140"/>
              <w:bottom w:type="dxa" w:w="90"/>
              <w:right w:type="dxa" w:w="140"/>
            </w:tcMar>
          </w:tcPr>
          <w:p>
            <w:pPr>
              <w:spacing w:after="0" w:line="300"/>
            </w:pPr>
            <w:r>
              <w:rPr>
                <w:color w:val="141414"/>
                <w:sz w:val="22"/>
                <w:szCs w:val="22"/>
              </w:rPr>
              <w:t xml:space="preserve">Security or privacy incident, unauthorized send, cross-tenant access, duplicate charge, unexplained money mismatch, Meta quality suspension.</w:t>
            </w:r>
          </w:p>
        </w:tc>
        <w:tc>
          <w:tcPr>
            <w:tcW w:type="dxa" w:w="3060"/>
            <w:tcMar>
              <w:top w:type="dxa" w:w="90"/>
              <w:left w:type="dxa" w:w="140"/>
              <w:bottom w:type="dxa" w:w="90"/>
              <w:right w:type="dxa" w:w="140"/>
            </w:tcMar>
          </w:tcPr>
          <w:p>
            <w:pPr>
              <w:spacing w:after="0" w:line="300"/>
            </w:pPr>
            <w:r>
              <w:rPr>
                <w:color w:val="141414"/>
                <w:sz w:val="22"/>
                <w:szCs w:val="22"/>
              </w:rPr>
              <w:t xml:space="preserve">Kill switch and containment, immediately. Counsel or provider as required.</w:t>
            </w:r>
          </w:p>
        </w:tc>
      </w:tr>
      <w:tr>
        <w:trPr>
          <w:tblHeader w:val="false"/>
        </w:trPr>
        <w:tc>
          <w:tcPr>
            <w:tcW w:type="dxa" w:w="1600"/>
            <w:tcMar>
              <w:top w:type="dxa" w:w="90"/>
              <w:left w:type="dxa" w:w="140"/>
              <w:bottom w:type="dxa" w:w="90"/>
              <w:right w:type="dxa" w:w="140"/>
            </w:tcMar>
          </w:tcPr>
          <w:p>
            <w:pPr>
              <w:spacing w:after="0" w:line="300"/>
            </w:pPr>
            <w:r>
              <w:rPr>
                <w:color w:val="141414"/>
                <w:sz w:val="22"/>
                <w:szCs w:val="22"/>
              </w:rPr>
              <w:t xml:space="preserve">Resolve today</w:t>
            </w:r>
          </w:p>
        </w:tc>
        <w:tc>
          <w:tcPr>
            <w:tcW w:type="dxa" w:w="4700"/>
            <w:tcMar>
              <w:top w:type="dxa" w:w="90"/>
              <w:left w:type="dxa" w:w="140"/>
              <w:bottom w:type="dxa" w:w="90"/>
              <w:right w:type="dxa" w:w="140"/>
            </w:tcMar>
          </w:tcPr>
          <w:p>
            <w:pPr>
              <w:spacing w:after="0" w:line="300"/>
            </w:pPr>
            <w:r>
              <w:rPr>
                <w:color w:val="141414"/>
                <w:sz w:val="22"/>
                <w:szCs w:val="22"/>
              </w:rPr>
              <w:t xml:space="preserve">Provider disconnect, split refusal, stuck refund, campaign-system failure, core-account activation block, a stranded paid buyer.</w:t>
            </w:r>
          </w:p>
        </w:tc>
        <w:tc>
          <w:tcPr>
            <w:tcW w:type="dxa" w:w="3060"/>
            <w:tcMar>
              <w:top w:type="dxa" w:w="90"/>
              <w:left w:type="dxa" w:w="140"/>
              <w:bottom w:type="dxa" w:w="90"/>
              <w:right w:type="dxa" w:w="140"/>
            </w:tcMar>
          </w:tcPr>
          <w:p>
            <w:pPr>
              <w:spacing w:after="0" w:line="300"/>
            </w:pPr>
            <w:r>
              <w:rPr>
                <w:color w:val="141414"/>
                <w:sz w:val="22"/>
                <w:szCs w:val="22"/>
              </w:rPr>
              <w:t xml:space="preserve">Same business day. Affected function pauses meanwhile.</w:t>
            </w:r>
          </w:p>
        </w:tc>
      </w:tr>
      <w:tr>
        <w:trPr>
          <w:tblHeader w:val="false"/>
        </w:trPr>
        <w:tc>
          <w:tcPr>
            <w:tcW w:type="dxa" w:w="1600"/>
            <w:tcMar>
              <w:top w:type="dxa" w:w="90"/>
              <w:left w:type="dxa" w:w="140"/>
              <w:bottom w:type="dxa" w:w="90"/>
              <w:right w:type="dxa" w:w="140"/>
            </w:tcMar>
          </w:tcPr>
          <w:p>
            <w:pPr>
              <w:spacing w:after="0" w:line="300"/>
            </w:pPr>
            <w:r>
              <w:rPr>
                <w:color w:val="141414"/>
                <w:sz w:val="22"/>
                <w:szCs w:val="22"/>
              </w:rPr>
              <w:t xml:space="preserve">Digest</w:t>
            </w:r>
          </w:p>
        </w:tc>
        <w:tc>
          <w:tcPr>
            <w:tcW w:type="dxa" w:w="4700"/>
            <w:tcMar>
              <w:top w:type="dxa" w:w="90"/>
              <w:left w:type="dxa" w:w="140"/>
              <w:bottom w:type="dxa" w:w="90"/>
              <w:right w:type="dxa" w:w="140"/>
            </w:tcMar>
          </w:tcPr>
          <w:p>
            <w:pPr>
              <w:spacing w:after="0" w:line="300"/>
            </w:pPr>
            <w:r>
              <w:rPr>
                <w:color w:val="141414"/>
                <w:sz w:val="22"/>
                <w:szCs w:val="22"/>
              </w:rPr>
              <w:t xml:space="preserve">Aged owner task, recurring importer error, stale manifest, patterns in checkout failure.</w:t>
            </w:r>
          </w:p>
        </w:tc>
        <w:tc>
          <w:tcPr>
            <w:tcW w:type="dxa" w:w="3060"/>
            <w:tcMar>
              <w:top w:type="dxa" w:w="90"/>
              <w:left w:type="dxa" w:w="140"/>
              <w:bottom w:type="dxa" w:w="90"/>
              <w:right w:type="dxa" w:w="140"/>
            </w:tcMar>
          </w:tcPr>
          <w:p>
            <w:pPr>
              <w:spacing w:after="0" w:line="300"/>
            </w:pPr>
            <w:r>
              <w:rPr>
                <w:color w:val="141414"/>
                <w:sz w:val="22"/>
                <w:szCs w:val="22"/>
              </w:rPr>
              <w:t xml:space="preserve">Weekly review.</w:t>
            </w:r>
          </w:p>
        </w:tc>
      </w:tr>
    </w:tbl>
    <w:p>
      <w:pPr>
        <w:spacing w:after="60"/>
      </w:pPr>
    </w:p>
    <w:p>
      <w:pPr>
        <w:spacing w:after="160" w:line="360"/>
      </w:pPr>
      <w:r>
        <w:rPr>
          <w:b/>
          <w:bCs/>
          <w:color w:val="141414"/>
        </w:rPr>
        <w:t xml:space="preserve">End-customer questions never appear in any of them. </w:t>
      </w:r>
      <w:r>
        <w:rPr>
          <w:color w:val="141414"/>
        </w:rPr>
        <w:t xml:space="preserve">The founder is not the salon’s receptionist — handoffs escalate to reception, then to the salon owner. That boundary is the entire reason one person can run this.</w:t>
      </w:r>
    </w:p>
    <w:p>
      <w:pPr>
        <w:spacing w:after="60"/>
      </w:pPr>
    </w:p>
    <w:p>
      <w:pPr>
        <w:pStyle w:val="Heading1"/>
        <w:spacing w:after="200" w:before="360"/>
      </w:pPr>
      <w:r>
        <w:rPr>
          <w:b/>
          <w:bCs/>
          <w:color w:val="0B4A36"/>
        </w:rPr>
        <w:t xml:space="preserve">§31 · Failure queues and their safe defaults</w:t>
      </w:r>
    </w:p>
    <w:tbl>
      <w:tblPr>
        <w:tblW w:type="dxa" w:w="9360"/>
        <w:tblBorders>
          <w:top w:val="single" w:color="1D6B4F" w:sz="8"/>
          <w:left w:val="none"/>
          <w:bottom w:val="single" w:color="1D6B4F" w:sz="8"/>
          <w:right w:val="none"/>
          <w:insideH w:val="single" w:color="C9D6D0" w:sz="4"/>
          <w:insideV w:val="single" w:color="C9D6D0" w:sz="4"/>
        </w:tblBorders>
      </w:tblPr>
      <w:tblGrid>
        <w:gridCol w:w="2900"/>
        <w:gridCol w:w="6460"/>
      </w:tblGrid>
      <w:tr>
        <w:trPr>
          <w:tblHeader/>
        </w:trPr>
        <w:tc>
          <w:tcPr>
            <w:tcW w:type="dxa" w:w="2900"/>
            <w:shd w:fill="0B4A36" w:val="clear"/>
            <w:tcMar>
              <w:top w:type="dxa" w:w="90"/>
              <w:left w:type="dxa" w:w="140"/>
              <w:bottom w:type="dxa" w:w="90"/>
              <w:right w:type="dxa" w:w="140"/>
            </w:tcMar>
          </w:tcPr>
          <w:p>
            <w:pPr>
              <w:spacing w:after="0" w:line="300"/>
            </w:pPr>
            <w:r>
              <w:rPr>
                <w:b/>
                <w:bCs/>
                <w:color w:val="FFFFFF"/>
                <w:sz w:val="22"/>
                <w:szCs w:val="22"/>
              </w:rPr>
              <w:t xml:space="preserve">Queue</w:t>
            </w:r>
          </w:p>
        </w:tc>
        <w:tc>
          <w:tcPr>
            <w:tcW w:type="dxa" w:w="6460"/>
            <w:shd w:fill="0B4A36" w:val="clear"/>
            <w:tcMar>
              <w:top w:type="dxa" w:w="90"/>
              <w:left w:type="dxa" w:w="140"/>
              <w:bottom w:type="dxa" w:w="90"/>
              <w:right w:type="dxa" w:w="140"/>
            </w:tcMar>
          </w:tcPr>
          <w:p>
            <w:pPr>
              <w:spacing w:after="0" w:line="300"/>
            </w:pPr>
            <w:r>
              <w:rPr>
                <w:b/>
                <w:bCs/>
                <w:color w:val="FFFFFF"/>
                <w:sz w:val="22"/>
                <w:szCs w:val="22"/>
              </w:rPr>
              <w:t xml:space="preserve">Safe automatic response</w:t>
            </w:r>
          </w:p>
        </w:tc>
      </w:tr>
      <w:tr>
        <w:trPr>
          <w:tblHeader w:val="false"/>
        </w:trPr>
        <w:tc>
          <w:tcPr>
            <w:tcW w:type="dxa" w:w="2900"/>
            <w:tcMar>
              <w:top w:type="dxa" w:w="90"/>
              <w:left w:type="dxa" w:w="140"/>
              <w:bottom w:type="dxa" w:w="90"/>
              <w:right w:type="dxa" w:w="140"/>
            </w:tcMar>
          </w:tcPr>
          <w:p>
            <w:pPr>
              <w:spacing w:after="0" w:line="300"/>
            </w:pPr>
            <w:r>
              <w:rPr>
                <w:color w:val="141414"/>
                <w:sz w:val="22"/>
                <w:szCs w:val="22"/>
              </w:rPr>
              <w:t xml:space="preserve">IMPORT_REJECTED</w:t>
            </w:r>
          </w:p>
        </w:tc>
        <w:tc>
          <w:tcPr>
            <w:tcW w:type="dxa" w:w="6460"/>
            <w:tcMar>
              <w:top w:type="dxa" w:w="90"/>
              <w:left w:type="dxa" w:w="140"/>
              <w:bottom w:type="dxa" w:w="90"/>
              <w:right w:type="dxa" w:w="140"/>
            </w:tcMar>
          </w:tcPr>
          <w:p>
            <w:pPr>
              <w:spacing w:after="0" w:line="300"/>
            </w:pPr>
            <w:r>
              <w:rPr>
                <w:color w:val="141414"/>
                <w:sz w:val="22"/>
                <w:szCs w:val="22"/>
              </w:rPr>
              <w:t xml:space="preserve">Reject; name the missing report or field exactly; issue a fresh secure upload task.</w:t>
            </w:r>
          </w:p>
        </w:tc>
      </w:tr>
      <w:tr>
        <w:trPr>
          <w:tblHeader w:val="false"/>
        </w:trPr>
        <w:tc>
          <w:tcPr>
            <w:tcW w:type="dxa" w:w="2900"/>
            <w:tcMar>
              <w:top w:type="dxa" w:w="90"/>
              <w:left w:type="dxa" w:w="140"/>
              <w:bottom w:type="dxa" w:w="90"/>
              <w:right w:type="dxa" w:w="140"/>
            </w:tcMar>
          </w:tcPr>
          <w:p>
            <w:pPr>
              <w:spacing w:after="0" w:line="300"/>
            </w:pPr>
            <w:r>
              <w:rPr>
                <w:color w:val="141414"/>
                <w:sz w:val="22"/>
                <w:szCs w:val="22"/>
              </w:rPr>
              <w:t xml:space="preserve">CONSENT_UNPROVEN</w:t>
            </w:r>
          </w:p>
        </w:tc>
        <w:tc>
          <w:tcPr>
            <w:tcW w:type="dxa" w:w="6460"/>
            <w:tcMar>
              <w:top w:type="dxa" w:w="90"/>
              <w:left w:type="dxa" w:w="140"/>
              <w:bottom w:type="dxa" w:w="90"/>
              <w:right w:type="dxa" w:w="140"/>
            </w:tcMar>
          </w:tcPr>
          <w:p>
            <w:pPr>
              <w:spacing w:after="0" w:line="300"/>
            </w:pPr>
            <w:r>
              <w:rPr>
                <w:color w:val="141414"/>
                <w:sz w:val="22"/>
                <w:szCs w:val="22"/>
              </w:rPr>
              <w:t xml:space="preserve">Exclude the affected records. Never infer.</w:t>
            </w:r>
          </w:p>
        </w:tc>
      </w:tr>
      <w:tr>
        <w:trPr>
          <w:tblHeader w:val="false"/>
        </w:trPr>
        <w:tc>
          <w:tcPr>
            <w:tcW w:type="dxa" w:w="2900"/>
            <w:tcMar>
              <w:top w:type="dxa" w:w="90"/>
              <w:left w:type="dxa" w:w="140"/>
              <w:bottom w:type="dxa" w:w="90"/>
              <w:right w:type="dxa" w:w="140"/>
            </w:tcMar>
          </w:tcPr>
          <w:p>
            <w:pPr>
              <w:spacing w:after="0" w:line="300"/>
            </w:pPr>
            <w:r>
              <w:rPr>
                <w:color w:val="141414"/>
                <w:sz w:val="22"/>
                <w:szCs w:val="22"/>
              </w:rPr>
              <w:t xml:space="preserve">OWNER_ACTION_STALE</w:t>
            </w:r>
          </w:p>
        </w:tc>
        <w:tc>
          <w:tcPr>
            <w:tcW w:type="dxa" w:w="6460"/>
            <w:tcMar>
              <w:top w:type="dxa" w:w="90"/>
              <w:left w:type="dxa" w:w="140"/>
              <w:bottom w:type="dxa" w:w="90"/>
              <w:right w:type="dxa" w:w="140"/>
            </w:tcMar>
          </w:tcPr>
          <w:p>
            <w:pPr>
              <w:spacing w:after="0" w:line="300"/>
            </w:pPr>
            <w:r>
              <w:rPr>
                <w:color w:val="141414"/>
                <w:sz w:val="22"/>
                <w:szCs w:val="22"/>
              </w:rPr>
              <w:t xml:space="preserve">Remind within cadence; expire the stale manifest at day 7.</w:t>
            </w:r>
          </w:p>
        </w:tc>
      </w:tr>
      <w:tr>
        <w:trPr>
          <w:tblHeader w:val="false"/>
        </w:trPr>
        <w:tc>
          <w:tcPr>
            <w:tcW w:type="dxa" w:w="2900"/>
            <w:tcMar>
              <w:top w:type="dxa" w:w="90"/>
              <w:left w:type="dxa" w:w="140"/>
              <w:bottom w:type="dxa" w:w="90"/>
              <w:right w:type="dxa" w:w="140"/>
            </w:tcMar>
          </w:tcPr>
          <w:p>
            <w:pPr>
              <w:spacing w:after="0" w:line="300"/>
            </w:pPr>
            <w:r>
              <w:rPr>
                <w:color w:val="141414"/>
                <w:sz w:val="22"/>
                <w:szCs w:val="22"/>
              </w:rPr>
              <w:t xml:space="preserve">META_PROVIDER_BLOCKED</w:t>
            </w:r>
          </w:p>
        </w:tc>
        <w:tc>
          <w:tcPr>
            <w:tcW w:type="dxa" w:w="6460"/>
            <w:tcMar>
              <w:top w:type="dxa" w:w="90"/>
              <w:left w:type="dxa" w:w="140"/>
              <w:bottom w:type="dxa" w:w="90"/>
              <w:right w:type="dxa" w:w="140"/>
            </w:tcMar>
          </w:tcPr>
          <w:p>
            <w:pPr>
              <w:spacing w:after="0" w:line="300"/>
            </w:pPr>
            <w:r>
              <w:rPr>
                <w:color w:val="141414"/>
                <w:sz w:val="22"/>
                <w:szCs w:val="22"/>
              </w:rPr>
              <w:t xml:space="preserve">Save state; show the provider action; send nothing.</w:t>
            </w:r>
          </w:p>
        </w:tc>
      </w:tr>
      <w:tr>
        <w:trPr>
          <w:tblHeader w:val="false"/>
        </w:trPr>
        <w:tc>
          <w:tcPr>
            <w:tcW w:type="dxa" w:w="2900"/>
            <w:tcMar>
              <w:top w:type="dxa" w:w="90"/>
              <w:left w:type="dxa" w:w="140"/>
              <w:bottom w:type="dxa" w:w="90"/>
              <w:right w:type="dxa" w:w="140"/>
            </w:tcMar>
          </w:tcPr>
          <w:p>
            <w:pPr>
              <w:spacing w:after="0" w:line="300"/>
            </w:pPr>
            <w:r>
              <w:rPr>
                <w:color w:val="141414"/>
                <w:sz w:val="22"/>
                <w:szCs w:val="22"/>
              </w:rPr>
              <w:t xml:space="preserve">ASAAS_PROVIDER_BLOCKED</w:t>
            </w:r>
          </w:p>
        </w:tc>
        <w:tc>
          <w:tcPr>
            <w:tcW w:type="dxa" w:w="6460"/>
            <w:tcMar>
              <w:top w:type="dxa" w:w="90"/>
              <w:left w:type="dxa" w:w="140"/>
              <w:bottom w:type="dxa" w:w="90"/>
              <w:right w:type="dxa" w:w="140"/>
            </w:tcMar>
          </w:tcPr>
          <w:p>
            <w:pPr>
              <w:spacing w:after="0" w:line="300"/>
            </w:pPr>
            <w:r>
              <w:rPr>
                <w:color w:val="141414"/>
                <w:sz w:val="22"/>
                <w:szCs w:val="22"/>
              </w:rPr>
              <w:t xml:space="preserve">Save state; write nothing financial.</w:t>
            </w:r>
          </w:p>
        </w:tc>
      </w:tr>
      <w:tr>
        <w:trPr>
          <w:tblHeader w:val="false"/>
        </w:trPr>
        <w:tc>
          <w:tcPr>
            <w:tcW w:type="dxa" w:w="2900"/>
            <w:tcMar>
              <w:top w:type="dxa" w:w="90"/>
              <w:left w:type="dxa" w:w="140"/>
              <w:bottom w:type="dxa" w:w="90"/>
              <w:right w:type="dxa" w:w="140"/>
            </w:tcMar>
          </w:tcPr>
          <w:p>
            <w:pPr>
              <w:spacing w:after="0" w:line="300"/>
            </w:pPr>
            <w:r>
              <w:rPr>
                <w:color w:val="141414"/>
                <w:sz w:val="22"/>
                <w:szCs w:val="22"/>
              </w:rPr>
              <w:t xml:space="preserve">MESSAGE_TRANSIENT_FAILURE</w:t>
            </w:r>
          </w:p>
        </w:tc>
        <w:tc>
          <w:tcPr>
            <w:tcW w:type="dxa" w:w="6460"/>
            <w:tcMar>
              <w:top w:type="dxa" w:w="90"/>
              <w:left w:type="dxa" w:w="140"/>
              <w:bottom w:type="dxa" w:w="90"/>
              <w:right w:type="dxa" w:w="140"/>
            </w:tcMar>
          </w:tcPr>
          <w:p>
            <w:pPr>
              <w:spacing w:after="0" w:line="300"/>
            </w:pPr>
            <w:r>
              <w:rPr>
                <w:color w:val="141414"/>
                <w:sz w:val="22"/>
                <w:szCs w:val="22"/>
              </w:rPr>
              <w:t xml:space="preserve">Bounded idempotent retry.</w:t>
            </w:r>
          </w:p>
        </w:tc>
      </w:tr>
      <w:tr>
        <w:trPr>
          <w:tblHeader w:val="false"/>
        </w:trPr>
        <w:tc>
          <w:tcPr>
            <w:tcW w:type="dxa" w:w="2900"/>
            <w:tcMar>
              <w:top w:type="dxa" w:w="90"/>
              <w:left w:type="dxa" w:w="140"/>
              <w:bottom w:type="dxa" w:w="90"/>
              <w:right w:type="dxa" w:w="140"/>
            </w:tcMar>
          </w:tcPr>
          <w:p>
            <w:pPr>
              <w:spacing w:after="0" w:line="300"/>
            </w:pPr>
            <w:r>
              <w:rPr>
                <w:color w:val="141414"/>
                <w:sz w:val="22"/>
                <w:szCs w:val="22"/>
              </w:rPr>
              <w:t xml:space="preserve">MESSAGE_PERMANENT_FAILURE</w:t>
            </w:r>
          </w:p>
        </w:tc>
        <w:tc>
          <w:tcPr>
            <w:tcW w:type="dxa" w:w="6460"/>
            <w:tcMar>
              <w:top w:type="dxa" w:w="90"/>
              <w:left w:type="dxa" w:w="140"/>
              <w:bottom w:type="dxa" w:w="90"/>
              <w:right w:type="dxa" w:w="140"/>
            </w:tcMar>
          </w:tcPr>
          <w:p>
            <w:pPr>
              <w:spacing w:after="0" w:line="300"/>
            </w:pPr>
            <w:r>
              <w:rPr>
                <w:color w:val="141414"/>
                <w:sz w:val="22"/>
                <w:szCs w:val="22"/>
              </w:rPr>
              <w:t xml:space="preserve">No retry. Mark unreachable.</w:t>
            </w:r>
          </w:p>
        </w:tc>
      </w:tr>
      <w:tr>
        <w:trPr>
          <w:tblHeader w:val="false"/>
        </w:trPr>
        <w:tc>
          <w:tcPr>
            <w:tcW w:type="dxa" w:w="2900"/>
            <w:tcMar>
              <w:top w:type="dxa" w:w="90"/>
              <w:left w:type="dxa" w:w="140"/>
              <w:bottom w:type="dxa" w:w="90"/>
              <w:right w:type="dxa" w:w="140"/>
            </w:tcMar>
          </w:tcPr>
          <w:p>
            <w:pPr>
              <w:spacing w:after="0" w:line="300"/>
            </w:pPr>
            <w:r>
              <w:rPr>
                <w:color w:val="141414"/>
                <w:sz w:val="22"/>
                <w:szCs w:val="22"/>
              </w:rPr>
              <w:t xml:space="preserve">META_QUALITY_RISK</w:t>
            </w:r>
          </w:p>
        </w:tc>
        <w:tc>
          <w:tcPr>
            <w:tcW w:type="dxa" w:w="6460"/>
            <w:tcMar>
              <w:top w:type="dxa" w:w="90"/>
              <w:left w:type="dxa" w:w="140"/>
              <w:bottom w:type="dxa" w:w="90"/>
              <w:right w:type="dxa" w:w="140"/>
            </w:tcMar>
          </w:tcPr>
          <w:p>
            <w:pPr>
              <w:spacing w:after="0" w:line="300"/>
            </w:pPr>
            <w:r>
              <w:rPr>
                <w:color w:val="141414"/>
                <w:sz w:val="22"/>
                <w:szCs w:val="22"/>
              </w:rPr>
              <w:t xml:space="preserve">Pause that account’s sends.</w:t>
            </w:r>
          </w:p>
        </w:tc>
      </w:tr>
      <w:tr>
        <w:trPr>
          <w:tblHeader w:val="false"/>
        </w:trPr>
        <w:tc>
          <w:tcPr>
            <w:tcW w:type="dxa" w:w="2900"/>
            <w:tcMar>
              <w:top w:type="dxa" w:w="90"/>
              <w:left w:type="dxa" w:w="140"/>
              <w:bottom w:type="dxa" w:w="90"/>
              <w:right w:type="dxa" w:w="140"/>
            </w:tcMar>
          </w:tcPr>
          <w:p>
            <w:pPr>
              <w:spacing w:after="0" w:line="300"/>
            </w:pPr>
            <w:r>
              <w:rPr>
                <w:color w:val="141414"/>
                <w:sz w:val="22"/>
                <w:szCs w:val="22"/>
              </w:rPr>
              <w:t xml:space="preserve">CHECKOUT_EXPIRED</w:t>
            </w:r>
          </w:p>
        </w:tc>
        <w:tc>
          <w:tcPr>
            <w:tcW w:type="dxa" w:w="6460"/>
            <w:tcMar>
              <w:top w:type="dxa" w:w="90"/>
              <w:left w:type="dxa" w:w="140"/>
              <w:bottom w:type="dxa" w:w="90"/>
              <w:right w:type="dxa" w:w="140"/>
            </w:tcMar>
          </w:tcPr>
          <w:p>
            <w:pPr>
              <w:spacing w:after="0" w:line="300"/>
            </w:pPr>
            <w:r>
              <w:rPr>
                <w:color w:val="141414"/>
                <w:sz w:val="22"/>
                <w:szCs w:val="22"/>
              </w:rPr>
              <w:t xml:space="preserve">Release inventory; the stable page may mint a new checkout.</w:t>
            </w:r>
          </w:p>
        </w:tc>
      </w:tr>
      <w:tr>
        <w:trPr>
          <w:tblHeader w:val="false"/>
        </w:trPr>
        <w:tc>
          <w:tcPr>
            <w:tcW w:type="dxa" w:w="2900"/>
            <w:tcMar>
              <w:top w:type="dxa" w:w="90"/>
              <w:left w:type="dxa" w:w="140"/>
              <w:bottom w:type="dxa" w:w="90"/>
              <w:right w:type="dxa" w:w="140"/>
            </w:tcMar>
          </w:tcPr>
          <w:p>
            <w:pPr>
              <w:spacing w:after="0" w:line="300"/>
            </w:pPr>
            <w:r>
              <w:rPr>
                <w:color w:val="141414"/>
                <w:sz w:val="22"/>
                <w:szCs w:val="22"/>
              </w:rPr>
              <w:t xml:space="preserve">SPLIT_REFUSED</w:t>
            </w:r>
          </w:p>
        </w:tc>
        <w:tc>
          <w:tcPr>
            <w:tcW w:type="dxa" w:w="6460"/>
            <w:tcMar>
              <w:top w:type="dxa" w:w="90"/>
              <w:left w:type="dxa" w:w="140"/>
              <w:bottom w:type="dxa" w:w="90"/>
              <w:right w:type="dxa" w:w="140"/>
            </w:tcMar>
          </w:tcPr>
          <w:p>
            <w:pPr>
              <w:spacing w:after="0" w:line="300"/>
            </w:pPr>
            <w:r>
              <w:rPr>
                <w:color w:val="141414"/>
                <w:sz w:val="22"/>
                <w:szCs w:val="22"/>
              </w:rPr>
              <w:t xml:space="preserve">Fulfill the paid customer; quarantine operator revenue; founder reviews.</w:t>
            </w:r>
          </w:p>
        </w:tc>
      </w:tr>
      <w:tr>
        <w:trPr>
          <w:tblHeader w:val="false"/>
        </w:trPr>
        <w:tc>
          <w:tcPr>
            <w:tcW w:type="dxa" w:w="2900"/>
            <w:tcMar>
              <w:top w:type="dxa" w:w="90"/>
              <w:left w:type="dxa" w:w="140"/>
              <w:bottom w:type="dxa" w:w="90"/>
              <w:right w:type="dxa" w:w="140"/>
            </w:tcMar>
          </w:tcPr>
          <w:p>
            <w:pPr>
              <w:spacing w:after="0" w:line="300"/>
            </w:pPr>
            <w:r>
              <w:rPr>
                <w:color w:val="141414"/>
                <w:sz w:val="22"/>
                <w:szCs w:val="22"/>
              </w:rPr>
              <w:t xml:space="preserve">PAID_UNBOOKED_SLA</w:t>
            </w:r>
          </w:p>
        </w:tc>
        <w:tc>
          <w:tcPr>
            <w:tcW w:type="dxa" w:w="6460"/>
            <w:tcMar>
              <w:top w:type="dxa" w:w="90"/>
              <w:left w:type="dxa" w:w="140"/>
              <w:bottom w:type="dxa" w:w="90"/>
              <w:right w:type="dxa" w:w="140"/>
            </w:tcMar>
          </w:tcPr>
          <w:p>
            <w:pPr>
              <w:spacing w:after="0" w:line="300"/>
            </w:pPr>
            <w:r>
              <w:rPr>
                <w:color w:val="141414"/>
                <w:sz w:val="22"/>
                <w:szCs w:val="22"/>
              </w:rPr>
              <w:t xml:space="preserve">Remind reception, escalate to owner, pause that offer’s checkouts.</w:t>
            </w:r>
          </w:p>
        </w:tc>
      </w:tr>
      <w:tr>
        <w:trPr>
          <w:tblHeader w:val="false"/>
        </w:trPr>
        <w:tc>
          <w:tcPr>
            <w:tcW w:type="dxa" w:w="2900"/>
            <w:tcMar>
              <w:top w:type="dxa" w:w="90"/>
              <w:left w:type="dxa" w:w="140"/>
              <w:bottom w:type="dxa" w:w="90"/>
              <w:right w:type="dxa" w:w="140"/>
            </w:tcMar>
          </w:tcPr>
          <w:p>
            <w:pPr>
              <w:spacing w:after="0" w:line="300"/>
            </w:pPr>
            <w:r>
              <w:rPr>
                <w:color w:val="141414"/>
                <w:sz w:val="22"/>
                <w:szCs w:val="22"/>
              </w:rPr>
              <w:t xml:space="preserve">REDEMPTION_DUE</w:t>
            </w:r>
          </w:p>
        </w:tc>
        <w:tc>
          <w:tcPr>
            <w:tcW w:type="dxa" w:w="6460"/>
            <w:tcMar>
              <w:top w:type="dxa" w:w="90"/>
              <w:left w:type="dxa" w:w="140"/>
              <w:bottom w:type="dxa" w:w="90"/>
              <w:right w:type="dxa" w:w="140"/>
            </w:tcMar>
          </w:tcPr>
          <w:p>
            <w:pPr>
              <w:spacing w:after="0" w:line="300"/>
            </w:pPr>
            <w:r>
              <w:rPr>
                <w:color w:val="141414"/>
                <w:sz w:val="22"/>
                <w:szCs w:val="22"/>
              </w:rPr>
              <w:t xml:space="preserve">Require extension, refund or credit. Never forfeit silently.</w:t>
            </w:r>
          </w:p>
        </w:tc>
      </w:tr>
      <w:tr>
        <w:trPr>
          <w:tblHeader w:val="false"/>
        </w:trPr>
        <w:tc>
          <w:tcPr>
            <w:tcW w:type="dxa" w:w="2900"/>
            <w:tcMar>
              <w:top w:type="dxa" w:w="90"/>
              <w:left w:type="dxa" w:w="140"/>
              <w:bottom w:type="dxa" w:w="90"/>
              <w:right w:type="dxa" w:w="140"/>
            </w:tcMar>
          </w:tcPr>
          <w:p>
            <w:pPr>
              <w:spacing w:after="0" w:line="300"/>
            </w:pPr>
            <w:r>
              <w:rPr>
                <w:color w:val="141414"/>
                <w:sz w:val="22"/>
                <w:szCs w:val="22"/>
              </w:rPr>
              <w:t xml:space="preserve">REFUND_OR_CHARGEBACK</w:t>
            </w:r>
          </w:p>
        </w:tc>
        <w:tc>
          <w:tcPr>
            <w:tcW w:type="dxa" w:w="6460"/>
            <w:tcMar>
              <w:top w:type="dxa" w:w="90"/>
              <w:left w:type="dxa" w:w="140"/>
              <w:bottom w:type="dxa" w:w="90"/>
              <w:right w:type="dxa" w:w="140"/>
            </w:tcMar>
          </w:tcPr>
          <w:p>
            <w:pPr>
              <w:spacing w:after="0" w:line="300"/>
            </w:pPr>
            <w:r>
              <w:rPr>
                <w:color w:val="141414"/>
                <w:sz w:val="22"/>
                <w:szCs w:val="22"/>
              </w:rPr>
              <w:t xml:space="preserve">Invalidate only an unused voucher; reverse the ledger; record post-redemption disputes as loss events.</w:t>
            </w:r>
          </w:p>
        </w:tc>
      </w:tr>
      <w:tr>
        <w:trPr>
          <w:tblHeader w:val="false"/>
        </w:trPr>
        <w:tc>
          <w:tcPr>
            <w:tcW w:type="dxa" w:w="2900"/>
            <w:tcMar>
              <w:top w:type="dxa" w:w="90"/>
              <w:left w:type="dxa" w:w="140"/>
              <w:bottom w:type="dxa" w:w="90"/>
              <w:right w:type="dxa" w:w="140"/>
            </w:tcMar>
          </w:tcPr>
          <w:p>
            <w:pPr>
              <w:spacing w:after="0" w:line="300"/>
            </w:pPr>
            <w:r>
              <w:rPr>
                <w:color w:val="141414"/>
                <w:sz w:val="22"/>
                <w:szCs w:val="22"/>
              </w:rPr>
              <w:t xml:space="preserve">WEBHOOK_MISMATCH</w:t>
            </w:r>
          </w:p>
        </w:tc>
        <w:tc>
          <w:tcPr>
            <w:tcW w:type="dxa" w:w="6460"/>
            <w:tcMar>
              <w:top w:type="dxa" w:w="90"/>
              <w:left w:type="dxa" w:w="140"/>
              <w:bottom w:type="dxa" w:w="90"/>
              <w:right w:type="dxa" w:w="140"/>
            </w:tcMar>
          </w:tcPr>
          <w:p>
            <w:pPr>
              <w:spacing w:after="0" w:line="300"/>
            </w:pPr>
            <w:r>
              <w:rPr>
                <w:color w:val="141414"/>
                <w:sz w:val="22"/>
                <w:szCs w:val="22"/>
              </w:rPr>
              <w:t xml:space="preserve">Post no money. Reconcile and alert.</w:t>
            </w:r>
          </w:p>
        </w:tc>
      </w:tr>
    </w:tbl>
    <w:p>
      <w:pPr>
        <w:spacing w:after="60"/>
      </w:pPr>
    </w:p>
    <w:p>
      <w:pPr>
        <w:spacing w:after="160" w:line="360"/>
      </w:pPr>
      <w:r>
        <w:rPr>
          <w:b/>
          <w:bCs/>
          <w:color w:val="141414"/>
        </w:rPr>
        <w:t xml:space="preserve">Never retried: </w:t>
      </w:r>
      <w:r>
        <w:rPr>
          <w:color w:val="141414"/>
        </w:rPr>
        <w:t xml:space="preserve">opt-outs, permanent delivery failures, policy rejections, complaints, sensitive cases.</w:t>
      </w:r>
    </w:p>
    <w:p>
      <w:pPr>
        <w:spacing w:after="60"/>
      </w:pPr>
    </w:p>
    <w:p>
      <w:pPr>
        <w:pStyle w:val="Heading1"/>
        <w:spacing w:after="200" w:before="360"/>
      </w:pPr>
      <w:r>
        <w:rPr>
          <w:b/>
          <w:bCs/>
          <w:color w:val="0B4A36"/>
        </w:rPr>
        <w:t xml:space="preserve">§32 · Operating rhythm</w:t>
      </w:r>
    </w:p>
    <w:p>
      <w:pPr>
        <w:pStyle w:val="ListParagraph"/>
        <w:numPr>
          <w:ilvl w:val="0"/>
          <w:numId w:val="2"/>
        </w:numPr>
        <w:spacing w:after="100" w:line="340"/>
      </w:pPr>
      <w:r>
        <w:rPr>
          <w:b/>
          <w:bCs/>
          <w:color w:val="141414"/>
        </w:rPr>
        <w:t xml:space="preserve">Daily, 15 min — </w:t>
      </w:r>
      <w:r>
        <w:rPr>
          <w:color w:val="141414"/>
        </w:rPr>
        <w:t xml:space="preserve">red queue and provider health.</w:t>
      </w:r>
    </w:p>
    <w:p>
      <w:pPr>
        <w:pStyle w:val="ListParagraph"/>
        <w:numPr>
          <w:ilvl w:val="0"/>
          <w:numId w:val="2"/>
        </w:numPr>
        <w:spacing w:after="100" w:line="340"/>
      </w:pPr>
      <w:r>
        <w:rPr>
          <w:b/>
          <w:bCs/>
          <w:color w:val="141414"/>
        </w:rPr>
        <w:t xml:space="preserve">Monday, 30 min — </w:t>
      </w:r>
      <w:r>
        <w:rPr>
          <w:color w:val="141414"/>
        </w:rPr>
        <w:t xml:space="preserve">acquisition and activation funnel; name the single largest drop-off and fix only that.</w:t>
      </w:r>
    </w:p>
    <w:p>
      <w:pPr>
        <w:pStyle w:val="ListParagraph"/>
        <w:numPr>
          <w:ilvl w:val="0"/>
          <w:numId w:val="2"/>
        </w:numPr>
        <w:spacing w:after="100" w:line="340"/>
      </w:pPr>
      <w:r>
        <w:rPr>
          <w:b/>
          <w:bCs/>
          <w:color w:val="141414"/>
        </w:rPr>
        <w:t xml:space="preserve">Friday, 45 min — </w:t>
      </w:r>
      <w:r>
        <w:rPr>
          <w:color w:val="141414"/>
        </w:rPr>
        <w:t xml:space="preserve">reconciliation exceptions, refund reserve, message quality, fulfillment health, contribution.</w:t>
      </w:r>
    </w:p>
    <w:p>
      <w:pPr>
        <w:pStyle w:val="ListParagraph"/>
        <w:numPr>
          <w:ilvl w:val="0"/>
          <w:numId w:val="2"/>
        </w:numPr>
        <w:spacing w:after="100" w:line="340"/>
      </w:pPr>
      <w:r>
        <w:rPr>
          <w:b/>
          <w:bCs/>
          <w:color w:val="141414"/>
        </w:rPr>
        <w:t xml:space="preserve">Monthly — </w:t>
      </w:r>
      <w:r>
        <w:rPr>
          <w:color w:val="141414"/>
        </w:rPr>
        <w:t xml:space="preserve">provider permissions, access review, restore test, subprocessor and policy changes.</w:t>
      </w:r>
    </w:p>
    <w:p>
      <w:pPr>
        <w:pStyle w:val="ListParagraph"/>
        <w:numPr>
          <w:ilvl w:val="0"/>
          <w:numId w:val="2"/>
        </w:numPr>
        <w:spacing w:after="100" w:line="340"/>
      </w:pPr>
      <w:r>
        <w:rPr>
          <w:b/>
          <w:bCs/>
          <w:color w:val="141414"/>
        </w:rPr>
        <w:t xml:space="preserve">Quarterly — </w:t>
      </w:r>
      <w:r>
        <w:rPr>
          <w:color w:val="141414"/>
        </w:rPr>
        <w:t xml:space="preserve">pricing and contribution, security review, long-tail and expansion gates.</w:t>
      </w:r>
    </w:p>
    <w:p>
      <w:pPr>
        <w:spacing w:after="160" w:line="360"/>
      </w:pPr>
      <w:r>
        <w:rPr>
          <w:color w:val="141414"/>
        </w:rPr>
        <w:t xml:space="preserve">She does not read every statement. The system reconciles all of them and surfaces only exceptions.</w:t>
      </w:r>
    </w:p>
    <w:p>
      <w:pPr>
        <w:spacing w:after="60"/>
      </w:pPr>
    </w:p>
    <w:p>
      <w:pPr>
        <w:pStyle w:val="Heading1"/>
        <w:spacing w:after="200" w:before="360"/>
      </w:pPr>
      <w:r>
        <w:rPr>
          <w:b/>
          <w:bCs/>
          <w:color w:val="0B4A36"/>
        </w:rPr>
        <w:t xml:space="preserve">§33 · Automatic tripwires</w:t>
      </w:r>
    </w:p>
    <w:tbl>
      <w:tblPr>
        <w:tblW w:type="dxa" w:w="9360"/>
        <w:tblBorders>
          <w:top w:val="single" w:color="1D6B4F" w:sz="8"/>
          <w:left w:val="none"/>
          <w:bottom w:val="single" w:color="1D6B4F" w:sz="8"/>
          <w:right w:val="none"/>
          <w:insideH w:val="single" w:color="C9D6D0" w:sz="4"/>
          <w:insideV w:val="single" w:color="C9D6D0" w:sz="4"/>
        </w:tblBorders>
      </w:tblPr>
      <w:tblGrid>
        <w:gridCol w:w="3900"/>
        <w:gridCol w:w="5460"/>
      </w:tblGrid>
      <w:tr>
        <w:trPr>
          <w:tblHeader/>
        </w:trPr>
        <w:tc>
          <w:tcPr>
            <w:tcW w:type="dxa" w:w="3900"/>
            <w:shd w:fill="0B4A36" w:val="clear"/>
            <w:tcMar>
              <w:top w:type="dxa" w:w="90"/>
              <w:left w:type="dxa" w:w="140"/>
              <w:bottom w:type="dxa" w:w="90"/>
              <w:right w:type="dxa" w:w="140"/>
            </w:tcMar>
          </w:tcPr>
          <w:p>
            <w:pPr>
              <w:spacing w:after="0" w:line="300"/>
            </w:pPr>
            <w:r>
              <w:rPr>
                <w:b/>
                <w:bCs/>
                <w:color w:val="FFFFFF"/>
                <w:sz w:val="22"/>
                <w:szCs w:val="22"/>
              </w:rPr>
              <w:t xml:space="preserve">Signal</w:t>
            </w:r>
          </w:p>
        </w:tc>
        <w:tc>
          <w:tcPr>
            <w:tcW w:type="dxa" w:w="5460"/>
            <w:shd w:fill="0B4A36" w:val="clear"/>
            <w:tcMar>
              <w:top w:type="dxa" w:w="90"/>
              <w:left w:type="dxa" w:w="140"/>
              <w:bottom w:type="dxa" w:w="90"/>
              <w:right w:type="dxa" w:w="140"/>
            </w:tcMar>
          </w:tcPr>
          <w:p>
            <w:pPr>
              <w:spacing w:after="0" w:line="300"/>
            </w:pPr>
            <w:r>
              <w:rPr>
                <w:b/>
                <w:bCs/>
                <w:color w:val="FFFFFF"/>
                <w:sz w:val="22"/>
                <w:szCs w:val="22"/>
              </w:rPr>
              <w:t xml:space="preserve">Automatic action</w:t>
            </w:r>
          </w:p>
        </w:tc>
      </w:tr>
      <w:tr>
        <w:trPr>
          <w:tblHeader w:val="false"/>
        </w:trPr>
        <w:tc>
          <w:tcPr>
            <w:tcW w:type="dxa" w:w="3900"/>
            <w:tcMar>
              <w:top w:type="dxa" w:w="90"/>
              <w:left w:type="dxa" w:w="140"/>
              <w:bottom w:type="dxa" w:w="90"/>
              <w:right w:type="dxa" w:w="140"/>
            </w:tcMar>
          </w:tcPr>
          <w:p>
            <w:pPr>
              <w:spacing w:after="0" w:line="300"/>
            </w:pPr>
            <w:r>
              <w:rPr>
                <w:color w:val="141414"/>
                <w:sz w:val="22"/>
                <w:szCs w:val="22"/>
              </w:rPr>
              <w:t xml:space="preserve">Meta quality or template status deteriorates</w:t>
            </w:r>
          </w:p>
        </w:tc>
        <w:tc>
          <w:tcPr>
            <w:tcW w:type="dxa" w:w="5460"/>
            <w:tcMar>
              <w:top w:type="dxa" w:w="90"/>
              <w:left w:type="dxa" w:w="140"/>
              <w:bottom w:type="dxa" w:w="90"/>
              <w:right w:type="dxa" w:w="140"/>
            </w:tcMar>
          </w:tcPr>
          <w:p>
            <w:pPr>
              <w:spacing w:after="0" w:line="300"/>
            </w:pPr>
            <w:r>
              <w:rPr>
                <w:color w:val="141414"/>
                <w:sz w:val="22"/>
                <w:szCs w:val="22"/>
              </w:rPr>
              <w:t xml:space="preserve">Pause affected sends; review audience and copy before anything else.</w:t>
            </w:r>
          </w:p>
        </w:tc>
      </w:tr>
      <w:tr>
        <w:trPr>
          <w:tblHeader w:val="false"/>
        </w:trPr>
        <w:tc>
          <w:tcPr>
            <w:tcW w:type="dxa" w:w="3900"/>
            <w:tcMar>
              <w:top w:type="dxa" w:w="90"/>
              <w:left w:type="dxa" w:w="140"/>
              <w:bottom w:type="dxa" w:w="90"/>
              <w:right w:type="dxa" w:w="140"/>
            </w:tcMar>
          </w:tcPr>
          <w:p>
            <w:pPr>
              <w:spacing w:after="0" w:line="300"/>
            </w:pPr>
            <w:r>
              <w:rPr>
                <w:color w:val="141414"/>
                <w:sz w:val="22"/>
                <w:szCs w:val="22"/>
              </w:rPr>
              <w:t xml:space="preserve">Opt-out, block or report rate crosses threshold</w:t>
            </w:r>
          </w:p>
        </w:tc>
        <w:tc>
          <w:tcPr>
            <w:tcW w:type="dxa" w:w="5460"/>
            <w:tcMar>
              <w:top w:type="dxa" w:w="90"/>
              <w:left w:type="dxa" w:w="140"/>
              <w:bottom w:type="dxa" w:w="90"/>
              <w:right w:type="dxa" w:w="140"/>
            </w:tcMar>
          </w:tcPr>
          <w:p>
            <w:pPr>
              <w:spacing w:after="0" w:line="300"/>
            </w:pPr>
            <w:r>
              <w:rPr>
                <w:color w:val="141414"/>
                <w:sz w:val="22"/>
                <w:szCs w:val="22"/>
              </w:rPr>
              <w:t xml:space="preserve">Pause the campaign or the account; investigate.</w:t>
            </w:r>
          </w:p>
        </w:tc>
      </w:tr>
      <w:tr>
        <w:trPr>
          <w:tblHeader w:val="false"/>
        </w:trPr>
        <w:tc>
          <w:tcPr>
            <w:tcW w:type="dxa" w:w="3900"/>
            <w:tcMar>
              <w:top w:type="dxa" w:w="90"/>
              <w:left w:type="dxa" w:w="140"/>
              <w:bottom w:type="dxa" w:w="90"/>
              <w:right w:type="dxa" w:w="140"/>
            </w:tcMar>
          </w:tcPr>
          <w:p>
            <w:pPr>
              <w:spacing w:after="0" w:line="300"/>
            </w:pPr>
            <w:r>
              <w:rPr>
                <w:color w:val="141414"/>
                <w:sz w:val="22"/>
                <w:szCs w:val="22"/>
              </w:rPr>
              <w:t xml:space="preserve">Refund or chargeback rate crosses threshold</w:t>
            </w:r>
          </w:p>
        </w:tc>
        <w:tc>
          <w:tcPr>
            <w:tcW w:type="dxa" w:w="5460"/>
            <w:tcMar>
              <w:top w:type="dxa" w:w="90"/>
              <w:left w:type="dxa" w:w="140"/>
              <w:bottom w:type="dxa" w:w="90"/>
              <w:right w:type="dxa" w:w="140"/>
            </w:tcMar>
          </w:tcPr>
          <w:p>
            <w:pPr>
              <w:spacing w:after="0" w:line="300"/>
            </w:pPr>
            <w:r>
              <w:rPr>
                <w:color w:val="141414"/>
                <w:sz w:val="22"/>
                <w:szCs w:val="22"/>
              </w:rPr>
              <w:t xml:space="preserve">Pause new offer sales; inspect fulfillment and terms.</w:t>
            </w:r>
          </w:p>
        </w:tc>
      </w:tr>
      <w:tr>
        <w:trPr>
          <w:tblHeader w:val="false"/>
        </w:trPr>
        <w:tc>
          <w:tcPr>
            <w:tcW w:type="dxa" w:w="3900"/>
            <w:tcMar>
              <w:top w:type="dxa" w:w="90"/>
              <w:left w:type="dxa" w:w="140"/>
              <w:bottom w:type="dxa" w:w="90"/>
              <w:right w:type="dxa" w:w="140"/>
            </w:tcMar>
          </w:tcPr>
          <w:p>
            <w:pPr>
              <w:spacing w:after="0" w:line="300"/>
            </w:pPr>
            <w:r>
              <w:rPr>
                <w:color w:val="141414"/>
                <w:sz w:val="22"/>
                <w:szCs w:val="22"/>
              </w:rPr>
              <w:t xml:space="preserve">Any paid booking request exceeds maximum reception SLA</w:t>
            </w:r>
          </w:p>
        </w:tc>
        <w:tc>
          <w:tcPr>
            <w:tcW w:type="dxa" w:w="5460"/>
            <w:tcMar>
              <w:top w:type="dxa" w:w="90"/>
              <w:left w:type="dxa" w:w="140"/>
              <w:bottom w:type="dxa" w:w="90"/>
              <w:right w:type="dxa" w:w="140"/>
            </w:tcMar>
          </w:tcPr>
          <w:p>
            <w:pPr>
              <w:spacing w:after="0" w:line="300"/>
            </w:pPr>
            <w:r>
              <w:rPr>
                <w:color w:val="141414"/>
                <w:sz w:val="22"/>
                <w:szCs w:val="22"/>
              </w:rPr>
              <w:t xml:space="preserve">Pause that offer’s checkouts; alert reception and owner.</w:t>
            </w:r>
          </w:p>
        </w:tc>
      </w:tr>
      <w:tr>
        <w:trPr>
          <w:tblHeader w:val="false"/>
        </w:trPr>
        <w:tc>
          <w:tcPr>
            <w:tcW w:type="dxa" w:w="3900"/>
            <w:tcMar>
              <w:top w:type="dxa" w:w="90"/>
              <w:left w:type="dxa" w:w="140"/>
              <w:bottom w:type="dxa" w:w="90"/>
              <w:right w:type="dxa" w:w="140"/>
            </w:tcMar>
          </w:tcPr>
          <w:p>
            <w:pPr>
              <w:spacing w:after="0" w:line="300"/>
            </w:pPr>
            <w:r>
              <w:rPr>
                <w:color w:val="141414"/>
                <w:sz w:val="22"/>
                <w:szCs w:val="22"/>
              </w:rPr>
              <w:t xml:space="preserve">A salon repeatedly strands paid buyers</w:t>
            </w:r>
          </w:p>
        </w:tc>
        <w:tc>
          <w:tcPr>
            <w:tcW w:type="dxa" w:w="5460"/>
            <w:tcMar>
              <w:top w:type="dxa" w:w="90"/>
              <w:left w:type="dxa" w:w="140"/>
              <w:bottom w:type="dxa" w:w="90"/>
              <w:right w:type="dxa" w:w="140"/>
            </w:tcMar>
          </w:tcPr>
          <w:p>
            <w:pPr>
              <w:spacing w:after="0" w:line="300"/>
            </w:pPr>
            <w:r>
              <w:rPr>
                <w:color w:val="141414"/>
                <w:sz w:val="22"/>
                <w:szCs w:val="22"/>
              </w:rPr>
              <w:t xml:space="preserve">Pause all new sales until fulfillment recovers.</w:t>
            </w:r>
          </w:p>
        </w:tc>
      </w:tr>
      <w:tr>
        <w:trPr>
          <w:tblHeader w:val="false"/>
        </w:trPr>
        <w:tc>
          <w:tcPr>
            <w:tcW w:type="dxa" w:w="3900"/>
            <w:tcMar>
              <w:top w:type="dxa" w:w="90"/>
              <w:left w:type="dxa" w:w="140"/>
              <w:bottom w:type="dxa" w:w="90"/>
              <w:right w:type="dxa" w:w="140"/>
            </w:tcMar>
          </w:tcPr>
          <w:p>
            <w:pPr>
              <w:spacing w:after="0" w:line="300"/>
            </w:pPr>
            <w:r>
              <w:rPr>
                <w:color w:val="141414"/>
                <w:sz w:val="22"/>
                <w:szCs w:val="22"/>
              </w:rPr>
              <w:t xml:space="preserve">Outstanding vouchers exceed declared capacity</w:t>
            </w:r>
          </w:p>
        </w:tc>
        <w:tc>
          <w:tcPr>
            <w:tcW w:type="dxa" w:w="5460"/>
            <w:tcMar>
              <w:top w:type="dxa" w:w="90"/>
              <w:left w:type="dxa" w:w="140"/>
              <w:bottom w:type="dxa" w:w="90"/>
              <w:right w:type="dxa" w:w="140"/>
            </w:tcMar>
          </w:tcPr>
          <w:p>
            <w:pPr>
              <w:spacing w:after="0" w:line="300"/>
            </w:pPr>
            <w:r>
              <w:rPr>
                <w:color w:val="141414"/>
                <w:sz w:val="22"/>
                <w:szCs w:val="22"/>
              </w:rPr>
              <w:t xml:space="preserve">Stop sales and new campaigns.</w:t>
            </w:r>
          </w:p>
        </w:tc>
      </w:tr>
      <w:tr>
        <w:trPr>
          <w:tblHeader w:val="false"/>
        </w:trPr>
        <w:tc>
          <w:tcPr>
            <w:tcW w:type="dxa" w:w="3900"/>
            <w:tcMar>
              <w:top w:type="dxa" w:w="90"/>
              <w:left w:type="dxa" w:w="140"/>
              <w:bottom w:type="dxa" w:w="90"/>
              <w:right w:type="dxa" w:w="140"/>
            </w:tcMar>
          </w:tcPr>
          <w:p>
            <w:pPr>
              <w:spacing w:after="0" w:line="300"/>
            </w:pPr>
            <w:r>
              <w:rPr>
                <w:color w:val="141414"/>
                <w:sz w:val="22"/>
                <w:szCs w:val="22"/>
              </w:rPr>
              <w:t xml:space="preserve">Source snapshot older than 24 hours</w:t>
            </w:r>
          </w:p>
        </w:tc>
        <w:tc>
          <w:tcPr>
            <w:tcW w:type="dxa" w:w="5460"/>
            <w:tcMar>
              <w:top w:type="dxa" w:w="90"/>
              <w:left w:type="dxa" w:w="140"/>
              <w:bottom w:type="dxa" w:w="90"/>
              <w:right w:type="dxa" w:w="140"/>
            </w:tcMar>
          </w:tcPr>
          <w:p>
            <w:pPr>
              <w:spacing w:after="0" w:line="300"/>
            </w:pPr>
            <w:r>
              <w:rPr>
                <w:color w:val="141414"/>
                <w:sz w:val="22"/>
                <w:szCs w:val="22"/>
              </w:rPr>
              <w:t xml:space="preserve">Invalidate the manifest.</w:t>
            </w:r>
          </w:p>
        </w:tc>
      </w:tr>
      <w:tr>
        <w:trPr>
          <w:tblHeader w:val="false"/>
        </w:trPr>
        <w:tc>
          <w:tcPr>
            <w:tcW w:type="dxa" w:w="3900"/>
            <w:tcMar>
              <w:top w:type="dxa" w:w="90"/>
              <w:left w:type="dxa" w:w="140"/>
              <w:bottom w:type="dxa" w:w="90"/>
              <w:right w:type="dxa" w:w="140"/>
            </w:tcMar>
          </w:tcPr>
          <w:p>
            <w:pPr>
              <w:spacing w:after="0" w:line="300"/>
            </w:pPr>
            <w:r>
              <w:rPr>
                <w:color w:val="141414"/>
                <w:sz w:val="22"/>
                <w:szCs w:val="22"/>
              </w:rPr>
              <w:t xml:space="preserve">Asaas credential or webhook health fails</w:t>
            </w:r>
          </w:p>
        </w:tc>
        <w:tc>
          <w:tcPr>
            <w:tcW w:type="dxa" w:w="5460"/>
            <w:tcMar>
              <w:top w:type="dxa" w:w="90"/>
              <w:left w:type="dxa" w:w="140"/>
              <w:bottom w:type="dxa" w:w="90"/>
              <w:right w:type="dxa" w:w="140"/>
            </w:tcMar>
          </w:tcPr>
          <w:p>
            <w:pPr>
              <w:spacing w:after="0" w:line="300"/>
            </w:pPr>
            <w:r>
              <w:rPr>
                <w:color w:val="141414"/>
                <w:sz w:val="22"/>
                <w:szCs w:val="22"/>
              </w:rPr>
              <w:t xml:space="preserve">Stop checkout creation.</w:t>
            </w:r>
          </w:p>
        </w:tc>
      </w:tr>
      <w:tr>
        <w:trPr>
          <w:tblHeader w:val="false"/>
        </w:trPr>
        <w:tc>
          <w:tcPr>
            <w:tcW w:type="dxa" w:w="3900"/>
            <w:tcMar>
              <w:top w:type="dxa" w:w="90"/>
              <w:left w:type="dxa" w:w="140"/>
              <w:bottom w:type="dxa" w:w="90"/>
              <w:right w:type="dxa" w:w="140"/>
            </w:tcMar>
          </w:tcPr>
          <w:p>
            <w:pPr>
              <w:spacing w:after="0" w:line="300"/>
            </w:pPr>
            <w:r>
              <w:rPr>
                <w:color w:val="141414"/>
                <w:sz w:val="22"/>
                <w:szCs w:val="22"/>
              </w:rPr>
              <w:t xml:space="preserve">Split status is not DONE</w:t>
            </w:r>
          </w:p>
        </w:tc>
        <w:tc>
          <w:tcPr>
            <w:tcW w:type="dxa" w:w="5460"/>
            <w:tcMar>
              <w:top w:type="dxa" w:w="90"/>
              <w:left w:type="dxa" w:w="140"/>
              <w:bottom w:type="dxa" w:w="90"/>
              <w:right w:type="dxa" w:w="140"/>
            </w:tcMar>
          </w:tcPr>
          <w:p>
            <w:pPr>
              <w:spacing w:after="0" w:line="300"/>
            </w:pPr>
            <w:r>
              <w:rPr>
                <w:color w:val="141414"/>
                <w:sz w:val="22"/>
                <w:szCs w:val="22"/>
              </w:rPr>
              <w:t xml:space="preserve">Recognize no fee.</w:t>
            </w:r>
          </w:p>
        </w:tc>
      </w:tr>
      <w:tr>
        <w:trPr>
          <w:tblHeader w:val="false"/>
        </w:trPr>
        <w:tc>
          <w:tcPr>
            <w:tcW w:type="dxa" w:w="3900"/>
            <w:tcMar>
              <w:top w:type="dxa" w:w="90"/>
              <w:left w:type="dxa" w:w="140"/>
              <w:bottom w:type="dxa" w:w="90"/>
              <w:right w:type="dxa" w:w="140"/>
            </w:tcMar>
          </w:tcPr>
          <w:p>
            <w:pPr>
              <w:spacing w:after="0" w:line="300"/>
            </w:pPr>
            <w:r>
              <w:rPr>
                <w:color w:val="141414"/>
                <w:sz w:val="22"/>
                <w:szCs w:val="22"/>
              </w:rPr>
              <w:t xml:space="preserve">Conversion weak across two comparable campaigns</w:t>
            </w:r>
          </w:p>
        </w:tc>
        <w:tc>
          <w:tcPr>
            <w:tcW w:type="dxa" w:w="5460"/>
            <w:tcMar>
              <w:top w:type="dxa" w:w="90"/>
              <w:left w:type="dxa" w:w="140"/>
              <w:bottom w:type="dxa" w:w="90"/>
              <w:right w:type="dxa" w:w="140"/>
            </w:tcMar>
          </w:tcPr>
          <w:p>
            <w:pPr>
              <w:spacing w:after="0" w:line="300"/>
            </w:pPr>
            <w:r>
              <w:rPr>
                <w:color w:val="141414"/>
                <w:sz w:val="22"/>
                <w:szCs w:val="22"/>
              </w:rPr>
              <w:t xml:space="preserve">Change offer economics or stop. Do not merely rewrite copy.</w:t>
            </w:r>
          </w:p>
        </w:tc>
      </w:tr>
      <w:tr>
        <w:trPr>
          <w:tblHeader w:val="false"/>
        </w:trPr>
        <w:tc>
          <w:tcPr>
            <w:tcW w:type="dxa" w:w="3900"/>
            <w:tcMar>
              <w:top w:type="dxa" w:w="90"/>
              <w:left w:type="dxa" w:w="140"/>
              <w:bottom w:type="dxa" w:w="90"/>
              <w:right w:type="dxa" w:w="140"/>
            </w:tcMar>
          </w:tcPr>
          <w:p>
            <w:pPr>
              <w:spacing w:after="0" w:line="300"/>
            </w:pPr>
            <w:r>
              <w:rPr>
                <w:color w:val="141414"/>
                <w:sz w:val="22"/>
                <w:szCs w:val="22"/>
              </w:rPr>
              <w:t xml:space="preserve">Fully sendable pool stagnates</w:t>
            </w:r>
          </w:p>
        </w:tc>
        <w:tc>
          <w:tcPr>
            <w:tcW w:type="dxa" w:w="5460"/>
            <w:tcMar>
              <w:top w:type="dxa" w:w="90"/>
              <w:left w:type="dxa" w:w="140"/>
              <w:bottom w:type="dxa" w:w="90"/>
              <w:right w:type="dxa" w:w="140"/>
            </w:tcMar>
          </w:tcPr>
          <w:p>
            <w:pPr>
              <w:spacing w:after="0" w:line="300"/>
            </w:pPr>
            <w:r>
              <w:rPr>
                <w:color w:val="141414"/>
                <w:sz w:val="22"/>
                <w:szCs w:val="22"/>
              </w:rPr>
              <w:t xml:space="preserve">Prioritize consent growth, not more messages.</w:t>
            </w:r>
          </w:p>
        </w:tc>
      </w:tr>
    </w:tbl>
    <w:p>
      <w:pPr>
        <w:spacing w:after="60"/>
      </w:pPr>
    </w:p>
    <w:p>
      <w:pPr>
        <w:spacing w:after="160" w:line="360"/>
      </w:pPr>
      <w:r>
        <w:rPr>
          <w:color w:val="141414"/>
        </w:rPr>
        <w:t xml:space="preserve">Thresholds start conservative and are replaced by provider guidance, counsel and production evidence. They live in configuration, not in hard-coded folklore.</w:t>
      </w:r>
    </w:p>
    <w:p>
      <w:pPr>
        <w:spacing w:after="60"/>
      </w:pPr>
    </w:p>
    <w:p>
      <w:pPr>
        <w:pStyle w:val="Heading1"/>
        <w:spacing w:after="200" w:before="360"/>
      </w:pPr>
      <w:r>
        <w:rPr>
          <w:b/>
          <w:bCs/>
          <w:color w:val="0B4A36"/>
        </w:rPr>
        <w:t xml:space="preserve">§34 · Economics, stated honestly</w:t>
      </w:r>
    </w:p>
    <w:tbl>
      <w:tblPr>
        <w:tblW w:type="dxa" w:w="9360"/>
        <w:tblBorders>
          <w:top w:val="none"/>
          <w:left w:val="single" w:color="1D6B4F" w:sz="24"/>
          <w:bottom w:val="none"/>
          <w:right w:val="none"/>
          <w:insideH w:val="none"/>
          <w:insideV w:val="none"/>
        </w:tblBorders>
      </w:tblPr>
      <w:tblGrid>
        <w:gridCol w:w="9360"/>
      </w:tblGrid>
      <w:tr>
        <w:tc>
          <w:tcPr>
            <w:tcW w:type="dxa" w:w="9360"/>
            <w:shd w:fill="EEF5F1" w:val="clear"/>
            <w:tcMar>
              <w:top w:type="dxa" w:w="140"/>
              <w:left w:type="dxa" w:w="220"/>
              <w:bottom w:type="dxa" w:w="140"/>
              <w:right w:type="dxa" w:w="220"/>
            </w:tcMar>
          </w:tcPr>
          <w:p>
            <w:pPr>
              <w:spacing w:after="160" w:line="360"/>
            </w:pPr>
            <w:r>
              <w:rPr>
                <w:b/>
                <w:bCs/>
                <w:color w:val="141414"/>
              </w:rPr>
              <w:t xml:space="preserve">Gross fee is not contribution.</w:t>
            </w:r>
          </w:p>
          <w:p>
            <w:pPr>
              <w:spacing w:after="160" w:line="360"/>
            </w:pPr>
            <w:r>
              <w:rPr>
                <w:rFonts w:ascii="Consolas" w:cs="Consolas" w:eastAsia="Consolas" w:hAnsi="Consolas"/>
                <w:color w:val="0A6E4C"/>
                <w:sz w:val="21"/>
                <w:szCs w:val="21"/>
              </w:rPr>
              <w:t xml:space="preserve">Recognized fee = 20% × settled Asaas netValue where split = DONE</w:t>
            </w:r>
          </w:p>
          <w:p>
            <w:pPr>
              <w:spacing w:after="160" w:line="360"/>
            </w:pPr>
            <w:r>
              <w:rPr>
                <w:rFonts w:ascii="Consolas" w:cs="Consolas" w:eastAsia="Consolas" w:hAnsi="Consolas"/>
                <w:color w:val="0A6E4C"/>
                <w:sz w:val="21"/>
                <w:szCs w:val="21"/>
              </w:rPr>
              <w:t xml:space="preserve">Contribution = recognized fee − Meta/BSP cost − support tooling − referral commission − fiscal issuance − infrastructure − loaded founder/ops minutes − tax accrual − unrecovered refund and chargeback loss</w:t>
            </w:r>
          </w:p>
          <w:p>
            <w:pPr>
              <w:spacing w:after="160" w:line="360"/>
            </w:pPr>
            <w:r>
              <w:rPr>
                <w:color w:val="141414"/>
              </w:rPr>
              <w:t xml:space="preserve">Asaas fees are already removed from </w:t>
            </w:r>
            <w:r>
              <w:rPr>
                <w:rFonts w:ascii="Consolas" w:cs="Consolas" w:eastAsia="Consolas" w:hAnsi="Consolas"/>
                <w:color w:val="0A6E4C"/>
                <w:sz w:val="21"/>
                <w:szCs w:val="21"/>
              </w:rPr>
              <w:t xml:space="preserve">netValue</w:t>
            </w:r>
            <w:r>
              <w:rPr>
                <w:color w:val="141414"/>
              </w:rPr>
              <w:t xml:space="preserve"> — do not subtract them twice. Actual minutes are recorded by activation, campaign, provider exception, refund and support category </w:t>
            </w:r>
            <w:r>
              <w:rPr>
                <w:b/>
                <w:bCs/>
                <w:color w:val="141414"/>
              </w:rPr>
              <w:t xml:space="preserve">from account one</w:t>
            </w:r>
            <w:r>
              <w:rPr>
                <w:color w:val="141414"/>
              </w:rPr>
              <w:t xml:space="preserve">.</w:t>
            </w:r>
          </w:p>
        </w:tc>
      </w:tr>
    </w:tbl>
    <w:p>
      <w:pPr>
        <w:spacing w:after="160" w:line="360"/>
      </w:pPr>
      <w:r>
        <w:rPr>
          <w:b/>
          <w:bCs/>
          <w:color w:val="141414"/>
        </w:rPr>
        <w:t xml:space="preserve">The salon’s dashboard </w:t>
      </w:r>
      <w:r>
        <w:rPr>
          <w:color w:val="141414"/>
        </w:rPr>
        <w:t xml:space="preserve">shows gross customer payments, Asaas fees, the Caixa fee, refunds and chargebacks, net cash received, outstanding prepaid voucher liability, and redemptions. </w:t>
      </w:r>
      <w:r>
        <w:rPr>
          <w:b/>
          <w:bCs/>
          <w:color w:val="141414"/>
        </w:rPr>
        <w:t xml:space="preserve">It does not call cash received "ROI"</w:t>
      </w:r>
      <w:r>
        <w:rPr>
          <w:color w:val="141414"/>
        </w:rPr>
        <w:t xml:space="preserve"> — true ROI needs discount and service-delivery cost, which Caixa does not have. Use </w:t>
      </w:r>
      <w:r>
        <w:rPr>
          <w:i/>
          <w:iCs/>
          <w:color w:val="5B6B66"/>
        </w:rPr>
        <w:t xml:space="preserve">valor líquido recebido</w:t>
      </w:r>
      <w:r>
        <w:rPr>
          <w:color w:val="141414"/>
        </w:rPr>
        <w:t xml:space="preserve"> and </w:t>
      </w:r>
      <w:r>
        <w:rPr>
          <w:i/>
          <w:iCs/>
          <w:color w:val="5B6B66"/>
        </w:rPr>
        <w:t xml:space="preserve">caixa liquidado por cliente entregue</w:t>
      </w:r>
      <w:r>
        <w:rPr>
          <w:color w:val="141414"/>
        </w:rPr>
        <w:t xml:space="preserve">.</w:t>
      </w:r>
    </w:p>
    <w:p>
      <w:pPr>
        <w:pStyle w:val="Heading3"/>
        <w:spacing w:after="120" w:before="220"/>
      </w:pPr>
      <w:r>
        <w:rPr>
          <w:b/>
          <w:bCs/>
          <w:color w:val="141414"/>
        </w:rPr>
        <w:t xml:space="preserve">North star</w:t>
      </w:r>
    </w:p>
    <w:p>
      <w:pPr>
        <w:spacing w:after="160" w:line="360"/>
      </w:pPr>
      <w:r>
        <w:rPr>
          <w:b/>
          <w:bCs/>
          <w:color w:val="141414"/>
        </w:rPr>
        <w:t xml:space="preserve">Settled GMV per delivered recipient, paired with refund and redemption rates. </w:t>
      </w:r>
      <w:r>
        <w:rPr>
          <w:color w:val="141414"/>
        </w:rPr>
        <w:t xml:space="preserve">Paired, because aggressive selling must not be able to look successful while fulfillment quietly fails.</w:t>
      </w:r>
    </w:p>
    <w:p>
      <w:pPr>
        <w:pStyle w:val="Heading3"/>
        <w:spacing w:after="120" w:before="220"/>
      </w:pPr>
      <w:r>
        <w:rPr>
          <w:b/>
          <w:bCs/>
          <w:color w:val="141414"/>
        </w:rPr>
        <w:t xml:space="preserve">On the income ambition</w:t>
      </w:r>
    </w:p>
    <w:p>
      <w:pPr>
        <w:spacing w:after="160" w:line="360"/>
      </w:pPr>
      <w:r>
        <w:rPr>
          <w:color w:val="141414"/>
        </w:rPr>
        <w:t xml:space="preserve">The R$150k/month personal target is retained as </w:t>
      </w:r>
      <w:r>
        <w:rPr>
          <w:b/>
          <w:bCs/>
          <w:color w:val="141414"/>
        </w:rPr>
        <w:t xml:space="preserve">an aspiration, not a dated forecast</w:t>
      </w:r>
      <w:r>
        <w:rPr>
          <w:color w:val="141414"/>
        </w:rPr>
        <w:t xml:space="preserve">. Every account and portfolio number is rebuilt from actual sendable pool, actual settled conversion, actual price, actual refund and redemption, actual repeat frequency, actual contribution and actual founder minutes. Revenue is lumpy by construction: backlog harvest, then new-lapse cohorts, then seasonality.</w:t>
      </w:r>
    </w:p>
    <w:p>
      <w:pPr>
        <w:spacing w:after="160" w:line="360"/>
      </w:pPr>
      <w:r>
        <w:rPr>
          <w:b/>
          <w:bCs/>
          <w:color w:val="141414"/>
        </w:rPr>
        <w:t xml:space="preserve">The split removes collection work; it does not remove invoicing. </w:t>
      </w:r>
      <w:r>
        <w:rPr>
          <w:color w:val="141414"/>
        </w:rPr>
        <w:t xml:space="preserve">The fiscal module closes recognized fee events by salon, issues or exports Caixa’s own NFS-e at the cadence the municipality and contador permit, links corrections to refunds, and reconciles invoice totals to the fee ledger. It never invoices an unpaid, refused or reversed split. Taxes, Fator R, NFS-e cadence, dividend withholding and entity structure are confirmed by the contador under current law.</w:t>
      </w:r>
    </w:p>
    <w:tbl>
      <w:tblPr>
        <w:tblW w:type="dxa" w:w="9360"/>
        <w:tblBorders>
          <w:top w:val="none"/>
          <w:left w:val="single" w:color="8A4B0B" w:sz="24"/>
          <w:bottom w:val="none"/>
          <w:right w:val="none"/>
          <w:insideH w:val="none"/>
          <w:insideV w:val="none"/>
        </w:tblBorders>
      </w:tblPr>
      <w:tblGrid>
        <w:gridCol w:w="9360"/>
      </w:tblGrid>
      <w:tr>
        <w:tc>
          <w:tcPr>
            <w:tcW w:type="dxa" w:w="9360"/>
            <w:shd w:fill="F4F1EA" w:val="clear"/>
            <w:tcMar>
              <w:top w:type="dxa" w:w="140"/>
              <w:left w:type="dxa" w:w="220"/>
              <w:bottom w:type="dxa" w:w="140"/>
              <w:right w:type="dxa" w:w="220"/>
            </w:tcMar>
          </w:tcPr>
          <w:p>
            <w:pPr>
              <w:spacing w:after="160" w:line="360"/>
            </w:pPr>
            <w:r>
              <w:rPr>
                <w:b/>
                <w:bCs/>
                <w:color w:val="141414"/>
              </w:rPr>
              <w:t xml:space="preserve">Reversal reserve. </w:t>
            </w:r>
            <w:r>
              <w:rPr>
                <w:color w:val="141414"/>
              </w:rPr>
              <w:t xml:space="preserve">Fee cash attached to open withdrawal, refund, dispute and chargeback exposure is not distributable. Until real reversal history exists, the reserve is ring-fenced from ordinary spending and replaced only by a trailing, contador-approved policy.</w:t>
            </w:r>
          </w:p>
          <w:p>
            <w:pPr>
              <w:spacing w:after="160" w:line="360"/>
            </w:pPr>
            <w:r>
              <w:rPr>
                <w:b/>
                <w:bCs/>
                <w:color w:val="141414"/>
              </w:rPr>
              <w:t xml:space="preserve">Launch cash gate. </w:t>
            </w:r>
            <w:r>
              <w:rPr>
                <w:color w:val="141414"/>
              </w:rPr>
              <w:t xml:space="preserve">Before accepting production uploads, committed cash must cover legal and contador, BSP/Meta setup, Asaas proofs and reversal float, external security review and remediation, infrastructure, Beauty Fair commitments, six months of founder-essential fixed costs, and the separate reserve. </w:t>
            </w:r>
            <w:r>
              <w:rPr>
                <w:b/>
                <w:bCs/>
                <w:color w:val="141414"/>
              </w:rPr>
              <w:t xml:space="preserve">If that gate is not funded, the sequence narrows to provider approvals and synthetic build work</w:t>
            </w:r>
            <w:r>
              <w:rPr>
                <w:color w:val="141414"/>
              </w:rPr>
              <w:t xml:space="preserve"> — it does not take consumer money and hope settlement fees finance unfinished obligations.</w:t>
            </w:r>
          </w:p>
        </w:tc>
      </w:tr>
    </w:tbl>
    <w:p>
      <w:pPr>
        <w:spacing w:after="60"/>
      </w:pPr>
    </w:p>
    <w:p>
      <w:pPr>
        <w:pStyle w:val="Heading1"/>
        <w:spacing w:after="200" w:before="360"/>
      </w:pPr>
      <w:r>
        <w:rPr>
          <w:b/>
          <w:bCs/>
          <w:color w:val="0B4A36"/>
        </w:rPr>
        <w:t xml:space="preserve">§35 · The hiring gate</w:t>
      </w:r>
    </w:p>
    <w:p>
      <w:pPr>
        <w:spacing w:after="160" w:line="360"/>
      </w:pPr>
      <w:r>
        <w:rPr>
          <w:color w:val="141414"/>
        </w:rPr>
        <w:t xml:space="preserve">Do not wait until operations eat 60% of the month. Open an operations hire or contracted support when </w:t>
      </w:r>
      <w:r>
        <w:rPr>
          <w:b/>
          <w:bCs/>
          <w:color w:val="141414"/>
        </w:rPr>
        <w:t xml:space="preserve">any</w:t>
      </w:r>
      <w:r>
        <w:rPr>
          <w:color w:val="141414"/>
        </w:rPr>
        <w:t xml:space="preserve"> of these fires: a four-week forecast above 70% of founder capacity; a P1/P2 SLA missed twice in a month; growth work displaced two weeks running; p90 support time above the self-service gate; or core-account launches queuing behind routine work.</w:t>
      </w:r>
    </w:p>
    <w:p>
      <w:pPr>
        <w:spacing w:after="160" w:line="360"/>
      </w:pPr>
      <w:r>
        <w:rPr>
          <w:color w:val="141414"/>
        </w:rPr>
        <w:t xml:space="preserve">The first hire inherits versioned runbooks and the product queue — not the founder’s memory.</w:t>
      </w:r>
    </w:p>
    <w:p>
      <w:pPr>
        <w:spacing w:after="60"/>
      </w:pPr>
    </w:p>
    <w:p>
      <w:pPr>
        <w:pStyle w:val="Heading1"/>
        <w:spacing w:after="200" w:before="360"/>
      </w:pPr>
      <w:r>
        <w:rPr>
          <w:b/>
          <w:bCs/>
          <w:color w:val="0B4A36"/>
        </w:rPr>
        <w:t xml:space="preserve">§36 · Gate order</w:t>
      </w:r>
    </w:p>
    <w:p>
      <w:pPr>
        <w:spacing w:after="160" w:line="360"/>
      </w:pPr>
      <w:r>
        <w:rPr>
          <w:color w:val="141414"/>
        </w:rPr>
        <w:t xml:space="preserve">Dates are sequencing targets. Provider, legal, security, data, fulfillment and cash gates control release and may move every date without lowering the standard.</w:t>
      </w:r>
    </w:p>
    <w:p>
      <w:pPr>
        <w:spacing w:after="160" w:line="360"/>
      </w:pPr>
      <w:r>
        <w:rPr>
          <w:rFonts w:ascii="Consolas" w:cs="Consolas" w:eastAsia="Consolas" w:hAnsi="Consolas"/>
          <w:color w:val="0A6E4C"/>
          <w:sz w:val="21"/>
          <w:szCs w:val="21"/>
        </w:rPr>
        <w:t xml:space="preserve">legal + provider spine → secure data and consent spine → complete production vertical slice → three founding production salons → assisted self-service cohort → public self-service → long tail</w:t>
      </w:r>
    </w:p>
    <w:p>
      <w:pPr>
        <w:spacing w:after="160" w:line="360"/>
      </w:pPr>
      <w:r>
        <w:rPr>
          <w:b/>
          <w:bCs/>
          <w:color w:val="141414"/>
        </w:rPr>
        <w:t xml:space="preserve">No "MVP" that stops before redemption and refund counts as proof.</w:t>
      </w:r>
    </w:p>
    <w:p>
      <w:pPr>
        <w:spacing w:after="60"/>
      </w:pPr>
    </w:p>
    <w:p>
      <w:pPr>
        <w:pStyle w:val="Heading1"/>
        <w:spacing w:after="200" w:before="360"/>
      </w:pPr>
      <w:r>
        <w:rPr>
          <w:b/>
          <w:bCs/>
          <w:color w:val="0B4A36"/>
        </w:rPr>
        <w:t xml:space="preserve">§37 · Launch-blocking proofs</w:t>
      </w:r>
    </w:p>
    <w:tbl>
      <w:tblPr>
        <w:tblW w:type="dxa" w:w="9360"/>
        <w:tblBorders>
          <w:top w:val="single" w:color="1D6B4F" w:sz="8"/>
          <w:left w:val="none"/>
          <w:bottom w:val="single" w:color="1D6B4F" w:sz="8"/>
          <w:right w:val="none"/>
          <w:insideH w:val="single" w:color="C9D6D0" w:sz="4"/>
          <w:insideV w:val="single" w:color="C9D6D0" w:sz="4"/>
        </w:tblBorders>
      </w:tblPr>
      <w:tblGrid>
        <w:gridCol w:w="1500"/>
        <w:gridCol w:w="7860"/>
      </w:tblGrid>
      <w:tr>
        <w:trPr>
          <w:tblHeader/>
        </w:trPr>
        <w:tc>
          <w:tcPr>
            <w:tcW w:type="dxa" w:w="1500"/>
            <w:shd w:fill="0B4A36" w:val="clear"/>
            <w:tcMar>
              <w:top w:type="dxa" w:w="90"/>
              <w:left w:type="dxa" w:w="140"/>
              <w:bottom w:type="dxa" w:w="90"/>
              <w:right w:type="dxa" w:w="140"/>
            </w:tcMar>
          </w:tcPr>
          <w:p>
            <w:pPr>
              <w:spacing w:after="0" w:line="300"/>
            </w:pPr>
            <w:r>
              <w:rPr>
                <w:b/>
                <w:bCs/>
                <w:color w:val="FFFFFF"/>
                <w:sz w:val="22"/>
                <w:szCs w:val="22"/>
              </w:rPr>
              <w:t xml:space="preserve">Area</w:t>
            </w:r>
          </w:p>
        </w:tc>
        <w:tc>
          <w:tcPr>
            <w:tcW w:type="dxa" w:w="7860"/>
            <w:shd w:fill="0B4A36" w:val="clear"/>
            <w:tcMar>
              <w:top w:type="dxa" w:w="90"/>
              <w:left w:type="dxa" w:w="140"/>
              <w:bottom w:type="dxa" w:w="90"/>
              <w:right w:type="dxa" w:w="140"/>
            </w:tcMar>
          </w:tcPr>
          <w:p>
            <w:pPr>
              <w:spacing w:after="0" w:line="300"/>
            </w:pPr>
            <w:r>
              <w:rPr>
                <w:b/>
                <w:bCs/>
                <w:color w:val="FFFFFF"/>
                <w:sz w:val="22"/>
                <w:szCs w:val="22"/>
              </w:rPr>
              <w:t xml:space="preserve">Must be proven in production, not described</w:t>
            </w:r>
          </w:p>
        </w:tc>
      </w:tr>
      <w:tr>
        <w:trPr>
          <w:tblHeader w:val="false"/>
        </w:trPr>
        <w:tc>
          <w:tcPr>
            <w:tcW w:type="dxa" w:w="1500"/>
            <w:tcMar>
              <w:top w:type="dxa" w:w="90"/>
              <w:left w:type="dxa" w:w="140"/>
              <w:bottom w:type="dxa" w:w="90"/>
              <w:right w:type="dxa" w:w="140"/>
            </w:tcMar>
          </w:tcPr>
          <w:p>
            <w:pPr>
              <w:spacing w:after="0" w:line="300"/>
            </w:pPr>
            <w:r>
              <w:rPr>
                <w:color w:val="141414"/>
                <w:sz w:val="22"/>
                <w:szCs w:val="22"/>
              </w:rPr>
              <w:t xml:space="preserve">Data</w:t>
            </w:r>
          </w:p>
        </w:tc>
        <w:tc>
          <w:tcPr>
            <w:tcW w:type="dxa" w:w="7860"/>
            <w:tcMar>
              <w:top w:type="dxa" w:w="90"/>
              <w:left w:type="dxa" w:w="140"/>
              <w:bottom w:type="dxa" w:w="90"/>
              <w:right w:type="dxa" w:w="140"/>
            </w:tcMar>
          </w:tcPr>
          <w:p>
            <w:pPr>
              <w:spacing w:after="0" w:line="300"/>
            </w:pPr>
            <w:r>
              <w:rPr>
                <w:color w:val="141414"/>
                <w:sz w:val="22"/>
                <w:szCs w:val="22"/>
              </w:rPr>
              <w:t xml:space="preserve">Real export bundles from 3+ Trinks salons map every required field. Manual comparison proves that future-booked, indebted, credited, suppressed, duplicated, known-minor, stale and unconsented records all fail closed. Consent provenance is genuinely present, never inferred.</w:t>
            </w:r>
          </w:p>
        </w:tc>
      </w:tr>
      <w:tr>
        <w:trPr>
          <w:tblHeader w:val="false"/>
        </w:trPr>
        <w:tc>
          <w:tcPr>
            <w:tcW w:type="dxa" w:w="1500"/>
            <w:tcMar>
              <w:top w:type="dxa" w:w="90"/>
              <w:left w:type="dxa" w:w="140"/>
              <w:bottom w:type="dxa" w:w="90"/>
              <w:right w:type="dxa" w:w="140"/>
            </w:tcMar>
          </w:tcPr>
          <w:p>
            <w:pPr>
              <w:spacing w:after="0" w:line="300"/>
            </w:pPr>
            <w:r>
              <w:rPr>
                <w:color w:val="141414"/>
                <w:sz w:val="22"/>
                <w:szCs w:val="22"/>
              </w:rPr>
              <w:t xml:space="preserve">Meta</w:t>
            </w:r>
          </w:p>
        </w:tc>
        <w:tc>
          <w:tcPr>
            <w:tcW w:type="dxa" w:w="7860"/>
            <w:tcMar>
              <w:top w:type="dxa" w:w="90"/>
              <w:left w:type="dxa" w:w="140"/>
              <w:bottom w:type="dxa" w:w="90"/>
              <w:right w:type="dxa" w:w="140"/>
            </w:tcMar>
          </w:tcPr>
          <w:p>
            <w:pPr>
              <w:spacing w:after="0" w:line="300"/>
            </w:pPr>
            <w:r>
              <w:rPr>
                <w:color w:val="141414"/>
                <w:sz w:val="22"/>
                <w:szCs w:val="22"/>
              </w:rPr>
              <w:t xml:space="preserve">The selected BSP supports Embedded Signup v4 and coexistence on a real salon number. A non-technical owner completes the flow. Human echoes register. Template creation, review, delivery, opt-out, quality and the current account limit are all visible.</w:t>
            </w:r>
          </w:p>
        </w:tc>
      </w:tr>
      <w:tr>
        <w:trPr>
          <w:tblHeader w:val="false"/>
        </w:trPr>
        <w:tc>
          <w:tcPr>
            <w:tcW w:type="dxa" w:w="1500"/>
            <w:tcMar>
              <w:top w:type="dxa" w:w="90"/>
              <w:left w:type="dxa" w:w="140"/>
              <w:bottom w:type="dxa" w:w="90"/>
              <w:right w:type="dxa" w:w="140"/>
            </w:tcMar>
          </w:tcPr>
          <w:p>
            <w:pPr>
              <w:spacing w:after="0" w:line="300"/>
            </w:pPr>
            <w:r>
              <w:rPr>
                <w:color w:val="141414"/>
                <w:sz w:val="22"/>
                <w:szCs w:val="22"/>
              </w:rPr>
              <w:t xml:space="preserve">Asaas</w:t>
            </w:r>
          </w:p>
        </w:tc>
        <w:tc>
          <w:tcPr>
            <w:tcW w:type="dxa" w:w="7860"/>
            <w:tcMar>
              <w:top w:type="dxa" w:w="90"/>
              <w:left w:type="dxa" w:w="140"/>
              <w:bottom w:type="dxa" w:w="90"/>
              <w:right w:type="dxa" w:w="140"/>
            </w:tcMar>
          </w:tcPr>
          <w:p>
            <w:pPr>
              <w:spacing w:after="0" w:line="300"/>
            </w:pPr>
            <w:r>
              <w:rPr>
                <w:color w:val="141414"/>
                <w:sz w:val="22"/>
                <w:szCs w:val="22"/>
              </w:rPr>
              <w:t xml:space="preserve">Written topology approval. One real salon account connects securely. One real payment settles with the correct netValue split. One real refund reverses both portions. A real hosted checkout with notificationDisabled=true produces no uncontrolled Asaas reminder. Replay, duplicate click, expired checkout and split refusal corrupt nothing.</w:t>
            </w:r>
          </w:p>
        </w:tc>
      </w:tr>
      <w:tr>
        <w:trPr>
          <w:tblHeader w:val="false"/>
        </w:trPr>
        <w:tc>
          <w:tcPr>
            <w:tcW w:type="dxa" w:w="1500"/>
            <w:tcMar>
              <w:top w:type="dxa" w:w="90"/>
              <w:left w:type="dxa" w:w="140"/>
              <w:bottom w:type="dxa" w:w="90"/>
              <w:right w:type="dxa" w:w="140"/>
            </w:tcMar>
          </w:tcPr>
          <w:p>
            <w:pPr>
              <w:spacing w:after="0" w:line="300"/>
            </w:pPr>
            <w:r>
              <w:rPr>
                <w:color w:val="141414"/>
                <w:sz w:val="22"/>
                <w:szCs w:val="22"/>
              </w:rPr>
              <w:t xml:space="preserve">Full loop</w:t>
            </w:r>
          </w:p>
        </w:tc>
        <w:tc>
          <w:tcPr>
            <w:tcW w:type="dxa" w:w="7860"/>
            <w:tcMar>
              <w:top w:type="dxa" w:w="90"/>
              <w:left w:type="dxa" w:w="140"/>
              <w:bottom w:type="dxa" w:w="90"/>
              <w:right w:type="dxa" w:w="140"/>
            </w:tcMar>
          </w:tcPr>
          <w:p>
            <w:pPr>
              <w:spacing w:after="0" w:line="300"/>
            </w:pPr>
            <w:r>
              <w:rPr>
                <w:color w:val="141414"/>
                <w:sz w:val="22"/>
                <w:szCs w:val="22"/>
              </w:rPr>
              <w:t xml:space="preserve">Real authorized recipients complete: send → offer page → checkout → voucher → customer-initiated booking → redemption → statement. Separately proven: a forwarded link that exposes no payment status, a refused split that still fulfills the buyer, a full refund with symmetric reversal, and a post-redemption dispute accounted as a loss.</w:t>
            </w:r>
          </w:p>
        </w:tc>
      </w:tr>
      <w:tr>
        <w:trPr>
          <w:tblHeader w:val="false"/>
        </w:trPr>
        <w:tc>
          <w:tcPr>
            <w:tcW w:type="dxa" w:w="1500"/>
            <w:tcMar>
              <w:top w:type="dxa" w:w="90"/>
              <w:left w:type="dxa" w:w="140"/>
              <w:bottom w:type="dxa" w:w="90"/>
              <w:right w:type="dxa" w:w="140"/>
            </w:tcMar>
          </w:tcPr>
          <w:p>
            <w:pPr>
              <w:spacing w:after="0" w:line="300"/>
            </w:pPr>
            <w:r>
              <w:rPr>
                <w:color w:val="141414"/>
                <w:sz w:val="22"/>
                <w:szCs w:val="22"/>
              </w:rPr>
              <w:t xml:space="preserve">Security</w:t>
            </w:r>
          </w:p>
        </w:tc>
        <w:tc>
          <w:tcPr>
            <w:tcW w:type="dxa" w:w="7860"/>
            <w:tcMar>
              <w:top w:type="dxa" w:w="90"/>
              <w:left w:type="dxa" w:w="140"/>
              <w:bottom w:type="dxa" w:w="90"/>
              <w:right w:type="dxa" w:w="140"/>
            </w:tcMar>
          </w:tcPr>
          <w:p>
            <w:pPr>
              <w:spacing w:after="0" w:line="300"/>
            </w:pPr>
            <w:r>
              <w:rPr>
                <w:color w:val="141414"/>
                <w:sz w:val="22"/>
                <w:szCs w:val="22"/>
              </w:rPr>
              <w:t xml:space="preserve">Tenant isolation tests pass. No customer data or secret in logs. Both kill switches work. Backup restore works. External review completed before public self-service.</w:t>
            </w:r>
          </w:p>
        </w:tc>
      </w:tr>
    </w:tbl>
    <w:p>
      <w:pPr>
        <w:spacing w:after="60"/>
      </w:pPr>
    </w:p>
    <w:p>
      <w:pPr>
        <w:pStyle w:val="Heading1"/>
        <w:spacing w:after="200" w:before="360"/>
      </w:pPr>
      <w:r>
        <w:rPr>
          <w:b/>
          <w:bCs/>
          <w:color w:val="0B4A36"/>
        </w:rPr>
        <w:t xml:space="preserve">§38 · Sequence</w:t>
      </w:r>
    </w:p>
    <w:tbl>
      <w:tblPr>
        <w:tblW w:type="dxa" w:w="9360"/>
        <w:tblBorders>
          <w:top w:val="single" w:color="1D6B4F" w:sz="8"/>
          <w:left w:val="none"/>
          <w:bottom w:val="single" w:color="1D6B4F" w:sz="8"/>
          <w:right w:val="none"/>
          <w:insideH w:val="single" w:color="C9D6D0" w:sz="4"/>
          <w:insideV w:val="single" w:color="C9D6D0" w:sz="4"/>
        </w:tblBorders>
      </w:tblPr>
      <w:tblGrid>
        <w:gridCol w:w="1150"/>
        <w:gridCol w:w="5210"/>
        <w:gridCol w:w="3000"/>
      </w:tblGrid>
      <w:tr>
        <w:trPr>
          <w:tblHeader/>
        </w:trPr>
        <w:tc>
          <w:tcPr>
            <w:tcW w:type="dxa" w:w="1150"/>
            <w:shd w:fill="0B4A36" w:val="clear"/>
            <w:tcMar>
              <w:top w:type="dxa" w:w="90"/>
              <w:left w:type="dxa" w:w="140"/>
              <w:bottom w:type="dxa" w:w="90"/>
              <w:right w:type="dxa" w:w="140"/>
            </w:tcMar>
          </w:tcPr>
          <w:p>
            <w:pPr>
              <w:spacing w:after="0" w:line="300"/>
            </w:pPr>
            <w:r>
              <w:rPr>
                <w:b/>
                <w:bCs/>
                <w:color w:val="FFFFFF"/>
                <w:sz w:val="22"/>
                <w:szCs w:val="22"/>
              </w:rPr>
              <w:t xml:space="preserve">Window</w:t>
            </w:r>
          </w:p>
        </w:tc>
        <w:tc>
          <w:tcPr>
            <w:tcW w:type="dxa" w:w="5210"/>
            <w:shd w:fill="0B4A36" w:val="clear"/>
            <w:tcMar>
              <w:top w:type="dxa" w:w="90"/>
              <w:left w:type="dxa" w:w="140"/>
              <w:bottom w:type="dxa" w:w="90"/>
              <w:right w:type="dxa" w:w="140"/>
            </w:tcMar>
          </w:tcPr>
          <w:p>
            <w:pPr>
              <w:spacing w:after="0" w:line="300"/>
            </w:pPr>
            <w:r>
              <w:rPr>
                <w:b/>
                <w:bCs/>
                <w:color w:val="FFFFFF"/>
                <w:sz w:val="22"/>
                <w:szCs w:val="22"/>
              </w:rPr>
              <w:t xml:space="preserve">Work</w:t>
            </w:r>
          </w:p>
        </w:tc>
        <w:tc>
          <w:tcPr>
            <w:tcW w:type="dxa" w:w="3000"/>
            <w:shd w:fill="0B4A36" w:val="clear"/>
            <w:tcMar>
              <w:top w:type="dxa" w:w="90"/>
              <w:left w:type="dxa" w:w="140"/>
              <w:bottom w:type="dxa" w:w="90"/>
              <w:right w:type="dxa" w:w="140"/>
            </w:tcMar>
          </w:tcPr>
          <w:p>
            <w:pPr>
              <w:spacing w:after="0" w:line="300"/>
            </w:pPr>
            <w:r>
              <w:rPr>
                <w:b/>
                <w:bCs/>
                <w:color w:val="FFFFFF"/>
                <w:sz w:val="22"/>
                <w:szCs w:val="22"/>
              </w:rPr>
              <w:t xml:space="preserve">Exit</w:t>
            </w:r>
          </w:p>
        </w:tc>
      </w:tr>
      <w:tr>
        <w:trPr>
          <w:tblHeader w:val="false"/>
        </w:trPr>
        <w:tc>
          <w:tcPr>
            <w:tcW w:type="dxa" w:w="1150"/>
            <w:tcMar>
              <w:top w:type="dxa" w:w="90"/>
              <w:left w:type="dxa" w:w="140"/>
              <w:bottom w:type="dxa" w:w="90"/>
              <w:right w:type="dxa" w:w="140"/>
            </w:tcMar>
          </w:tcPr>
          <w:p>
            <w:pPr>
              <w:spacing w:after="0" w:line="300"/>
            </w:pPr>
            <w:r>
              <w:rPr>
                <w:color w:val="141414"/>
                <w:sz w:val="22"/>
                <w:szCs w:val="22"/>
              </w:rPr>
              <w:t xml:space="preserve">24–31 Jul</w:t>
            </w:r>
          </w:p>
        </w:tc>
        <w:tc>
          <w:tcPr>
            <w:tcW w:type="dxa" w:w="5210"/>
            <w:tcMar>
              <w:top w:type="dxa" w:w="90"/>
              <w:left w:type="dxa" w:w="140"/>
              <w:bottom w:type="dxa" w:w="90"/>
              <w:right w:type="dxa" w:w="140"/>
            </w:tcMar>
          </w:tcPr>
          <w:p>
            <w:pPr>
              <w:spacing w:after="0" w:line="300"/>
            </w:pPr>
            <w:r>
              <w:rPr>
                <w:color w:val="141414"/>
                <w:sz w:val="22"/>
                <w:szCs w:val="22"/>
              </w:rPr>
              <w:t xml:space="preserve">Entity, contador, counsel, service agreement, DPA, offer terms. Select BSP; start Meta approvals. Request written Asaas topology confirmation. Request Conecta Trinks partner access. Collect real export bundles. Build tenant isolation, auth, secrets, upload security, event model, kill switches.</w:t>
            </w:r>
          </w:p>
        </w:tc>
        <w:tc>
          <w:tcPr>
            <w:tcW w:type="dxa" w:w="3000"/>
            <w:tcMar>
              <w:top w:type="dxa" w:w="90"/>
              <w:left w:type="dxa" w:w="140"/>
              <w:bottom w:type="dxa" w:w="90"/>
              <w:right w:type="dxa" w:w="140"/>
            </w:tcMar>
          </w:tcPr>
          <w:p>
            <w:pPr>
              <w:spacing w:after="0" w:line="300"/>
            </w:pPr>
            <w:r>
              <w:rPr>
                <w:color w:val="141414"/>
                <w:sz w:val="22"/>
                <w:szCs w:val="22"/>
              </w:rPr>
              <w:t xml:space="preserve">Security spine exists before any customer data.</w:t>
            </w:r>
          </w:p>
        </w:tc>
      </w:tr>
      <w:tr>
        <w:trPr>
          <w:tblHeader w:val="false"/>
        </w:trPr>
        <w:tc>
          <w:tcPr>
            <w:tcW w:type="dxa" w:w="1150"/>
            <w:tcMar>
              <w:top w:type="dxa" w:w="90"/>
              <w:left w:type="dxa" w:w="140"/>
              <w:bottom w:type="dxa" w:w="90"/>
              <w:right w:type="dxa" w:w="140"/>
            </w:tcMar>
          </w:tcPr>
          <w:p>
            <w:pPr>
              <w:spacing w:after="0" w:line="300"/>
            </w:pPr>
            <w:r>
              <w:rPr>
                <w:color w:val="141414"/>
                <w:sz w:val="22"/>
                <w:szCs w:val="22"/>
              </w:rPr>
              <w:t xml:space="preserve">1–8 Aug</w:t>
            </w:r>
          </w:p>
        </w:tc>
        <w:tc>
          <w:tcPr>
            <w:tcW w:type="dxa" w:w="5210"/>
            <w:tcMar>
              <w:top w:type="dxa" w:w="90"/>
              <w:left w:type="dxa" w:w="140"/>
              <w:bottom w:type="dxa" w:w="90"/>
              <w:right w:type="dxa" w:w="140"/>
            </w:tcMar>
          </w:tcPr>
          <w:p>
            <w:pPr>
              <w:spacing w:after="0" w:line="300"/>
            </w:pPr>
            <w:r>
              <w:rPr>
                <w:color w:val="141414"/>
                <w:sz w:val="22"/>
                <w:szCs w:val="22"/>
              </w:rPr>
              <w:t xml:space="preserve">Bundle validator and provenance. Consent and suppression ledger. Eligibility engine. Scan authorization and task board.</w:t>
            </w:r>
          </w:p>
        </w:tc>
        <w:tc>
          <w:tcPr>
            <w:tcW w:type="dxa" w:w="3000"/>
            <w:tcMar>
              <w:top w:type="dxa" w:w="90"/>
              <w:left w:type="dxa" w:w="140"/>
              <w:bottom w:type="dxa" w:w="90"/>
              <w:right w:type="dxa" w:w="140"/>
            </w:tcMar>
          </w:tcPr>
          <w:p>
            <w:pPr>
              <w:spacing w:after="0" w:line="300"/>
            </w:pPr>
            <w:r>
              <w:rPr>
                <w:color w:val="141414"/>
                <w:sz w:val="22"/>
                <w:szCs w:val="22"/>
              </w:rPr>
              <w:t xml:space="preserve">A real bundle is accepted; every required unknown and forbidden condition fails closed.</w:t>
            </w:r>
          </w:p>
        </w:tc>
      </w:tr>
      <w:tr>
        <w:trPr>
          <w:tblHeader w:val="false"/>
        </w:trPr>
        <w:tc>
          <w:tcPr>
            <w:tcW w:type="dxa" w:w="1150"/>
            <w:tcMar>
              <w:top w:type="dxa" w:w="90"/>
              <w:left w:type="dxa" w:w="140"/>
              <w:bottom w:type="dxa" w:w="90"/>
              <w:right w:type="dxa" w:w="140"/>
            </w:tcMar>
          </w:tcPr>
          <w:p>
            <w:pPr>
              <w:spacing w:after="0" w:line="300"/>
            </w:pPr>
            <w:r>
              <w:rPr>
                <w:color w:val="141414"/>
                <w:sz w:val="22"/>
                <w:szCs w:val="22"/>
              </w:rPr>
              <w:t xml:space="preserve">9–16 Aug</w:t>
            </w:r>
          </w:p>
        </w:tc>
        <w:tc>
          <w:tcPr>
            <w:tcW w:type="dxa" w:w="5210"/>
            <w:tcMar>
              <w:top w:type="dxa" w:w="90"/>
              <w:left w:type="dxa" w:w="140"/>
              <w:bottom w:type="dxa" w:w="90"/>
              <w:right w:type="dxa" w:w="140"/>
            </w:tcMar>
          </w:tcPr>
          <w:p>
            <w:pPr>
              <w:spacing w:after="0" w:line="300"/>
            </w:pPr>
            <w:r>
              <w:rPr>
                <w:color w:val="141414"/>
                <w:sz w:val="22"/>
                <w:szCs w:val="22"/>
              </w:rPr>
              <w:t xml:space="preserve">Asaas guided connection and health. Meta Embedded Signup v4 via the BSP. Offer Contract and inventory. Template, manifest, approval, outbox, tranche scheduler.</w:t>
            </w:r>
          </w:p>
        </w:tc>
        <w:tc>
          <w:tcPr>
            <w:tcW w:type="dxa" w:w="3000"/>
            <w:tcMar>
              <w:top w:type="dxa" w:w="90"/>
              <w:left w:type="dxa" w:w="140"/>
              <w:bottom w:type="dxa" w:w="90"/>
              <w:right w:type="dxa" w:w="140"/>
            </w:tcMar>
          </w:tcPr>
          <w:p>
            <w:pPr>
              <w:spacing w:after="0" w:line="300"/>
            </w:pPr>
            <w:r>
              <w:rPr>
                <w:color w:val="141414"/>
                <w:sz w:val="22"/>
                <w:szCs w:val="22"/>
              </w:rPr>
              <w:t xml:space="preserve">A real salon number is connected; an exact manifest is approved; no unapproved send is possible.</w:t>
            </w:r>
          </w:p>
        </w:tc>
      </w:tr>
      <w:tr>
        <w:trPr>
          <w:tblHeader w:val="false"/>
        </w:trPr>
        <w:tc>
          <w:tcPr>
            <w:tcW w:type="dxa" w:w="1150"/>
            <w:tcMar>
              <w:top w:type="dxa" w:w="90"/>
              <w:left w:type="dxa" w:w="140"/>
              <w:bottom w:type="dxa" w:w="90"/>
              <w:right w:type="dxa" w:w="140"/>
            </w:tcMar>
          </w:tcPr>
          <w:p>
            <w:pPr>
              <w:spacing w:after="0" w:line="300"/>
            </w:pPr>
            <w:r>
              <w:rPr>
                <w:color w:val="141414"/>
                <w:sz w:val="22"/>
                <w:szCs w:val="22"/>
              </w:rPr>
              <w:t xml:space="preserve">17–24 Aug</w:t>
            </w:r>
          </w:p>
        </w:tc>
        <w:tc>
          <w:tcPr>
            <w:tcW w:type="dxa" w:w="5210"/>
            <w:tcMar>
              <w:top w:type="dxa" w:w="90"/>
              <w:left w:type="dxa" w:w="140"/>
              <w:bottom w:type="dxa" w:w="90"/>
              <w:right w:type="dxa" w:w="140"/>
            </w:tcMar>
          </w:tcPr>
          <w:p>
            <w:pPr>
              <w:spacing w:after="0" w:line="300"/>
            </w:pPr>
            <w:r>
              <w:rPr>
                <w:color w:val="141414"/>
                <w:sz w:val="22"/>
                <w:szCs w:val="22"/>
              </w:rPr>
              <w:t xml:space="preserve">Stable offer page. Just-in-time checkout. Voucher, reception task, redemption, cancellation, refund. Owner and internal dashboards.</w:t>
            </w:r>
          </w:p>
        </w:tc>
        <w:tc>
          <w:tcPr>
            <w:tcW w:type="dxa" w:w="3000"/>
            <w:tcMar>
              <w:top w:type="dxa" w:w="90"/>
              <w:left w:type="dxa" w:w="140"/>
              <w:bottom w:type="dxa" w:w="90"/>
              <w:right w:type="dxa" w:w="140"/>
            </w:tcMar>
          </w:tcPr>
          <w:p>
            <w:pPr>
              <w:spacing w:after="0" w:line="300"/>
            </w:pPr>
            <w:r>
              <w:rPr>
                <w:color w:val="141414"/>
                <w:sz w:val="22"/>
                <w:szCs w:val="22"/>
              </w:rPr>
              <w:t xml:space="preserve">The full vertical slice works with real money.</w:t>
            </w:r>
          </w:p>
        </w:tc>
      </w:tr>
      <w:tr>
        <w:trPr>
          <w:tblHeader w:val="false"/>
        </w:trPr>
        <w:tc>
          <w:tcPr>
            <w:tcW w:type="dxa" w:w="1150"/>
            <w:tcMar>
              <w:top w:type="dxa" w:w="90"/>
              <w:left w:type="dxa" w:w="140"/>
              <w:bottom w:type="dxa" w:w="90"/>
              <w:right w:type="dxa" w:w="140"/>
            </w:tcMar>
          </w:tcPr>
          <w:p>
            <w:pPr>
              <w:spacing w:after="0" w:line="300"/>
            </w:pPr>
            <w:r>
              <w:rPr>
                <w:color w:val="141414"/>
                <w:sz w:val="22"/>
                <w:szCs w:val="22"/>
              </w:rPr>
              <w:t xml:space="preserve">25–31 Aug</w:t>
            </w:r>
          </w:p>
        </w:tc>
        <w:tc>
          <w:tcPr>
            <w:tcW w:type="dxa" w:w="5210"/>
            <w:tcMar>
              <w:top w:type="dxa" w:w="90"/>
              <w:left w:type="dxa" w:w="140"/>
              <w:bottom w:type="dxa" w:w="90"/>
              <w:right w:type="dxa" w:w="140"/>
            </w:tcMar>
          </w:tcPr>
          <w:p>
            <w:pPr>
              <w:spacing w:after="0" w:line="300"/>
            </w:pPr>
            <w:r>
              <w:rPr>
                <w:color w:val="141414"/>
                <w:sz w:val="22"/>
                <w:szCs w:val="22"/>
              </w:rPr>
              <w:t xml:space="preserve">Small real campaigns with three founding salons. At least one redemption and one refund completed. Fix exceptions in the same production screens.</w:t>
            </w:r>
          </w:p>
        </w:tc>
        <w:tc>
          <w:tcPr>
            <w:tcW w:type="dxa" w:w="3000"/>
            <w:tcMar>
              <w:top w:type="dxa" w:w="90"/>
              <w:left w:type="dxa" w:w="140"/>
              <w:bottom w:type="dxa" w:w="90"/>
              <w:right w:type="dxa" w:w="140"/>
            </w:tcMar>
          </w:tcPr>
          <w:p>
            <w:pPr>
              <w:spacing w:after="0" w:line="300"/>
            </w:pPr>
            <w:r>
              <w:rPr>
                <w:color w:val="141414"/>
                <w:sz w:val="22"/>
                <w:szCs w:val="22"/>
              </w:rPr>
              <w:t xml:space="preserve">Critical defects closed; build frozen for the fair.</w:t>
            </w:r>
          </w:p>
        </w:tc>
      </w:tr>
      <w:tr>
        <w:trPr>
          <w:tblHeader w:val="false"/>
        </w:trPr>
        <w:tc>
          <w:tcPr>
            <w:tcW w:type="dxa" w:w="1150"/>
            <w:tcMar>
              <w:top w:type="dxa" w:w="90"/>
              <w:left w:type="dxa" w:w="140"/>
              <w:bottom w:type="dxa" w:w="90"/>
              <w:right w:type="dxa" w:w="140"/>
            </w:tcMar>
          </w:tcPr>
          <w:p>
            <w:pPr>
              <w:spacing w:after="0" w:line="300"/>
            </w:pPr>
            <w:r>
              <w:rPr>
                <w:color w:val="141414"/>
                <w:sz w:val="22"/>
                <w:szCs w:val="22"/>
              </w:rPr>
              <w:t xml:space="preserve">1–4 Sep</w:t>
            </w:r>
          </w:p>
        </w:tc>
        <w:tc>
          <w:tcPr>
            <w:tcW w:type="dxa" w:w="5210"/>
            <w:tcMar>
              <w:top w:type="dxa" w:w="90"/>
              <w:left w:type="dxa" w:w="140"/>
              <w:bottom w:type="dxa" w:w="90"/>
              <w:right w:type="dxa" w:w="140"/>
            </w:tcMar>
          </w:tcPr>
          <w:p>
            <w:pPr>
              <w:spacing w:after="0" w:line="300"/>
            </w:pPr>
            <w:r>
              <w:rPr>
                <w:color w:val="141414"/>
                <w:sz w:val="22"/>
                <w:szCs w:val="22"/>
              </w:rPr>
              <w:t xml:space="preserve">Synthetic demo tenant, secure QR onboarding, scripts, incident and provider runbooks.</w:t>
            </w:r>
          </w:p>
        </w:tc>
        <w:tc>
          <w:tcPr>
            <w:tcW w:type="dxa" w:w="3000"/>
            <w:tcMar>
              <w:top w:type="dxa" w:w="90"/>
              <w:left w:type="dxa" w:w="140"/>
              <w:bottom w:type="dxa" w:w="90"/>
              <w:right w:type="dxa" w:w="140"/>
            </w:tcMar>
          </w:tcPr>
          <w:p>
            <w:pPr>
              <w:spacing w:after="0" w:line="300"/>
            </w:pPr>
            <w:r>
              <w:rPr>
                <w:color w:val="141414"/>
                <w:sz w:val="22"/>
                <w:szCs w:val="22"/>
              </w:rPr>
              <w:t xml:space="preserve">No risky changes remain unshipped.</w:t>
            </w:r>
          </w:p>
        </w:tc>
      </w:tr>
      <w:tr>
        <w:trPr>
          <w:tblHeader w:val="false"/>
        </w:trPr>
        <w:tc>
          <w:tcPr>
            <w:tcW w:type="dxa" w:w="1150"/>
            <w:tcMar>
              <w:top w:type="dxa" w:w="90"/>
              <w:left w:type="dxa" w:w="140"/>
              <w:bottom w:type="dxa" w:w="90"/>
              <w:right w:type="dxa" w:w="140"/>
            </w:tcMar>
          </w:tcPr>
          <w:p>
            <w:pPr>
              <w:spacing w:after="0" w:line="300"/>
            </w:pPr>
            <w:r>
              <w:rPr>
                <w:color w:val="141414"/>
                <w:sz w:val="22"/>
                <w:szCs w:val="22"/>
              </w:rPr>
              <w:t xml:space="preserve">5–8 Sep</w:t>
            </w:r>
          </w:p>
        </w:tc>
        <w:tc>
          <w:tcPr>
            <w:tcW w:type="dxa" w:w="5210"/>
            <w:tcMar>
              <w:top w:type="dxa" w:w="90"/>
              <w:left w:type="dxa" w:w="140"/>
              <w:bottom w:type="dxa" w:w="90"/>
              <w:right w:type="dxa" w:w="140"/>
            </w:tcMar>
          </w:tcPr>
          <w:p>
            <w:pPr>
              <w:spacing w:after="0" w:line="300"/>
            </w:pPr>
            <w:r>
              <w:rPr>
                <w:color w:val="141414"/>
                <w:sz w:val="22"/>
                <w:szCs w:val="22"/>
              </w:rPr>
              <w:t xml:space="preserve">Beauty Fair — synthetic demonstration, permissioned leads, secure scans.</w:t>
            </w:r>
          </w:p>
        </w:tc>
        <w:tc>
          <w:tcPr>
            <w:tcW w:type="dxa" w:w="3000"/>
            <w:tcMar>
              <w:top w:type="dxa" w:w="90"/>
              <w:left w:type="dxa" w:w="140"/>
              <w:bottom w:type="dxa" w:w="90"/>
              <w:right w:type="dxa" w:w="140"/>
            </w:tcMar>
          </w:tcPr>
          <w:p>
            <w:pPr>
              <w:spacing w:after="0" w:line="300"/>
            </w:pPr>
            <w:r>
              <w:rPr>
                <w:color w:val="141414"/>
                <w:sz w:val="22"/>
                <w:szCs w:val="22"/>
              </w:rPr>
              <w:t xml:space="preserve">No live activation is promised on the floor; no gate is waived for the event.</w:t>
            </w:r>
          </w:p>
        </w:tc>
      </w:tr>
      <w:tr>
        <w:trPr>
          <w:tblHeader w:val="false"/>
        </w:trPr>
        <w:tc>
          <w:tcPr>
            <w:tcW w:type="dxa" w:w="1150"/>
            <w:tcMar>
              <w:top w:type="dxa" w:w="90"/>
              <w:left w:type="dxa" w:w="140"/>
              <w:bottom w:type="dxa" w:w="90"/>
              <w:right w:type="dxa" w:w="140"/>
            </w:tcMar>
          </w:tcPr>
          <w:p>
            <w:pPr>
              <w:spacing w:after="0" w:line="300"/>
            </w:pPr>
            <w:r>
              <w:rPr>
                <w:color w:val="141414"/>
                <w:sz w:val="22"/>
                <w:szCs w:val="22"/>
              </w:rPr>
              <w:t xml:space="preserve">9 Sep on</w:t>
            </w:r>
          </w:p>
        </w:tc>
        <w:tc>
          <w:tcPr>
            <w:tcW w:type="dxa" w:w="5210"/>
            <w:tcMar>
              <w:top w:type="dxa" w:w="90"/>
              <w:left w:type="dxa" w:w="140"/>
              <w:bottom w:type="dxa" w:w="90"/>
              <w:right w:type="dxa" w:w="140"/>
            </w:tcMar>
          </w:tcPr>
          <w:p>
            <w:pPr>
              <w:spacing w:after="0" w:line="300"/>
            </w:pPr>
            <w:r>
              <w:rPr>
                <w:color w:val="141414"/>
                <w:sz w:val="22"/>
                <w:szCs w:val="22"/>
              </w:rPr>
              <w:t xml:space="preserve">Weekly founding and core-ICP campaigns. Publish permissioned measured results. Assisted self-service after the first three.</w:t>
            </w:r>
          </w:p>
        </w:tc>
        <w:tc>
          <w:tcPr>
            <w:tcW w:type="dxa" w:w="3000"/>
            <w:tcMar>
              <w:top w:type="dxa" w:w="90"/>
              <w:left w:type="dxa" w:w="140"/>
              <w:bottom w:type="dxa" w:w="90"/>
              <w:right w:type="dxa" w:w="140"/>
            </w:tcMar>
          </w:tcPr>
          <w:p>
            <w:pPr>
              <w:spacing w:after="0" w:line="300"/>
            </w:pPr>
            <w:r>
              <w:rPr>
                <w:color w:val="141414"/>
                <w:sz w:val="22"/>
                <w:szCs w:val="22"/>
              </w:rPr>
              <w:t xml:space="preserve">Public self-service opens only on §39.</w:t>
            </w:r>
          </w:p>
        </w:tc>
      </w:tr>
    </w:tbl>
    <w:p>
      <w:pPr>
        <w:spacing w:after="60"/>
      </w:pPr>
    </w:p>
    <w:p>
      <w:pPr>
        <w:pStyle w:val="Heading1"/>
        <w:spacing w:after="200" w:before="360"/>
      </w:pPr>
      <w:r>
        <w:rPr>
          <w:b/>
          <w:bCs/>
          <w:color w:val="0B4A36"/>
        </w:rPr>
        <w:t xml:space="preserve">§39 · The gate that replaces the 100-accounts claim</w:t>
      </w:r>
    </w:p>
    <w:p>
      <w:pPr>
        <w:spacing w:after="160" w:line="360"/>
      </w:pPr>
      <w:r>
        <w:rPr>
          <w:color w:val="141414"/>
        </w:rPr>
        <w:t xml:space="preserve">After at least 20 real production onboardings, all of these must hold:</w:t>
      </w:r>
    </w:p>
    <w:p>
      <w:pPr>
        <w:pStyle w:val="ListParagraph"/>
        <w:numPr>
          <w:ilvl w:val="0"/>
          <w:numId w:val="2"/>
        </w:numPr>
        <w:spacing w:after="100" w:line="340"/>
      </w:pPr>
      <w:r>
        <w:rPr>
          <w:color w:val="141414"/>
        </w:rPr>
        <w:t xml:space="preserve">80%+ of prerequisite-ready owners finish with no synchronous founder help.</w:t>
      </w:r>
    </w:p>
    <w:p>
      <w:pPr>
        <w:pStyle w:val="ListParagraph"/>
        <w:numPr>
          <w:ilvl w:val="0"/>
          <w:numId w:val="2"/>
        </w:numPr>
        <w:spacing w:after="100" w:line="340"/>
      </w:pPr>
      <w:r>
        <w:rPr>
          <w:color w:val="141414"/>
        </w:rPr>
        <w:t xml:space="preserve">Owner active time p50 ≤ 20 min, p90 ≤ 35 min. Founder support p50 ≤ 10 min, p90 ≤ 30 min.</w:t>
      </w:r>
    </w:p>
    <w:p>
      <w:pPr>
        <w:pStyle w:val="ListParagraph"/>
        <w:numPr>
          <w:ilvl w:val="0"/>
          <w:numId w:val="2"/>
        </w:numPr>
        <w:spacing w:after="100" w:line="340"/>
      </w:pPr>
      <w:r>
        <w:rPr>
          <w:color w:val="141414"/>
        </w:rPr>
        <w:t xml:space="preserve">90%+ of device handoffs resume successfully; under 10% stalled past 7 days for a Caixa-controlled reason.</w:t>
      </w:r>
    </w:p>
    <w:p>
      <w:pPr>
        <w:pStyle w:val="ListParagraph"/>
        <w:numPr>
          <w:ilvl w:val="0"/>
          <w:numId w:val="2"/>
        </w:numPr>
        <w:spacing w:after="100" w:line="340"/>
      </w:pPr>
      <w:r>
        <w:rPr>
          <w:color w:val="141414"/>
        </w:rPr>
        <w:t xml:space="preserve">Zero unapproved sends, duplicate charges, cross-tenant exposures or secret leaks.</w:t>
      </w:r>
    </w:p>
    <w:p>
      <w:pPr>
        <w:pStyle w:val="ListParagraph"/>
        <w:numPr>
          <w:ilvl w:val="0"/>
          <w:numId w:val="2"/>
        </w:numPr>
        <w:spacing w:after="100" w:line="340"/>
      </w:pPr>
      <w:r>
        <w:rPr>
          <w:color w:val="141414"/>
        </w:rPr>
        <w:t xml:space="preserve">Every eligibility-required unknown fails closed; suppression passes on every campaign.</w:t>
      </w:r>
    </w:p>
    <w:p>
      <w:pPr>
        <w:pStyle w:val="ListParagraph"/>
        <w:numPr>
          <w:ilvl w:val="0"/>
          <w:numId w:val="2"/>
        </w:numPr>
        <w:spacing w:after="100" w:line="340"/>
      </w:pPr>
      <w:r>
        <w:rPr>
          <w:color w:val="141414"/>
        </w:rPr>
        <w:t xml:space="preserve">Repeat campaigns need no founder data preparation.</w:t>
      </w:r>
    </w:p>
    <w:p>
      <w:pPr>
        <w:pStyle w:val="ListParagraph"/>
        <w:numPr>
          <w:ilvl w:val="0"/>
          <w:numId w:val="2"/>
        </w:numPr>
        <w:spacing w:after="100" w:line="340"/>
      </w:pPr>
      <w:r>
        <w:rPr>
          <w:color w:val="141414"/>
        </w:rPr>
        <w:t xml:space="preserve">Reception workload and response time stay inside the Offer Contract; no paid buyer unresolved past maximum SLA.</w:t>
      </w:r>
    </w:p>
    <w:p>
      <w:pPr>
        <w:pStyle w:val="ListParagraph"/>
        <w:numPr>
          <w:ilvl w:val="0"/>
          <w:numId w:val="2"/>
        </w:numPr>
        <w:spacing w:after="100" w:line="340"/>
      </w:pPr>
      <w:r>
        <w:rPr>
          <w:color w:val="141414"/>
        </w:rPr>
        <w:t xml:space="preserve">Campaign contribution stays positive after loaded support; Asaas and Meta approvals current.</w:t>
      </w:r>
    </w:p>
    <w:tbl>
      <w:tblPr>
        <w:tblW w:type="dxa" w:w="9360"/>
        <w:tblBorders>
          <w:top w:val="none"/>
          <w:left w:val="single" w:color="8A4B0B" w:sz="24"/>
          <w:bottom w:val="none"/>
          <w:right w:val="none"/>
          <w:insideH w:val="none"/>
          <w:insideV w:val="none"/>
        </w:tblBorders>
      </w:tblPr>
      <w:tblGrid>
        <w:gridCol w:w="9360"/>
      </w:tblGrid>
      <w:tr>
        <w:tc>
          <w:tcPr>
            <w:tcW w:type="dxa" w:w="9360"/>
            <w:shd w:fill="F4F1EA" w:val="clear"/>
            <w:tcMar>
              <w:top w:type="dxa" w:w="140"/>
              <w:left w:type="dxa" w:w="220"/>
              <w:bottom w:type="dxa" w:w="140"/>
              <w:right w:type="dxa" w:w="220"/>
            </w:tcMar>
          </w:tcPr>
          <w:p>
            <w:pPr>
              <w:spacing w:after="160" w:line="360"/>
            </w:pPr>
            <w:r>
              <w:rPr>
                <w:b/>
                <w:bCs/>
                <w:color w:val="141414"/>
              </w:rPr>
              <w:t xml:space="preserve">Twenty accounts can justify opening public self-service. They cannot prove a 100-account claim. </w:t>
            </w:r>
            <w:r>
              <w:rPr>
                <w:color w:val="141414"/>
              </w:rPr>
              <w:t xml:space="preserve">Caixa may claim capacity for 100 new live accounts per month only after an actual rolling 30-day period handles that volume through activation, templates, sends, handoffs, paid-voucher fulfillment, refunds and support with every p90 and contribution gate green — and only after the BSP confirms its own capacity for that onboarding volume in writing.</w:t>
            </w:r>
          </w:p>
          <w:p>
            <w:pPr>
              <w:spacing w:after="160" w:line="360"/>
            </w:pPr>
            <w:r>
              <w:rPr>
                <w:color w:val="141414"/>
              </w:rPr>
              <w:t xml:space="preserve">The first 20 are real production accounts on the finished portal with the founder watching. They are not a concierge process wearing the product’s name.</w:t>
            </w:r>
          </w:p>
        </w:tc>
      </w:tr>
    </w:tbl>
    <w:p>
      <w:r>
        <w:br w:type="page"/>
      </w:r>
    </w:p>
    <w:tbl>
      <w:tblPr>
        <w:tblW w:type="dxa" w:w="9360"/>
        <w:tblBorders>
          <w:top w:val="none"/>
          <w:left w:val="none"/>
          <w:bottom w:val="none"/>
          <w:right w:val="none"/>
          <w:insideH w:val="none"/>
          <w:insideV w:val="none"/>
        </w:tblBorders>
      </w:tblPr>
      <w:tblGrid>
        <w:gridCol w:w="9360"/>
      </w:tblGrid>
      <w:tr>
        <w:tc>
          <w:tcPr>
            <w:tcW w:type="dxa" w:w="9360"/>
            <w:shd w:fill="0B4A36" w:val="clear"/>
            <w:tcMar>
              <w:top w:type="dxa" w:w="260"/>
              <w:left w:type="dxa" w:w="300"/>
              <w:bottom w:type="dxa" w:w="260"/>
              <w:right w:type="dxa" w:w="300"/>
            </w:tcMar>
          </w:tcPr>
          <w:p>
            <w:pPr>
              <w:spacing w:after="80"/>
            </w:pPr>
            <w:r>
              <w:rPr>
                <w:b/>
                <w:bCs/>
                <w:caps/>
                <w:color w:val="BFE3D3"/>
                <w:sz w:val="22"/>
                <w:szCs w:val="22"/>
              </w:rPr>
              <w:t xml:space="preserve">Part VII</w:t>
            </w:r>
          </w:p>
          <w:p>
            <w:pPr>
              <w:spacing w:after="0"/>
            </w:pPr>
            <w:r>
              <w:rPr>
                <w:b/>
                <w:bCs/>
                <w:color w:val="FFFFFF"/>
                <w:sz w:val="40"/>
                <w:szCs w:val="40"/>
              </w:rPr>
              <w:t xml:space="preserve">Expansion, risk, and what "done" means</w:t>
            </w:r>
          </w:p>
        </w:tc>
      </w:tr>
    </w:tbl>
    <w:p>
      <w:pPr>
        <w:spacing w:after="60"/>
      </w:pPr>
    </w:p>
    <w:p>
      <w:pPr>
        <w:pStyle w:val="Heading1"/>
        <w:spacing w:after="200" w:before="360"/>
      </w:pPr>
      <w:r>
        <w:rPr>
          <w:b/>
          <w:bCs/>
          <w:color w:val="0B4A36"/>
        </w:rPr>
        <w:t xml:space="preserve">§40 · What ports, and what does not</w:t>
      </w:r>
    </w:p>
    <w:p>
      <w:pPr>
        <w:spacing w:after="160" w:line="360"/>
      </w:pPr>
      <w:r>
        <w:rPr>
          <w:b/>
          <w:bCs/>
          <w:color w:val="141414"/>
        </w:rPr>
        <w:t xml:space="preserve">Generic — already vertical-agnostic: </w:t>
      </w:r>
      <w:r>
        <w:rPr>
          <w:color w:val="141414"/>
        </w:rPr>
        <w:t xml:space="preserve">consent evidence and suppression; owner authorization and audit; template sending and conversation windows; stable offer URLs; checkout, split, refund and ledger; voucher state; owner lifecycle automation; exception queues and dashboards.</w:t>
      </w:r>
    </w:p>
    <w:p>
      <w:pPr>
        <w:spacing w:after="160" w:line="360"/>
      </w:pPr>
      <w:r>
        <w:rPr>
          <w:b/>
          <w:bCs/>
          <w:color w:val="141414"/>
        </w:rPr>
        <w:t xml:space="preserve">Vertical-specific — a policy pack, not just a CSV mapping: </w:t>
      </w:r>
      <w:r>
        <w:rPr>
          <w:color w:val="141414"/>
        </w:rPr>
        <w:t xml:space="preserve">the source connector and event mapping; what counts as a completed visit; cadence and lapse rules; future-service, debt, dispute and liability exclusions; consent-capture norms; offer archetypes; capacity, booking, redemption and refund rules; sensitive-data and age exclusions; economics and qualification thresholds; and the hard-handoff topic list.</w:t>
      </w:r>
    </w:p>
    <w:p>
      <w:pPr>
        <w:spacing w:after="160" w:line="360"/>
      </w:pPr>
      <w:r>
        <w:rPr>
          <w:b/>
          <w:bCs/>
          <w:color w:val="141414"/>
        </w:rPr>
        <w:t xml:space="preserve">So the honest answer to "can this go into other niches" is yes — but not for free. </w:t>
      </w:r>
      <w:r>
        <w:rPr>
          <w:color w:val="141414"/>
        </w:rPr>
        <w:t xml:space="preserve">The kernel ports. The importer, the policy pack and the fulfillment model do not. Anyone who says a new vertical is "just a new importer" has not shipped one.</w:t>
      </w:r>
    </w:p>
    <w:p>
      <w:pPr>
        <w:spacing w:after="60"/>
      </w:pPr>
    </w:p>
    <w:p>
      <w:pPr>
        <w:pStyle w:val="Heading1"/>
        <w:spacing w:after="200" w:before="360"/>
      </w:pPr>
      <w:r>
        <w:rPr>
          <w:b/>
          <w:bCs/>
          <w:color w:val="0B4A36"/>
        </w:rPr>
        <w:t xml:space="preserve">§41 · Expansion gates</w:t>
      </w:r>
    </w:p>
    <w:p>
      <w:pPr>
        <w:pStyle w:val="ListParagraph"/>
        <w:numPr>
          <w:ilvl w:val="0"/>
          <w:numId w:val="2"/>
        </w:numPr>
        <w:spacing w:after="100" w:line="340"/>
      </w:pPr>
      <w:r>
        <w:rPr>
          <w:b/>
          <w:bCs/>
          <w:color w:val="141414"/>
        </w:rPr>
        <w:t xml:space="preserve">Gate A — second importer in beauty: </w:t>
      </w:r>
      <w:r>
        <w:rPr>
          <w:color w:val="141414"/>
        </w:rPr>
        <w:t xml:space="preserve">opens when 3+ qualified prospects share one system, or one multi-unit signed contract clears fully loaded build and support cost; real exports from multiple accounts prove the schema; the same consent and exclusion evidence exists; and the connector will not become a permanent second manual ritual.</w:t>
      </w:r>
    </w:p>
    <w:p>
      <w:pPr>
        <w:pStyle w:val="ListParagraph"/>
        <w:numPr>
          <w:ilvl w:val="0"/>
          <w:numId w:val="2"/>
        </w:numPr>
        <w:spacing w:after="100" w:line="340"/>
      </w:pPr>
      <w:r>
        <w:rPr>
          <w:b/>
          <w:bCs/>
          <w:color w:val="141414"/>
        </w:rPr>
        <w:t xml:space="preserve">Gate B — second vertical: </w:t>
      </w:r>
      <w:r>
        <w:rPr>
          <w:color w:val="141414"/>
        </w:rPr>
        <w:t xml:space="preserve">opens only after repeatable positive contribution in beauty, passed self-service gates, 3+ paid production candidates on the same source system, counsel approval of the data category, a complete fulfillment pack, and payback on connector plus support work.</w:t>
      </w:r>
    </w:p>
    <w:p>
      <w:pPr>
        <w:pStyle w:val="ListParagraph"/>
        <w:numPr>
          <w:ilvl w:val="0"/>
          <w:numId w:val="2"/>
        </w:numPr>
        <w:spacing w:after="100" w:line="340"/>
      </w:pPr>
      <w:r>
        <w:rPr>
          <w:b/>
          <w:bCs/>
          <w:color w:val="141414"/>
        </w:rPr>
        <w:t xml:space="preserve">Gate C — active-base campaigns: </w:t>
      </w:r>
      <w:r>
        <w:rPr>
          <w:color w:val="141414"/>
        </w:rPr>
        <w:t xml:space="preserve">same machinery, bigger pool. Opens when win-back telemetry is boring across 20+ accounts. This is where revenue stops depending on lapse alone.</w:t>
      </w:r>
    </w:p>
    <w:p>
      <w:pPr>
        <w:pStyle w:val="ListParagraph"/>
        <w:numPr>
          <w:ilvl w:val="0"/>
          <w:numId w:val="2"/>
        </w:numPr>
        <w:spacing w:after="100" w:line="340"/>
      </w:pPr>
      <w:r>
        <w:rPr>
          <w:b/>
          <w:bCs/>
          <w:color w:val="141414"/>
        </w:rPr>
        <w:t xml:space="preserve">Gate D — the ops hire: </w:t>
      </w:r>
      <w:r>
        <w:rPr>
          <w:color w:val="141414"/>
        </w:rPr>
        <w:t xml:space="preserve">per §35.</w:t>
      </w:r>
    </w:p>
    <w:p>
      <w:pPr>
        <w:pStyle w:val="ListParagraph"/>
        <w:numPr>
          <w:ilvl w:val="0"/>
          <w:numId w:val="2"/>
        </w:numPr>
        <w:spacing w:after="100" w:line="340"/>
      </w:pPr>
      <w:r>
        <w:rPr>
          <w:b/>
          <w:bCs/>
          <w:color w:val="141414"/>
        </w:rPr>
        <w:t xml:space="preserve">Gate E — the customer conversation layer: </w:t>
      </w:r>
      <w:r>
        <w:rPr>
          <w:color w:val="141414"/>
        </w:rPr>
        <w:t xml:space="preserve">opens only with real reply-traffic evidence that reception is the bottleneck, and then deterministic-first. Cut in §0.5; reversible on data, not on enthusiasm.</w:t>
      </w:r>
    </w:p>
    <w:p>
      <w:pPr>
        <w:pStyle w:val="ListParagraph"/>
        <w:numPr>
          <w:ilvl w:val="0"/>
          <w:numId w:val="2"/>
        </w:numPr>
        <w:spacing w:after="100" w:line="340"/>
      </w:pPr>
      <w:r>
        <w:rPr>
          <w:b/>
          <w:bCs/>
          <w:color w:val="141414"/>
        </w:rPr>
        <w:t xml:space="preserve">Gate F — the POS consent kit: </w:t>
      </w:r>
      <w:r>
        <w:rPr>
          <w:color w:val="141414"/>
        </w:rPr>
        <w:t xml:space="preserve">opens once the core loop is boring and there is a measured queue of salons blocked only on consent.</w:t>
      </w:r>
    </w:p>
    <w:p>
      <w:pPr>
        <w:spacing w:after="60"/>
      </w:pPr>
    </w:p>
    <w:p>
      <w:pPr>
        <w:pStyle w:val="Heading1"/>
        <w:spacing w:after="200" w:before="360"/>
      </w:pPr>
      <w:r>
        <w:rPr>
          <w:b/>
          <w:bCs/>
          <w:color w:val="0B4A36"/>
        </w:rPr>
        <w:t xml:space="preserve">§42 · Vertical priority, when a gate ever opens</w:t>
      </w:r>
    </w:p>
    <w:tbl>
      <w:tblPr>
        <w:tblW w:type="dxa" w:w="9360"/>
        <w:tblBorders>
          <w:top w:val="single" w:color="1D6B4F" w:sz="8"/>
          <w:left w:val="none"/>
          <w:bottom w:val="single" w:color="1D6B4F" w:sz="8"/>
          <w:right w:val="none"/>
          <w:insideH w:val="single" w:color="C9D6D0" w:sz="4"/>
          <w:insideV w:val="single" w:color="C9D6D0" w:sz="4"/>
        </w:tblBorders>
      </w:tblPr>
      <w:tblGrid>
        <w:gridCol w:w="3100"/>
        <w:gridCol w:w="6260"/>
      </w:tblGrid>
      <w:tr>
        <w:trPr>
          <w:tblHeader/>
        </w:trPr>
        <w:tc>
          <w:tcPr>
            <w:tcW w:type="dxa" w:w="3100"/>
            <w:shd w:fill="0B4A36" w:val="clear"/>
            <w:tcMar>
              <w:top w:type="dxa" w:w="90"/>
              <w:left w:type="dxa" w:w="140"/>
              <w:bottom w:type="dxa" w:w="90"/>
              <w:right w:type="dxa" w:w="140"/>
            </w:tcMar>
          </w:tcPr>
          <w:p>
            <w:pPr>
              <w:spacing w:after="0" w:line="300"/>
            </w:pPr>
            <w:r>
              <w:rPr>
                <w:b/>
                <w:bCs/>
                <w:color w:val="FFFFFF"/>
                <w:sz w:val="22"/>
                <w:szCs w:val="22"/>
              </w:rPr>
              <w:t xml:space="preserve">Candidate</w:t>
            </w:r>
          </w:p>
        </w:tc>
        <w:tc>
          <w:tcPr>
            <w:tcW w:type="dxa" w:w="6260"/>
            <w:shd w:fill="0B4A36" w:val="clear"/>
            <w:tcMar>
              <w:top w:type="dxa" w:w="90"/>
              <w:left w:type="dxa" w:w="140"/>
              <w:bottom w:type="dxa" w:w="90"/>
              <w:right w:type="dxa" w:w="140"/>
            </w:tcMar>
          </w:tcPr>
          <w:p>
            <w:pPr>
              <w:spacing w:after="0" w:line="300"/>
            </w:pPr>
            <w:r>
              <w:rPr>
                <w:b/>
                <w:bCs/>
                <w:color w:val="FFFFFF"/>
                <w:sz w:val="22"/>
                <w:szCs w:val="22"/>
              </w:rPr>
              <w:t xml:space="preserve">Verdict</w:t>
            </w:r>
          </w:p>
        </w:tc>
      </w:tr>
      <w:tr>
        <w:trPr>
          <w:tblHeader w:val="false"/>
        </w:trPr>
        <w:tc>
          <w:tcPr>
            <w:tcW w:type="dxa" w:w="3100"/>
            <w:tcMar>
              <w:top w:type="dxa" w:w="90"/>
              <w:left w:type="dxa" w:w="140"/>
              <w:bottom w:type="dxa" w:w="90"/>
              <w:right w:type="dxa" w:w="140"/>
            </w:tcMar>
          </w:tcPr>
          <w:p>
            <w:pPr>
              <w:spacing w:after="0" w:line="300"/>
            </w:pPr>
            <w:r>
              <w:rPr>
                <w:color w:val="141414"/>
                <w:sz w:val="22"/>
                <w:szCs w:val="22"/>
              </w:rPr>
              <w:t xml:space="preserve">Premium barbershops already on Trinks</w:t>
            </w:r>
          </w:p>
        </w:tc>
        <w:tc>
          <w:tcPr>
            <w:tcW w:type="dxa" w:w="6260"/>
            <w:tcMar>
              <w:top w:type="dxa" w:w="90"/>
              <w:left w:type="dxa" w:w="140"/>
              <w:bottom w:type="dxa" w:w="90"/>
              <w:right w:type="dxa" w:w="140"/>
            </w:tcMar>
          </w:tcPr>
          <w:p>
            <w:pPr>
              <w:spacing w:after="0" w:line="300"/>
            </w:pPr>
            <w:r>
              <w:rPr>
                <w:color w:val="141414"/>
                <w:sz w:val="22"/>
                <w:szCs w:val="22"/>
              </w:rPr>
              <w:t xml:space="preserve">Strongest — an ICP extension inside the same non-medical kernel and the same importer. Subject only to ticket and sendable-pool economics.</w:t>
            </w:r>
          </w:p>
        </w:tc>
      </w:tr>
      <w:tr>
        <w:trPr>
          <w:tblHeader w:val="false"/>
        </w:trPr>
        <w:tc>
          <w:tcPr>
            <w:tcW w:type="dxa" w:w="3100"/>
            <w:tcMar>
              <w:top w:type="dxa" w:w="90"/>
              <w:left w:type="dxa" w:w="140"/>
              <w:bottom w:type="dxa" w:w="90"/>
              <w:right w:type="dxa" w:w="140"/>
            </w:tcMar>
          </w:tcPr>
          <w:p>
            <w:pPr>
              <w:spacing w:after="0" w:line="300"/>
            </w:pPr>
            <w:r>
              <w:rPr>
                <w:color w:val="141414"/>
                <w:sz w:val="22"/>
                <w:szCs w:val="22"/>
              </w:rPr>
              <w:t xml:space="preserve">A second beauty importer (same vertical, new source)</w:t>
            </w:r>
          </w:p>
        </w:tc>
        <w:tc>
          <w:tcPr>
            <w:tcW w:type="dxa" w:w="6260"/>
            <w:tcMar>
              <w:top w:type="dxa" w:w="90"/>
              <w:left w:type="dxa" w:w="140"/>
              <w:bottom w:type="dxa" w:w="90"/>
              <w:right w:type="dxa" w:w="140"/>
            </w:tcMar>
          </w:tcPr>
          <w:p>
            <w:pPr>
              <w:spacing w:after="0" w:line="300"/>
            </w:pPr>
            <w:r>
              <w:rPr>
                <w:color w:val="141414"/>
                <w:sz w:val="22"/>
                <w:szCs w:val="22"/>
              </w:rPr>
              <w:t xml:space="preserve">Next — proves the connector abstraction without touching policy or fulfillment.</w:t>
            </w:r>
          </w:p>
        </w:tc>
      </w:tr>
      <w:tr>
        <w:trPr>
          <w:tblHeader w:val="false"/>
        </w:trPr>
        <w:tc>
          <w:tcPr>
            <w:tcW w:type="dxa" w:w="3100"/>
            <w:tcMar>
              <w:top w:type="dxa" w:w="90"/>
              <w:left w:type="dxa" w:w="140"/>
              <w:bottom w:type="dxa" w:w="90"/>
              <w:right w:type="dxa" w:w="140"/>
            </w:tcMar>
          </w:tcPr>
          <w:p>
            <w:pPr>
              <w:spacing w:after="0" w:line="300"/>
            </w:pPr>
            <w:r>
              <w:rPr>
                <w:color w:val="141414"/>
                <w:sz w:val="22"/>
                <w:szCs w:val="22"/>
              </w:rPr>
              <w:t xml:space="preserve">Premium non-clinical pet grooming and daycare</w:t>
            </w:r>
          </w:p>
        </w:tc>
        <w:tc>
          <w:tcPr>
            <w:tcW w:type="dxa" w:w="6260"/>
            <w:tcMar>
              <w:top w:type="dxa" w:w="90"/>
              <w:left w:type="dxa" w:w="140"/>
              <w:bottom w:type="dxa" w:w="90"/>
              <w:right w:type="dxa" w:w="140"/>
            </w:tcMar>
          </w:tcPr>
          <w:p>
            <w:pPr>
              <w:spacing w:after="0" w:line="300"/>
            </w:pPr>
            <w:r>
              <w:rPr>
                <w:color w:val="141414"/>
                <w:sz w:val="22"/>
                <w:szCs w:val="22"/>
              </w:rPr>
              <w:t xml:space="preserve">Plausible cadence and package behavior, but a new source system, a fresh privacy analysis and a different fulfillment model.</w:t>
            </w:r>
          </w:p>
        </w:tc>
      </w:tr>
      <w:tr>
        <w:trPr>
          <w:tblHeader w:val="false"/>
        </w:trPr>
        <w:tc>
          <w:tcPr>
            <w:tcW w:type="dxa" w:w="3100"/>
            <w:tcMar>
              <w:top w:type="dxa" w:w="90"/>
              <w:left w:type="dxa" w:w="140"/>
              <w:bottom w:type="dxa" w:w="90"/>
              <w:right w:type="dxa" w:w="140"/>
            </w:tcMar>
          </w:tcPr>
          <w:p>
            <w:pPr>
              <w:spacing w:after="0" w:line="300"/>
            </w:pPr>
            <w:r>
              <w:rPr>
                <w:color w:val="141414"/>
                <w:sz w:val="22"/>
                <w:szCs w:val="22"/>
              </w:rPr>
              <w:t xml:space="preserve">Premium auto detailing / subscription care</w:t>
            </w:r>
          </w:p>
        </w:tc>
        <w:tc>
          <w:tcPr>
            <w:tcW w:type="dxa" w:w="6260"/>
            <w:tcMar>
              <w:top w:type="dxa" w:w="90"/>
              <w:left w:type="dxa" w:w="140"/>
              <w:bottom w:type="dxa" w:w="90"/>
              <w:right w:type="dxa" w:w="140"/>
            </w:tcMar>
          </w:tcPr>
          <w:p>
            <w:pPr>
              <w:spacing w:after="0" w:line="300"/>
            </w:pPr>
            <w:r>
              <w:rPr>
                <w:color w:val="141414"/>
                <w:sz w:val="22"/>
                <w:szCs w:val="22"/>
              </w:rPr>
              <w:t xml:space="preserve">Plausible ticket, unproven dominant data source in Brazil.</w:t>
            </w:r>
          </w:p>
        </w:tc>
      </w:tr>
      <w:tr>
        <w:trPr>
          <w:tblHeader w:val="false"/>
        </w:trPr>
        <w:tc>
          <w:tcPr>
            <w:tcW w:type="dxa" w:w="3100"/>
            <w:tcMar>
              <w:top w:type="dxa" w:w="90"/>
              <w:left w:type="dxa" w:w="140"/>
              <w:bottom w:type="dxa" w:w="90"/>
              <w:right w:type="dxa" w:w="140"/>
            </w:tcMar>
          </w:tcPr>
          <w:p>
            <w:pPr>
              <w:spacing w:after="0" w:line="300"/>
            </w:pPr>
            <w:r>
              <w:rPr>
                <w:color w:val="141414"/>
                <w:sz w:val="22"/>
                <w:szCs w:val="22"/>
              </w:rPr>
              <w:t xml:space="preserve">Dental and aesthetic clinics</w:t>
            </w:r>
          </w:p>
        </w:tc>
        <w:tc>
          <w:tcPr>
            <w:tcW w:type="dxa" w:w="6260"/>
            <w:tcMar>
              <w:top w:type="dxa" w:w="90"/>
              <w:left w:type="dxa" w:w="140"/>
              <w:bottom w:type="dxa" w:w="90"/>
              <w:right w:type="dxa" w:w="140"/>
            </w:tcMar>
          </w:tcPr>
          <w:p>
            <w:pPr>
              <w:spacing w:after="0" w:line="300"/>
            </w:pPr>
            <w:r>
              <w:rPr>
                <w:color w:val="141414"/>
                <w:sz w:val="22"/>
                <w:szCs w:val="22"/>
              </w:rPr>
              <w:t xml:space="preserve">Closed. Health-adjacent data under LGPD Art. 11 — the exclusion that protects the whole model.</w:t>
            </w:r>
          </w:p>
        </w:tc>
      </w:tr>
      <w:tr>
        <w:trPr>
          <w:tblHeader w:val="false"/>
        </w:trPr>
        <w:tc>
          <w:tcPr>
            <w:tcW w:type="dxa" w:w="3100"/>
            <w:tcMar>
              <w:top w:type="dxa" w:w="90"/>
              <w:left w:type="dxa" w:w="140"/>
              <w:bottom w:type="dxa" w:w="90"/>
              <w:right w:type="dxa" w:w="140"/>
            </w:tcMar>
          </w:tcPr>
          <w:p>
            <w:pPr>
              <w:spacing w:after="0" w:line="300"/>
            </w:pPr>
            <w:r>
              <w:rPr>
                <w:color w:val="141414"/>
                <w:sz w:val="22"/>
                <w:szCs w:val="22"/>
              </w:rPr>
              <w:t xml:space="preserve">Restaurants</w:t>
            </w:r>
          </w:p>
        </w:tc>
        <w:tc>
          <w:tcPr>
            <w:tcW w:type="dxa" w:w="6260"/>
            <w:tcMar>
              <w:top w:type="dxa" w:w="90"/>
              <w:left w:type="dxa" w:w="140"/>
              <w:bottom w:type="dxa" w:w="90"/>
              <w:right w:type="dxa" w:w="140"/>
            </w:tcMar>
          </w:tcPr>
          <w:p>
            <w:pPr>
              <w:spacing w:after="0" w:line="300"/>
            </w:pPr>
            <w:r>
              <w:rPr>
                <w:color w:val="141414"/>
                <w:sz w:val="22"/>
                <w:szCs w:val="22"/>
              </w:rPr>
              <w:t xml:space="preserve">Closed. No client-level purchase records to compute lapse from.</w:t>
            </w:r>
          </w:p>
        </w:tc>
      </w:tr>
      <w:tr>
        <w:trPr>
          <w:tblHeader w:val="false"/>
        </w:trPr>
        <w:tc>
          <w:tcPr>
            <w:tcW w:type="dxa" w:w="3100"/>
            <w:tcMar>
              <w:top w:type="dxa" w:w="90"/>
              <w:left w:type="dxa" w:w="140"/>
              <w:bottom w:type="dxa" w:w="90"/>
              <w:right w:type="dxa" w:w="140"/>
            </w:tcMar>
          </w:tcPr>
          <w:p>
            <w:pPr>
              <w:spacing w:after="0" w:line="300"/>
            </w:pPr>
            <w:r>
              <w:rPr>
                <w:color w:val="141414"/>
                <w:sz w:val="22"/>
                <w:szCs w:val="22"/>
              </w:rPr>
              <w:t xml:space="preserve">Gyms, photography, driving schools</w:t>
            </w:r>
          </w:p>
        </w:tc>
        <w:tc>
          <w:tcPr>
            <w:tcW w:type="dxa" w:w="6260"/>
            <w:tcMar>
              <w:top w:type="dxa" w:w="90"/>
              <w:left w:type="dxa" w:w="140"/>
              <w:bottom w:type="dxa" w:w="90"/>
              <w:right w:type="dxa" w:w="140"/>
            </w:tcMar>
          </w:tcPr>
          <w:p>
            <w:pPr>
              <w:spacing w:after="0" w:line="300"/>
            </w:pPr>
            <w:r>
              <w:rPr>
                <w:color w:val="141414"/>
                <w:sz w:val="22"/>
                <w:szCs w:val="22"/>
              </w:rPr>
              <w:t xml:space="preserve">Closed at this stage — cadence, source or consent norms do not clear the same filters.</w:t>
            </w:r>
          </w:p>
        </w:tc>
      </w:tr>
    </w:tbl>
    <w:p>
      <w:pPr>
        <w:spacing w:after="60"/>
      </w:pPr>
    </w:p>
    <w:p>
      <w:pPr>
        <w:pStyle w:val="Heading1"/>
        <w:spacing w:after="200" w:before="360"/>
      </w:pPr>
      <w:r>
        <w:rPr>
          <w:b/>
          <w:bCs/>
          <w:color w:val="0B4A36"/>
        </w:rPr>
        <w:t xml:space="preserve">§43 · Ranked risk register</w:t>
      </w:r>
    </w:p>
    <w:tbl>
      <w:tblPr>
        <w:tblW w:type="dxa" w:w="9360"/>
        <w:tblBorders>
          <w:top w:val="single" w:color="1D6B4F" w:sz="8"/>
          <w:left w:val="none"/>
          <w:bottom w:val="single" w:color="1D6B4F" w:sz="8"/>
          <w:right w:val="none"/>
          <w:insideH w:val="single" w:color="C9D6D0" w:sz="4"/>
          <w:insideV w:val="single" w:color="C9D6D0" w:sz="4"/>
        </w:tblBorders>
      </w:tblPr>
      <w:tblGrid>
        <w:gridCol w:w="500"/>
        <w:gridCol w:w="3400"/>
        <w:gridCol w:w="1000"/>
        <w:gridCol w:w="4460"/>
      </w:tblGrid>
      <w:tr>
        <w:trPr>
          <w:tblHeader/>
        </w:trPr>
        <w:tc>
          <w:tcPr>
            <w:tcW w:type="dxa" w:w="500"/>
            <w:shd w:fill="0B4A36" w:val="clear"/>
            <w:tcMar>
              <w:top w:type="dxa" w:w="90"/>
              <w:left w:type="dxa" w:w="140"/>
              <w:bottom w:type="dxa" w:w="90"/>
              <w:right w:type="dxa" w:w="140"/>
            </w:tcMar>
          </w:tcPr>
          <w:p>
            <w:pPr>
              <w:spacing w:after="0" w:line="300"/>
            </w:pPr>
            <w:r>
              <w:rPr>
                <w:b/>
                <w:bCs/>
                <w:color w:val="FFFFFF"/>
                <w:sz w:val="22"/>
                <w:szCs w:val="22"/>
              </w:rPr>
              <w:t xml:space="preserve">#</w:t>
            </w:r>
          </w:p>
        </w:tc>
        <w:tc>
          <w:tcPr>
            <w:tcW w:type="dxa" w:w="3400"/>
            <w:shd w:fill="0B4A36" w:val="clear"/>
            <w:tcMar>
              <w:top w:type="dxa" w:w="90"/>
              <w:left w:type="dxa" w:w="140"/>
              <w:bottom w:type="dxa" w:w="90"/>
              <w:right w:type="dxa" w:w="140"/>
            </w:tcMar>
          </w:tcPr>
          <w:p>
            <w:pPr>
              <w:spacing w:after="0" w:line="300"/>
            </w:pPr>
            <w:r>
              <w:rPr>
                <w:b/>
                <w:bCs/>
                <w:color w:val="FFFFFF"/>
                <w:sz w:val="22"/>
                <w:szCs w:val="22"/>
              </w:rPr>
              <w:t xml:space="preserve">Risk</w:t>
            </w:r>
          </w:p>
        </w:tc>
        <w:tc>
          <w:tcPr>
            <w:tcW w:type="dxa" w:w="1000"/>
            <w:shd w:fill="0B4A36" w:val="clear"/>
            <w:tcMar>
              <w:top w:type="dxa" w:w="90"/>
              <w:left w:type="dxa" w:w="140"/>
              <w:bottom w:type="dxa" w:w="90"/>
              <w:right w:type="dxa" w:w="140"/>
            </w:tcMar>
          </w:tcPr>
          <w:p>
            <w:pPr>
              <w:spacing w:after="0" w:line="300"/>
            </w:pPr>
            <w:r>
              <w:rPr>
                <w:b/>
                <w:bCs/>
                <w:color w:val="FFFFFF"/>
                <w:sz w:val="22"/>
                <w:szCs w:val="22"/>
              </w:rPr>
              <w:t xml:space="preserve">Status</w:t>
            </w:r>
          </w:p>
        </w:tc>
        <w:tc>
          <w:tcPr>
            <w:tcW w:type="dxa" w:w="4460"/>
            <w:shd w:fill="0B4A36" w:val="clear"/>
            <w:tcMar>
              <w:top w:type="dxa" w:w="90"/>
              <w:left w:type="dxa" w:w="140"/>
              <w:bottom w:type="dxa" w:w="90"/>
              <w:right w:type="dxa" w:w="140"/>
            </w:tcMar>
          </w:tcPr>
          <w:p>
            <w:pPr>
              <w:spacing w:after="0" w:line="300"/>
            </w:pPr>
            <w:r>
              <w:rPr>
                <w:b/>
                <w:bCs/>
                <w:color w:val="FFFFFF"/>
                <w:sz w:val="22"/>
                <w:szCs w:val="22"/>
              </w:rPr>
              <w:t xml:space="preserve">Response</w:t>
            </w:r>
          </w:p>
        </w:tc>
      </w:tr>
      <w:tr>
        <w:trPr>
          <w:tblHeader w:val="false"/>
        </w:trPr>
        <w:tc>
          <w:tcPr>
            <w:tcW w:type="dxa" w:w="500"/>
            <w:tcMar>
              <w:top w:type="dxa" w:w="90"/>
              <w:left w:type="dxa" w:w="140"/>
              <w:bottom w:type="dxa" w:w="90"/>
              <w:right w:type="dxa" w:w="140"/>
            </w:tcMar>
          </w:tcPr>
          <w:p>
            <w:pPr>
              <w:spacing w:after="0" w:line="300"/>
            </w:pPr>
            <w:r>
              <w:rPr>
                <w:color w:val="141414"/>
                <w:sz w:val="22"/>
                <w:szCs w:val="22"/>
              </w:rPr>
              <w:t xml:space="preserve">1</w:t>
            </w:r>
          </w:p>
        </w:tc>
        <w:tc>
          <w:tcPr>
            <w:tcW w:type="dxa" w:w="3400"/>
            <w:tcMar>
              <w:top w:type="dxa" w:w="90"/>
              <w:left w:type="dxa" w:w="140"/>
              <w:bottom w:type="dxa" w:w="90"/>
              <w:right w:type="dxa" w:w="140"/>
            </w:tcMar>
          </w:tcPr>
          <w:p>
            <w:pPr>
              <w:spacing w:after="0" w:line="300"/>
            </w:pPr>
            <w:r>
              <w:rPr>
                <w:color w:val="141414"/>
                <w:sz w:val="22"/>
                <w:szCs w:val="22"/>
              </w:rPr>
              <w:t xml:space="preserve">Trinks sources do not carry complete consent and exclusion evidence</w:t>
            </w:r>
          </w:p>
        </w:tc>
        <w:tc>
          <w:tcPr>
            <w:tcW w:type="dxa" w:w="1000"/>
            <w:tcMar>
              <w:top w:type="dxa" w:w="90"/>
              <w:left w:type="dxa" w:w="140"/>
              <w:bottom w:type="dxa" w:w="90"/>
              <w:right w:type="dxa" w:w="140"/>
            </w:tcMar>
          </w:tcPr>
          <w:p>
            <w:pPr>
              <w:spacing w:after="0" w:line="300"/>
            </w:pPr>
            <w:r>
              <w:rPr>
                <w:color w:val="141414"/>
                <w:sz w:val="22"/>
                <w:szCs w:val="22"/>
              </w:rPr>
              <w:t xml:space="preserve">STOP</w:t>
            </w:r>
          </w:p>
        </w:tc>
        <w:tc>
          <w:tcPr>
            <w:tcW w:type="dxa" w:w="4460"/>
            <w:tcMar>
              <w:top w:type="dxa" w:w="90"/>
              <w:left w:type="dxa" w:w="140"/>
              <w:bottom w:type="dxa" w:w="90"/>
              <w:right w:type="dxa" w:w="140"/>
            </w:tcMar>
          </w:tcPr>
          <w:p>
            <w:pPr>
              <w:spacing w:after="0" w:line="300"/>
            </w:pPr>
            <w:r>
              <w:rPr>
                <w:color w:val="141414"/>
                <w:sz w:val="22"/>
                <w:szCs w:val="22"/>
              </w:rPr>
              <w:t xml:space="preserve">No campaign. Prove the bundle or the connector; otherwise grow new permission first.</w:t>
            </w:r>
          </w:p>
        </w:tc>
      </w:tr>
      <w:tr>
        <w:trPr>
          <w:tblHeader w:val="false"/>
        </w:trPr>
        <w:tc>
          <w:tcPr>
            <w:tcW w:type="dxa" w:w="500"/>
            <w:tcMar>
              <w:top w:type="dxa" w:w="90"/>
              <w:left w:type="dxa" w:w="140"/>
              <w:bottom w:type="dxa" w:w="90"/>
              <w:right w:type="dxa" w:w="140"/>
            </w:tcMar>
          </w:tcPr>
          <w:p>
            <w:pPr>
              <w:spacing w:after="0" w:line="300"/>
            </w:pPr>
            <w:r>
              <w:rPr>
                <w:color w:val="141414"/>
                <w:sz w:val="22"/>
                <w:szCs w:val="22"/>
              </w:rPr>
              <w:t xml:space="preserve">2</w:t>
            </w:r>
          </w:p>
        </w:tc>
        <w:tc>
          <w:tcPr>
            <w:tcW w:type="dxa" w:w="3400"/>
            <w:tcMar>
              <w:top w:type="dxa" w:w="90"/>
              <w:left w:type="dxa" w:w="140"/>
              <w:bottom w:type="dxa" w:w="90"/>
              <w:right w:type="dxa" w:w="140"/>
            </w:tcMar>
          </w:tcPr>
          <w:p>
            <w:pPr>
              <w:spacing w:after="0" w:line="300"/>
            </w:pPr>
            <w:r>
              <w:rPr>
                <w:color w:val="141414"/>
                <w:sz w:val="22"/>
                <w:szCs w:val="22"/>
              </w:rPr>
              <w:t xml:space="preserve">Asaas does not approve the third-party-key split topology</w:t>
            </w:r>
          </w:p>
        </w:tc>
        <w:tc>
          <w:tcPr>
            <w:tcW w:type="dxa" w:w="1000"/>
            <w:tcMar>
              <w:top w:type="dxa" w:w="90"/>
              <w:left w:type="dxa" w:w="140"/>
              <w:bottom w:type="dxa" w:w="90"/>
              <w:right w:type="dxa" w:w="140"/>
            </w:tcMar>
          </w:tcPr>
          <w:p>
            <w:pPr>
              <w:spacing w:after="0" w:line="300"/>
            </w:pPr>
            <w:r>
              <w:rPr>
                <w:color w:val="141414"/>
                <w:sz w:val="22"/>
                <w:szCs w:val="22"/>
              </w:rPr>
              <w:t xml:space="preserve">STOP</w:t>
            </w:r>
          </w:p>
        </w:tc>
        <w:tc>
          <w:tcPr>
            <w:tcW w:type="dxa" w:w="4460"/>
            <w:tcMar>
              <w:top w:type="dxa" w:w="90"/>
              <w:left w:type="dxa" w:w="140"/>
              <w:bottom w:type="dxa" w:w="90"/>
              <w:right w:type="dxa" w:w="140"/>
            </w:tcMar>
          </w:tcPr>
          <w:p>
            <w:pPr>
              <w:spacing w:after="0" w:line="300"/>
            </w:pPr>
            <w:r>
              <w:rPr>
                <w:color w:val="141414"/>
                <w:sz w:val="22"/>
                <w:szCs w:val="22"/>
              </w:rPr>
              <w:t xml:space="preserve">Assisted approved topology, a private partnership, or no launch.</w:t>
            </w:r>
          </w:p>
        </w:tc>
      </w:tr>
      <w:tr>
        <w:trPr>
          <w:tblHeader w:val="false"/>
        </w:trPr>
        <w:tc>
          <w:tcPr>
            <w:tcW w:type="dxa" w:w="500"/>
            <w:tcMar>
              <w:top w:type="dxa" w:w="90"/>
              <w:left w:type="dxa" w:w="140"/>
              <w:bottom w:type="dxa" w:w="90"/>
              <w:right w:type="dxa" w:w="140"/>
            </w:tcMar>
          </w:tcPr>
          <w:p>
            <w:pPr>
              <w:spacing w:after="0" w:line="300"/>
            </w:pPr>
            <w:r>
              <w:rPr>
                <w:color w:val="141414"/>
                <w:sz w:val="22"/>
                <w:szCs w:val="22"/>
              </w:rPr>
              <w:t xml:space="preserve">3</w:t>
            </w:r>
          </w:p>
        </w:tc>
        <w:tc>
          <w:tcPr>
            <w:tcW w:type="dxa" w:w="3400"/>
            <w:tcMar>
              <w:top w:type="dxa" w:w="90"/>
              <w:left w:type="dxa" w:w="140"/>
              <w:bottom w:type="dxa" w:w="90"/>
              <w:right w:type="dxa" w:w="140"/>
            </w:tcMar>
          </w:tcPr>
          <w:p>
            <w:pPr>
              <w:spacing w:after="0" w:line="300"/>
            </w:pPr>
            <w:r>
              <w:rPr>
                <w:color w:val="141414"/>
                <w:sz w:val="22"/>
                <w:szCs w:val="22"/>
              </w:rPr>
              <w:t xml:space="preserve">BSP/coexistence cannot support real salon numbers reliably</w:t>
            </w:r>
          </w:p>
        </w:tc>
        <w:tc>
          <w:tcPr>
            <w:tcW w:type="dxa" w:w="1000"/>
            <w:tcMar>
              <w:top w:type="dxa" w:w="90"/>
              <w:left w:type="dxa" w:w="140"/>
              <w:bottom w:type="dxa" w:w="90"/>
              <w:right w:type="dxa" w:w="140"/>
            </w:tcMar>
          </w:tcPr>
          <w:p>
            <w:pPr>
              <w:spacing w:after="0" w:line="300"/>
            </w:pPr>
            <w:r>
              <w:rPr>
                <w:color w:val="141414"/>
                <w:sz w:val="22"/>
                <w:szCs w:val="22"/>
              </w:rPr>
              <w:t xml:space="preserve">STOP</w:t>
            </w:r>
          </w:p>
        </w:tc>
        <w:tc>
          <w:tcPr>
            <w:tcW w:type="dxa" w:w="4460"/>
            <w:tcMar>
              <w:top w:type="dxa" w:w="90"/>
              <w:left w:type="dxa" w:w="140"/>
              <w:bottom w:type="dxa" w:w="90"/>
              <w:right w:type="dxa" w:w="140"/>
            </w:tcMar>
          </w:tcPr>
          <w:p>
            <w:pPr>
              <w:spacing w:after="0" w:line="300"/>
            </w:pPr>
            <w:r>
              <w:rPr>
                <w:color w:val="141414"/>
                <w:sz w:val="22"/>
                <w:szCs w:val="22"/>
              </w:rPr>
              <w:t xml:space="preserve">Change BSP before public launch. Never use unofficial automation.</w:t>
            </w:r>
          </w:p>
        </w:tc>
      </w:tr>
      <w:tr>
        <w:trPr>
          <w:tblHeader w:val="false"/>
        </w:trPr>
        <w:tc>
          <w:tcPr>
            <w:tcW w:type="dxa" w:w="500"/>
            <w:tcMar>
              <w:top w:type="dxa" w:w="90"/>
              <w:left w:type="dxa" w:w="140"/>
              <w:bottom w:type="dxa" w:w="90"/>
              <w:right w:type="dxa" w:w="140"/>
            </w:tcMar>
          </w:tcPr>
          <w:p>
            <w:pPr>
              <w:spacing w:after="0" w:line="300"/>
            </w:pPr>
            <w:r>
              <w:rPr>
                <w:color w:val="141414"/>
                <w:sz w:val="22"/>
                <w:szCs w:val="22"/>
              </w:rPr>
              <w:t xml:space="preserve">4</w:t>
            </w:r>
          </w:p>
        </w:tc>
        <w:tc>
          <w:tcPr>
            <w:tcW w:type="dxa" w:w="3400"/>
            <w:tcMar>
              <w:top w:type="dxa" w:w="90"/>
              <w:left w:type="dxa" w:w="140"/>
              <w:bottom w:type="dxa" w:w="90"/>
              <w:right w:type="dxa" w:w="140"/>
            </w:tcMar>
          </w:tcPr>
          <w:p>
            <w:pPr>
              <w:spacing w:after="0" w:line="300"/>
            </w:pPr>
            <w:r>
              <w:rPr>
                <w:color w:val="141414"/>
                <w:sz w:val="22"/>
                <w:szCs w:val="22"/>
              </w:rPr>
              <w:t xml:space="preserve">Offer sells but the salon cannot fulfill</w:t>
            </w:r>
          </w:p>
        </w:tc>
        <w:tc>
          <w:tcPr>
            <w:tcW w:type="dxa" w:w="1000"/>
            <w:tcMar>
              <w:top w:type="dxa" w:w="90"/>
              <w:left w:type="dxa" w:w="140"/>
              <w:bottom w:type="dxa" w:w="90"/>
              <w:right w:type="dxa" w:w="140"/>
            </w:tcMar>
          </w:tcPr>
          <w:p>
            <w:pPr>
              <w:spacing w:after="0" w:line="300"/>
            </w:pPr>
            <w:r>
              <w:rPr>
                <w:color w:val="141414"/>
                <w:sz w:val="22"/>
                <w:szCs w:val="22"/>
              </w:rPr>
              <w:t xml:space="preserve">STOP</w:t>
            </w:r>
          </w:p>
        </w:tc>
        <w:tc>
          <w:tcPr>
            <w:tcW w:type="dxa" w:w="4460"/>
            <w:tcMar>
              <w:top w:type="dxa" w:w="90"/>
              <w:left w:type="dxa" w:w="140"/>
              <w:bottom w:type="dxa" w:w="90"/>
              <w:right w:type="dxa" w:w="140"/>
            </w:tcMar>
          </w:tcPr>
          <w:p>
            <w:pPr>
              <w:spacing w:after="0" w:line="300"/>
            </w:pPr>
            <w:r>
              <w:rPr>
                <w:color w:val="141414"/>
                <w:sz w:val="22"/>
                <w:szCs w:val="22"/>
              </w:rPr>
              <w:t xml:space="preserve">Inventory cap, capacity attestation, reception task, refund path.</w:t>
            </w:r>
          </w:p>
        </w:tc>
      </w:tr>
      <w:tr>
        <w:trPr>
          <w:tblHeader w:val="false"/>
        </w:trPr>
        <w:tc>
          <w:tcPr>
            <w:tcW w:type="dxa" w:w="500"/>
            <w:tcMar>
              <w:top w:type="dxa" w:w="90"/>
              <w:left w:type="dxa" w:w="140"/>
              <w:bottom w:type="dxa" w:w="90"/>
              <w:right w:type="dxa" w:w="140"/>
            </w:tcMar>
          </w:tcPr>
          <w:p>
            <w:pPr>
              <w:spacing w:after="0" w:line="300"/>
            </w:pPr>
            <w:r>
              <w:rPr>
                <w:color w:val="141414"/>
                <w:sz w:val="22"/>
                <w:szCs w:val="22"/>
              </w:rPr>
              <w:t xml:space="preserve">5</w:t>
            </w:r>
          </w:p>
        </w:tc>
        <w:tc>
          <w:tcPr>
            <w:tcW w:type="dxa" w:w="3400"/>
            <w:tcMar>
              <w:top w:type="dxa" w:w="90"/>
              <w:left w:type="dxa" w:w="140"/>
              <w:bottom w:type="dxa" w:w="90"/>
              <w:right w:type="dxa" w:w="140"/>
            </w:tcMar>
          </w:tcPr>
          <w:p>
            <w:pPr>
              <w:spacing w:after="0" w:line="300"/>
            </w:pPr>
            <w:r>
              <w:rPr>
                <w:color w:val="141414"/>
                <w:sz w:val="22"/>
                <w:szCs w:val="22"/>
              </w:rPr>
              <w:t xml:space="preserve">Owner onboarding drops at the provider/admin steps</w:t>
            </w:r>
          </w:p>
        </w:tc>
        <w:tc>
          <w:tcPr>
            <w:tcW w:type="dxa" w:w="1000"/>
            <w:tcMar>
              <w:top w:type="dxa" w:w="90"/>
              <w:left w:type="dxa" w:w="140"/>
              <w:bottom w:type="dxa" w:w="90"/>
              <w:right w:type="dxa" w:w="140"/>
            </w:tcMar>
          </w:tcPr>
          <w:p>
            <w:pPr>
              <w:spacing w:after="0" w:line="300"/>
            </w:pPr>
            <w:r>
              <w:rPr>
                <w:color w:val="141414"/>
                <w:sz w:val="22"/>
                <w:szCs w:val="22"/>
              </w:rPr>
              <w:t xml:space="preserve">PROVE</w:t>
            </w:r>
          </w:p>
        </w:tc>
        <w:tc>
          <w:tcPr>
            <w:tcW w:type="dxa" w:w="4460"/>
            <w:tcMar>
              <w:top w:type="dxa" w:w="90"/>
              <w:left w:type="dxa" w:w="140"/>
              <w:bottom w:type="dxa" w:w="90"/>
              <w:right w:type="dxa" w:w="140"/>
            </w:tcMar>
          </w:tcPr>
          <w:p>
            <w:pPr>
              <w:spacing w:after="0" w:line="300"/>
            </w:pPr>
            <w:r>
              <w:rPr>
                <w:color w:val="141414"/>
                <w:sz w:val="22"/>
                <w:szCs w:val="22"/>
              </w:rPr>
              <w:t xml:space="preserve">Saved board, one resumable link, exact recovery copy, instrument every step.</w:t>
            </w:r>
          </w:p>
        </w:tc>
      </w:tr>
      <w:tr>
        <w:trPr>
          <w:tblHeader w:val="false"/>
        </w:trPr>
        <w:tc>
          <w:tcPr>
            <w:tcW w:type="dxa" w:w="500"/>
            <w:tcMar>
              <w:top w:type="dxa" w:w="90"/>
              <w:left w:type="dxa" w:w="140"/>
              <w:bottom w:type="dxa" w:w="90"/>
              <w:right w:type="dxa" w:w="140"/>
            </w:tcMar>
          </w:tcPr>
          <w:p>
            <w:pPr>
              <w:spacing w:after="0" w:line="300"/>
            </w:pPr>
            <w:r>
              <w:rPr>
                <w:color w:val="141414"/>
                <w:sz w:val="22"/>
                <w:szCs w:val="22"/>
              </w:rPr>
              <w:t xml:space="preserve">6</w:t>
            </w:r>
          </w:p>
        </w:tc>
        <w:tc>
          <w:tcPr>
            <w:tcW w:type="dxa" w:w="3400"/>
            <w:tcMar>
              <w:top w:type="dxa" w:w="90"/>
              <w:left w:type="dxa" w:w="140"/>
              <w:bottom w:type="dxa" w:w="90"/>
              <w:right w:type="dxa" w:w="140"/>
            </w:tcMar>
          </w:tcPr>
          <w:p>
            <w:pPr>
              <w:spacing w:after="0" w:line="300"/>
            </w:pPr>
            <w:r>
              <w:rPr>
                <w:color w:val="141414"/>
                <w:sz w:val="22"/>
                <w:szCs w:val="22"/>
              </w:rPr>
              <w:t xml:space="preserve">Consent pool too small for viable economics</w:t>
            </w:r>
          </w:p>
        </w:tc>
        <w:tc>
          <w:tcPr>
            <w:tcW w:type="dxa" w:w="1000"/>
            <w:tcMar>
              <w:top w:type="dxa" w:w="90"/>
              <w:left w:type="dxa" w:w="140"/>
              <w:bottom w:type="dxa" w:w="90"/>
              <w:right w:type="dxa" w:w="140"/>
            </w:tcMar>
          </w:tcPr>
          <w:p>
            <w:pPr>
              <w:spacing w:after="0" w:line="300"/>
            </w:pPr>
            <w:r>
              <w:rPr>
                <w:color w:val="141414"/>
                <w:sz w:val="22"/>
                <w:szCs w:val="22"/>
              </w:rPr>
              <w:t xml:space="preserve">PROVE</w:t>
            </w:r>
          </w:p>
        </w:tc>
        <w:tc>
          <w:tcPr>
            <w:tcW w:type="dxa" w:w="4460"/>
            <w:tcMar>
              <w:top w:type="dxa" w:w="90"/>
              <w:left w:type="dxa" w:w="140"/>
              <w:bottom w:type="dxa" w:w="90"/>
              <w:right w:type="dxa" w:w="140"/>
            </w:tcMar>
          </w:tcPr>
          <w:p>
            <w:pPr>
              <w:spacing w:after="0" w:line="300"/>
            </w:pPr>
            <w:r>
              <w:rPr>
                <w:color w:val="141414"/>
                <w:sz w:val="22"/>
                <w:szCs w:val="22"/>
              </w:rPr>
              <w:t xml:space="preserve">Do not send and do not exaggerate potential. Gate F, later.</w:t>
            </w:r>
          </w:p>
        </w:tc>
      </w:tr>
      <w:tr>
        <w:trPr>
          <w:tblHeader w:val="false"/>
        </w:trPr>
        <w:tc>
          <w:tcPr>
            <w:tcW w:type="dxa" w:w="500"/>
            <w:tcMar>
              <w:top w:type="dxa" w:w="90"/>
              <w:left w:type="dxa" w:w="140"/>
              <w:bottom w:type="dxa" w:w="90"/>
              <w:right w:type="dxa" w:w="140"/>
            </w:tcMar>
          </w:tcPr>
          <w:p>
            <w:pPr>
              <w:spacing w:after="0" w:line="300"/>
            </w:pPr>
            <w:r>
              <w:rPr>
                <w:color w:val="141414"/>
                <w:sz w:val="22"/>
                <w:szCs w:val="22"/>
              </w:rPr>
              <w:t xml:space="preserve">7</w:t>
            </w:r>
          </w:p>
        </w:tc>
        <w:tc>
          <w:tcPr>
            <w:tcW w:type="dxa" w:w="3400"/>
            <w:tcMar>
              <w:top w:type="dxa" w:w="90"/>
              <w:left w:type="dxa" w:w="140"/>
              <w:bottom w:type="dxa" w:w="90"/>
              <w:right w:type="dxa" w:w="140"/>
            </w:tcMar>
          </w:tcPr>
          <w:p>
            <w:pPr>
              <w:spacing w:after="0" w:line="300"/>
            </w:pPr>
            <w:r>
              <w:rPr>
                <w:color w:val="141414"/>
                <w:sz w:val="22"/>
                <w:szCs w:val="22"/>
              </w:rPr>
              <w:t xml:space="preserve">Split refused after the customer paid</w:t>
            </w:r>
          </w:p>
        </w:tc>
        <w:tc>
          <w:tcPr>
            <w:tcW w:type="dxa" w:w="1000"/>
            <w:tcMar>
              <w:top w:type="dxa" w:w="90"/>
              <w:left w:type="dxa" w:w="140"/>
              <w:bottom w:type="dxa" w:w="90"/>
              <w:right w:type="dxa" w:w="140"/>
            </w:tcMar>
          </w:tcPr>
          <w:p>
            <w:pPr>
              <w:spacing w:after="0" w:line="300"/>
            </w:pPr>
            <w:r>
              <w:rPr>
                <w:color w:val="141414"/>
                <w:sz w:val="22"/>
                <w:szCs w:val="22"/>
              </w:rPr>
              <w:t xml:space="preserve">P1</w:t>
            </w:r>
          </w:p>
        </w:tc>
        <w:tc>
          <w:tcPr>
            <w:tcW w:type="dxa" w:w="4460"/>
            <w:tcMar>
              <w:top w:type="dxa" w:w="90"/>
              <w:left w:type="dxa" w:w="140"/>
              <w:bottom w:type="dxa" w:w="90"/>
              <w:right w:type="dxa" w:w="140"/>
            </w:tcMar>
          </w:tcPr>
          <w:p>
            <w:pPr>
              <w:spacing w:after="0" w:line="300"/>
            </w:pPr>
            <w:r>
              <w:rPr>
                <w:color w:val="141414"/>
                <w:sz w:val="22"/>
                <w:szCs w:val="22"/>
              </w:rPr>
              <w:t xml:space="preserve">Fulfill the customer; quarantine the fee; reconcile topology.</w:t>
            </w:r>
          </w:p>
        </w:tc>
      </w:tr>
      <w:tr>
        <w:trPr>
          <w:tblHeader w:val="false"/>
        </w:trPr>
        <w:tc>
          <w:tcPr>
            <w:tcW w:type="dxa" w:w="500"/>
            <w:tcMar>
              <w:top w:type="dxa" w:w="90"/>
              <w:left w:type="dxa" w:w="140"/>
              <w:bottom w:type="dxa" w:w="90"/>
              <w:right w:type="dxa" w:w="140"/>
            </w:tcMar>
          </w:tcPr>
          <w:p>
            <w:pPr>
              <w:spacing w:after="0" w:line="300"/>
            </w:pPr>
            <w:r>
              <w:rPr>
                <w:color w:val="141414"/>
                <w:sz w:val="22"/>
                <w:szCs w:val="22"/>
              </w:rPr>
              <w:t xml:space="preserve">8</w:t>
            </w:r>
          </w:p>
        </w:tc>
        <w:tc>
          <w:tcPr>
            <w:tcW w:type="dxa" w:w="3400"/>
            <w:tcMar>
              <w:top w:type="dxa" w:w="90"/>
              <w:left w:type="dxa" w:w="140"/>
              <w:bottom w:type="dxa" w:w="90"/>
              <w:right w:type="dxa" w:w="140"/>
            </w:tcMar>
          </w:tcPr>
          <w:p>
            <w:pPr>
              <w:spacing w:after="0" w:line="300"/>
            </w:pPr>
            <w:r>
              <w:rPr>
                <w:color w:val="141414"/>
                <w:sz w:val="22"/>
                <w:szCs w:val="22"/>
              </w:rPr>
              <w:t xml:space="preserve">Refund reversals create a cash shortfall</w:t>
            </w:r>
          </w:p>
        </w:tc>
        <w:tc>
          <w:tcPr>
            <w:tcW w:type="dxa" w:w="1000"/>
            <w:tcMar>
              <w:top w:type="dxa" w:w="90"/>
              <w:left w:type="dxa" w:w="140"/>
              <w:bottom w:type="dxa" w:w="90"/>
              <w:right w:type="dxa" w:w="140"/>
            </w:tcMar>
          </w:tcPr>
          <w:p>
            <w:pPr>
              <w:spacing w:after="0" w:line="300"/>
            </w:pPr>
            <w:r>
              <w:rPr>
                <w:color w:val="141414"/>
                <w:sz w:val="22"/>
                <w:szCs w:val="22"/>
              </w:rPr>
              <w:t xml:space="preserve">P1</w:t>
            </w:r>
          </w:p>
        </w:tc>
        <w:tc>
          <w:tcPr>
            <w:tcW w:type="dxa" w:w="4460"/>
            <w:tcMar>
              <w:top w:type="dxa" w:w="90"/>
              <w:left w:type="dxa" w:w="140"/>
              <w:bottom w:type="dxa" w:w="90"/>
              <w:right w:type="dxa" w:w="140"/>
            </w:tcMar>
          </w:tcPr>
          <w:p>
            <w:pPr>
              <w:spacing w:after="0" w:line="300"/>
            </w:pPr>
            <w:r>
              <w:rPr>
                <w:color w:val="141414"/>
                <w:sz w:val="22"/>
                <w:szCs w:val="22"/>
              </w:rPr>
              <w:t xml:space="preserve">Reserve policy and delayed distribution.</w:t>
            </w:r>
          </w:p>
        </w:tc>
      </w:tr>
      <w:tr>
        <w:trPr>
          <w:tblHeader w:val="false"/>
        </w:trPr>
        <w:tc>
          <w:tcPr>
            <w:tcW w:type="dxa" w:w="500"/>
            <w:tcMar>
              <w:top w:type="dxa" w:w="90"/>
              <w:left w:type="dxa" w:w="140"/>
              <w:bottom w:type="dxa" w:w="90"/>
              <w:right w:type="dxa" w:w="140"/>
            </w:tcMar>
          </w:tcPr>
          <w:p>
            <w:pPr>
              <w:spacing w:after="0" w:line="300"/>
            </w:pPr>
            <w:r>
              <w:rPr>
                <w:color w:val="141414"/>
                <w:sz w:val="22"/>
                <w:szCs w:val="22"/>
              </w:rPr>
              <w:t xml:space="preserve">9</w:t>
            </w:r>
          </w:p>
        </w:tc>
        <w:tc>
          <w:tcPr>
            <w:tcW w:type="dxa" w:w="3400"/>
            <w:tcMar>
              <w:top w:type="dxa" w:w="90"/>
              <w:left w:type="dxa" w:w="140"/>
              <w:bottom w:type="dxa" w:w="90"/>
              <w:right w:type="dxa" w:w="140"/>
            </w:tcMar>
          </w:tcPr>
          <w:p>
            <w:pPr>
              <w:spacing w:after="0" w:line="300"/>
            </w:pPr>
            <w:r>
              <w:rPr>
                <w:color w:val="141414"/>
                <w:sz w:val="22"/>
                <w:szCs w:val="22"/>
              </w:rPr>
              <w:t xml:space="preserve">Meta quality deteriorates</w:t>
            </w:r>
          </w:p>
        </w:tc>
        <w:tc>
          <w:tcPr>
            <w:tcW w:type="dxa" w:w="1000"/>
            <w:tcMar>
              <w:top w:type="dxa" w:w="90"/>
              <w:left w:type="dxa" w:w="140"/>
              <w:bottom w:type="dxa" w:w="90"/>
              <w:right w:type="dxa" w:w="140"/>
            </w:tcMar>
          </w:tcPr>
          <w:p>
            <w:pPr>
              <w:spacing w:after="0" w:line="300"/>
            </w:pPr>
            <w:r>
              <w:rPr>
                <w:color w:val="141414"/>
                <w:sz w:val="22"/>
                <w:szCs w:val="22"/>
              </w:rPr>
              <w:t xml:space="preserve">STOP</w:t>
            </w:r>
          </w:p>
        </w:tc>
        <w:tc>
          <w:tcPr>
            <w:tcW w:type="dxa" w:w="4460"/>
            <w:tcMar>
              <w:top w:type="dxa" w:w="90"/>
              <w:left w:type="dxa" w:w="140"/>
              <w:bottom w:type="dxa" w:w="90"/>
              <w:right w:type="dxa" w:w="140"/>
            </w:tcMar>
          </w:tcPr>
          <w:p>
            <w:pPr>
              <w:spacing w:after="0" w:line="300"/>
            </w:pPr>
            <w:r>
              <w:rPr>
                <w:color w:val="141414"/>
                <w:sz w:val="22"/>
                <w:szCs w:val="22"/>
              </w:rPr>
              <w:t xml:space="preserve">Pause tenant or template; inspect audience, copy and consent.</w:t>
            </w:r>
          </w:p>
        </w:tc>
      </w:tr>
      <w:tr>
        <w:trPr>
          <w:tblHeader w:val="false"/>
        </w:trPr>
        <w:tc>
          <w:tcPr>
            <w:tcW w:type="dxa" w:w="500"/>
            <w:tcMar>
              <w:top w:type="dxa" w:w="90"/>
              <w:left w:type="dxa" w:w="140"/>
              <w:bottom w:type="dxa" w:w="90"/>
              <w:right w:type="dxa" w:w="140"/>
            </w:tcMar>
          </w:tcPr>
          <w:p>
            <w:pPr>
              <w:spacing w:after="0" w:line="300"/>
            </w:pPr>
            <w:r>
              <w:rPr>
                <w:color w:val="141414"/>
                <w:sz w:val="22"/>
                <w:szCs w:val="22"/>
              </w:rPr>
              <w:t xml:space="preserve">10</w:t>
            </w:r>
          </w:p>
        </w:tc>
        <w:tc>
          <w:tcPr>
            <w:tcW w:type="dxa" w:w="3400"/>
            <w:tcMar>
              <w:top w:type="dxa" w:w="90"/>
              <w:left w:type="dxa" w:w="140"/>
              <w:bottom w:type="dxa" w:w="90"/>
              <w:right w:type="dxa" w:w="140"/>
            </w:tcMar>
          </w:tcPr>
          <w:p>
            <w:pPr>
              <w:spacing w:after="0" w:line="300"/>
            </w:pPr>
            <w:r>
              <w:rPr>
                <w:color w:val="141414"/>
                <w:sz w:val="22"/>
                <w:szCs w:val="22"/>
              </w:rPr>
              <w:t xml:space="preserve">Source data goes stale before send</w:t>
            </w:r>
          </w:p>
        </w:tc>
        <w:tc>
          <w:tcPr>
            <w:tcW w:type="dxa" w:w="1000"/>
            <w:tcMar>
              <w:top w:type="dxa" w:w="90"/>
              <w:left w:type="dxa" w:w="140"/>
              <w:bottom w:type="dxa" w:w="90"/>
              <w:right w:type="dxa" w:w="140"/>
            </w:tcMar>
          </w:tcPr>
          <w:p>
            <w:pPr>
              <w:spacing w:after="0" w:line="300"/>
            </w:pPr>
            <w:r>
              <w:rPr>
                <w:color w:val="141414"/>
                <w:sz w:val="22"/>
                <w:szCs w:val="22"/>
              </w:rPr>
              <w:t xml:space="preserve">STOP</w:t>
            </w:r>
          </w:p>
        </w:tc>
        <w:tc>
          <w:tcPr>
            <w:tcW w:type="dxa" w:w="4460"/>
            <w:tcMar>
              <w:top w:type="dxa" w:w="90"/>
              <w:left w:type="dxa" w:w="140"/>
              <w:bottom w:type="dxa" w:w="90"/>
              <w:right w:type="dxa" w:w="140"/>
            </w:tcMar>
          </w:tcPr>
          <w:p>
            <w:pPr>
              <w:spacing w:after="0" w:line="300"/>
            </w:pPr>
            <w:r>
              <w:rPr>
                <w:color w:val="141414"/>
                <w:sz w:val="22"/>
                <w:szCs w:val="22"/>
              </w:rPr>
              <w:t xml:space="preserve">24-hour freshness gate; rebuild the manifest.</w:t>
            </w:r>
          </w:p>
        </w:tc>
      </w:tr>
      <w:tr>
        <w:trPr>
          <w:tblHeader w:val="false"/>
        </w:trPr>
        <w:tc>
          <w:tcPr>
            <w:tcW w:type="dxa" w:w="500"/>
            <w:tcMar>
              <w:top w:type="dxa" w:w="90"/>
              <w:left w:type="dxa" w:w="140"/>
              <w:bottom w:type="dxa" w:w="90"/>
              <w:right w:type="dxa" w:w="140"/>
            </w:tcMar>
          </w:tcPr>
          <w:p>
            <w:pPr>
              <w:spacing w:after="0" w:line="300"/>
            </w:pPr>
            <w:r>
              <w:rPr>
                <w:color w:val="141414"/>
                <w:sz w:val="22"/>
                <w:szCs w:val="22"/>
              </w:rPr>
              <w:t xml:space="preserve">11</w:t>
            </w:r>
          </w:p>
        </w:tc>
        <w:tc>
          <w:tcPr>
            <w:tcW w:type="dxa" w:w="3400"/>
            <w:tcMar>
              <w:top w:type="dxa" w:w="90"/>
              <w:left w:type="dxa" w:w="140"/>
              <w:bottom w:type="dxa" w:w="90"/>
              <w:right w:type="dxa" w:w="140"/>
            </w:tcMar>
          </w:tcPr>
          <w:p>
            <w:pPr>
              <w:spacing w:after="0" w:line="300"/>
            </w:pPr>
            <w:r>
              <w:rPr>
                <w:color w:val="141414"/>
                <w:sz w:val="22"/>
                <w:szCs w:val="22"/>
              </w:rPr>
              <w:t xml:space="preserve">Public long tail consumes founder capacity</w:t>
            </w:r>
          </w:p>
        </w:tc>
        <w:tc>
          <w:tcPr>
            <w:tcW w:type="dxa" w:w="1000"/>
            <w:tcMar>
              <w:top w:type="dxa" w:w="90"/>
              <w:left w:type="dxa" w:w="140"/>
              <w:bottom w:type="dxa" w:w="90"/>
              <w:right w:type="dxa" w:w="140"/>
            </w:tcMar>
          </w:tcPr>
          <w:p>
            <w:pPr>
              <w:spacing w:after="0" w:line="300"/>
            </w:pPr>
            <w:r>
              <w:rPr>
                <w:color w:val="141414"/>
                <w:sz w:val="22"/>
                <w:szCs w:val="22"/>
              </w:rPr>
              <w:t xml:space="preserve">STOP</w:t>
            </w:r>
          </w:p>
        </w:tc>
        <w:tc>
          <w:tcPr>
            <w:tcW w:type="dxa" w:w="4460"/>
            <w:tcMar>
              <w:top w:type="dxa" w:w="90"/>
              <w:left w:type="dxa" w:w="140"/>
              <w:bottom w:type="dxa" w:w="90"/>
              <w:right w:type="dxa" w:w="140"/>
            </w:tcMar>
          </w:tcPr>
          <w:p>
            <w:pPr>
              <w:spacing w:after="0" w:line="300"/>
            </w:pPr>
            <w:r>
              <w:rPr>
                <w:color w:val="141414"/>
                <w:sz w:val="22"/>
                <w:szCs w:val="22"/>
              </w:rPr>
              <w:t xml:space="preserve">Contribution and support gates. Core ICP first.</w:t>
            </w:r>
          </w:p>
        </w:tc>
      </w:tr>
      <w:tr>
        <w:trPr>
          <w:tblHeader w:val="false"/>
        </w:trPr>
        <w:tc>
          <w:tcPr>
            <w:tcW w:type="dxa" w:w="500"/>
            <w:tcMar>
              <w:top w:type="dxa" w:w="90"/>
              <w:left w:type="dxa" w:w="140"/>
              <w:bottom w:type="dxa" w:w="90"/>
              <w:right w:type="dxa" w:w="140"/>
            </w:tcMar>
          </w:tcPr>
          <w:p>
            <w:pPr>
              <w:spacing w:after="0" w:line="300"/>
            </w:pPr>
            <w:r>
              <w:rPr>
                <w:color w:val="141414"/>
                <w:sz w:val="22"/>
                <w:szCs w:val="22"/>
              </w:rPr>
              <w:t xml:space="preserve">12</w:t>
            </w:r>
          </w:p>
        </w:tc>
        <w:tc>
          <w:tcPr>
            <w:tcW w:type="dxa" w:w="3400"/>
            <w:tcMar>
              <w:top w:type="dxa" w:w="90"/>
              <w:left w:type="dxa" w:w="140"/>
              <w:bottom w:type="dxa" w:w="90"/>
              <w:right w:type="dxa" w:w="140"/>
            </w:tcMar>
          </w:tcPr>
          <w:p>
            <w:pPr>
              <w:spacing w:after="0" w:line="300"/>
            </w:pPr>
            <w:r>
              <w:rPr>
                <w:color w:val="141414"/>
                <w:sz w:val="22"/>
                <w:szCs w:val="22"/>
              </w:rPr>
              <w:t xml:space="preserve">Generated code leaks data or crosses tenants</w:t>
            </w:r>
          </w:p>
        </w:tc>
        <w:tc>
          <w:tcPr>
            <w:tcW w:type="dxa" w:w="1000"/>
            <w:tcMar>
              <w:top w:type="dxa" w:w="90"/>
              <w:left w:type="dxa" w:w="140"/>
              <w:bottom w:type="dxa" w:w="90"/>
              <w:right w:type="dxa" w:w="140"/>
            </w:tcMar>
          </w:tcPr>
          <w:p>
            <w:pPr>
              <w:spacing w:after="0" w:line="300"/>
            </w:pPr>
            <w:r>
              <w:rPr>
                <w:color w:val="141414"/>
                <w:sz w:val="22"/>
                <w:szCs w:val="22"/>
              </w:rPr>
              <w:t xml:space="preserve">P0</w:t>
            </w:r>
          </w:p>
        </w:tc>
        <w:tc>
          <w:tcPr>
            <w:tcW w:type="dxa" w:w="4460"/>
            <w:tcMar>
              <w:top w:type="dxa" w:w="90"/>
              <w:left w:type="dxa" w:w="140"/>
              <w:bottom w:type="dxa" w:w="90"/>
              <w:right w:type="dxa" w:w="140"/>
            </w:tcMar>
          </w:tcPr>
          <w:p>
            <w:pPr>
              <w:spacing w:after="0" w:line="300"/>
            </w:pPr>
            <w:r>
              <w:rPr>
                <w:color w:val="141414"/>
                <w:sz w:val="22"/>
                <w:szCs w:val="22"/>
              </w:rPr>
              <w:t xml:space="preserve">Foundation controls, tests, external review, kill switches.</w:t>
            </w:r>
          </w:p>
        </w:tc>
      </w:tr>
      <w:tr>
        <w:trPr>
          <w:tblHeader w:val="false"/>
        </w:trPr>
        <w:tc>
          <w:tcPr>
            <w:tcW w:type="dxa" w:w="500"/>
            <w:tcMar>
              <w:top w:type="dxa" w:w="90"/>
              <w:left w:type="dxa" w:w="140"/>
              <w:bottom w:type="dxa" w:w="90"/>
              <w:right w:type="dxa" w:w="140"/>
            </w:tcMar>
          </w:tcPr>
          <w:p>
            <w:pPr>
              <w:spacing w:after="0" w:line="300"/>
            </w:pPr>
            <w:r>
              <w:rPr>
                <w:color w:val="141414"/>
                <w:sz w:val="22"/>
                <w:szCs w:val="22"/>
              </w:rPr>
              <w:t xml:space="preserve">13</w:t>
            </w:r>
          </w:p>
        </w:tc>
        <w:tc>
          <w:tcPr>
            <w:tcW w:type="dxa" w:w="3400"/>
            <w:tcMar>
              <w:top w:type="dxa" w:w="90"/>
              <w:left w:type="dxa" w:w="140"/>
              <w:bottom w:type="dxa" w:w="90"/>
              <w:right w:type="dxa" w:w="140"/>
            </w:tcMar>
          </w:tcPr>
          <w:p>
            <w:pPr>
              <w:spacing w:after="0" w:line="300"/>
            </w:pPr>
            <w:r>
              <w:rPr>
                <w:color w:val="141414"/>
                <w:sz w:val="22"/>
                <w:szCs w:val="22"/>
              </w:rPr>
              <w:t xml:space="preserve">Native Trinks features erode perceived differentiation</w:t>
            </w:r>
          </w:p>
        </w:tc>
        <w:tc>
          <w:tcPr>
            <w:tcW w:type="dxa" w:w="1000"/>
            <w:tcMar>
              <w:top w:type="dxa" w:w="90"/>
              <w:left w:type="dxa" w:w="140"/>
              <w:bottom w:type="dxa" w:w="90"/>
              <w:right w:type="dxa" w:w="140"/>
            </w:tcMar>
          </w:tcPr>
          <w:p>
            <w:pPr>
              <w:spacing w:after="0" w:line="300"/>
            </w:pPr>
            <w:r>
              <w:rPr>
                <w:color w:val="141414"/>
                <w:sz w:val="22"/>
                <w:szCs w:val="22"/>
              </w:rPr>
              <w:t xml:space="preserve">Commercial</w:t>
            </w:r>
          </w:p>
        </w:tc>
        <w:tc>
          <w:tcPr>
            <w:tcW w:type="dxa" w:w="4460"/>
            <w:tcMar>
              <w:top w:type="dxa" w:w="90"/>
              <w:left w:type="dxa" w:w="140"/>
              <w:bottom w:type="dxa" w:w="90"/>
              <w:right w:type="dxa" w:w="140"/>
            </w:tcMar>
          </w:tcPr>
          <w:p>
            <w:pPr>
              <w:spacing w:after="0" w:line="300"/>
            </w:pPr>
            <w:r>
              <w:rPr>
                <w:color w:val="141414"/>
                <w:sz w:val="22"/>
                <w:szCs w:val="22"/>
              </w:rPr>
              <w:t xml:space="preserve">Sell managed conversion, fulfillment and results-only pricing — not sending.</w:t>
            </w:r>
          </w:p>
        </w:tc>
      </w:tr>
    </w:tbl>
    <w:p>
      <w:pPr>
        <w:spacing w:after="60"/>
      </w:pPr>
    </w:p>
    <w:p>
      <w:pPr>
        <w:pStyle w:val="Heading1"/>
        <w:spacing w:after="200" w:before="360"/>
      </w:pPr>
      <w:r>
        <w:rPr>
          <w:b/>
          <w:bCs/>
          <w:color w:val="0B4A36"/>
        </w:rPr>
        <w:t xml:space="preserve">§44 · No-go conditions</w:t>
      </w:r>
    </w:p>
    <w:p>
      <w:pPr>
        <w:spacing w:after="160" w:line="360"/>
      </w:pPr>
      <w:r>
        <w:rPr>
          <w:color w:val="141414"/>
        </w:rPr>
        <w:t xml:space="preserve">Do not send a production campaign when any of these is true:</w:t>
      </w:r>
    </w:p>
    <w:p>
      <w:pPr>
        <w:pStyle w:val="ListParagraph"/>
        <w:numPr>
          <w:ilvl w:val="0"/>
          <w:numId w:val="2"/>
        </w:numPr>
        <w:spacing w:after="100" w:line="340"/>
      </w:pPr>
      <w:r>
        <w:rPr>
          <w:color w:val="141414"/>
        </w:rPr>
        <w:t xml:space="preserve">consent provenance is absent or ambiguous;</w:t>
      </w:r>
    </w:p>
    <w:p>
      <w:pPr>
        <w:pStyle w:val="ListParagraph"/>
        <w:numPr>
          <w:ilvl w:val="0"/>
          <w:numId w:val="2"/>
        </w:numPr>
        <w:spacing w:after="100" w:line="340"/>
      </w:pPr>
      <w:r>
        <w:rPr>
          <w:color w:val="141414"/>
        </w:rPr>
        <w:t xml:space="preserve">any eligibility-required exclusion fact is absent, unknown or stale;</w:t>
      </w:r>
    </w:p>
    <w:p>
      <w:pPr>
        <w:pStyle w:val="ListParagraph"/>
        <w:numPr>
          <w:ilvl w:val="0"/>
          <w:numId w:val="2"/>
        </w:numPr>
        <w:spacing w:after="100" w:line="340"/>
      </w:pPr>
      <w:r>
        <w:rPr>
          <w:color w:val="141414"/>
        </w:rPr>
        <w:t xml:space="preserve">owner authorization is missing or invalidated;</w:t>
      </w:r>
    </w:p>
    <w:p>
      <w:pPr>
        <w:pStyle w:val="ListParagraph"/>
        <w:numPr>
          <w:ilvl w:val="0"/>
          <w:numId w:val="2"/>
        </w:numPr>
        <w:spacing w:after="100" w:line="340"/>
      </w:pPr>
      <w:r>
        <w:rPr>
          <w:color w:val="141414"/>
        </w:rPr>
        <w:t xml:space="preserve">offer capacity or terms are incomplete;</w:t>
      </w:r>
    </w:p>
    <w:p>
      <w:pPr>
        <w:pStyle w:val="ListParagraph"/>
        <w:numPr>
          <w:ilvl w:val="0"/>
          <w:numId w:val="2"/>
        </w:numPr>
        <w:spacing w:after="100" w:line="340"/>
      </w:pPr>
      <w:r>
        <w:rPr>
          <w:color w:val="141414"/>
        </w:rPr>
        <w:t xml:space="preserve">reception has no handoff route;</w:t>
      </w:r>
    </w:p>
    <w:p>
      <w:pPr>
        <w:pStyle w:val="ListParagraph"/>
        <w:numPr>
          <w:ilvl w:val="0"/>
          <w:numId w:val="2"/>
        </w:numPr>
        <w:spacing w:after="100" w:line="340"/>
      </w:pPr>
      <w:r>
        <w:rPr>
          <w:color w:val="141414"/>
        </w:rPr>
        <w:t xml:space="preserve">Meta template, quality, account or limit state is unsafe;</w:t>
      </w:r>
    </w:p>
    <w:p>
      <w:pPr>
        <w:pStyle w:val="ListParagraph"/>
        <w:numPr>
          <w:ilvl w:val="0"/>
          <w:numId w:val="2"/>
        </w:numPr>
        <w:spacing w:after="100" w:line="340"/>
      </w:pPr>
      <w:r>
        <w:rPr>
          <w:color w:val="141414"/>
        </w:rPr>
        <w:t xml:space="preserve">Asaas account, key, Pix, webhook or split health is unsafe;</w:t>
      </w:r>
    </w:p>
    <w:p>
      <w:pPr>
        <w:pStyle w:val="ListParagraph"/>
        <w:numPr>
          <w:ilvl w:val="0"/>
          <w:numId w:val="2"/>
        </w:numPr>
        <w:spacing w:after="100" w:line="340"/>
      </w:pPr>
      <w:r>
        <w:rPr>
          <w:color w:val="141414"/>
        </w:rPr>
        <w:t xml:space="preserve">an unresolved P0 or relevant P1 exists;</w:t>
      </w:r>
    </w:p>
    <w:p>
      <w:pPr>
        <w:pStyle w:val="ListParagraph"/>
        <w:numPr>
          <w:ilvl w:val="0"/>
          <w:numId w:val="2"/>
        </w:numPr>
        <w:spacing w:after="100" w:line="340"/>
      </w:pPr>
      <w:r>
        <w:rPr>
          <w:color w:val="141414"/>
        </w:rPr>
        <w:t xml:space="preserve">a paid buyer is stranded beyond maximum reception SLA;</w:t>
      </w:r>
    </w:p>
    <w:p>
      <w:pPr>
        <w:pStyle w:val="ListParagraph"/>
        <w:numPr>
          <w:ilvl w:val="0"/>
          <w:numId w:val="2"/>
        </w:numPr>
        <w:spacing w:after="100" w:line="340"/>
      </w:pPr>
      <w:r>
        <w:rPr>
          <w:color w:val="141414"/>
        </w:rPr>
        <w:t xml:space="preserve">the salon cannot honor its outstanding prepaid obligations;</w:t>
      </w:r>
    </w:p>
    <w:p>
      <w:pPr>
        <w:pStyle w:val="ListParagraph"/>
        <w:numPr>
          <w:ilvl w:val="0"/>
          <w:numId w:val="2"/>
        </w:numPr>
        <w:spacing w:after="100" w:line="340"/>
      </w:pPr>
      <w:r>
        <w:rPr>
          <w:color w:val="141414"/>
        </w:rPr>
        <w:t xml:space="preserve">the retention schedule or the launch cash gate is unapproved;</w:t>
      </w:r>
    </w:p>
    <w:p>
      <w:pPr>
        <w:pStyle w:val="ListParagraph"/>
        <w:numPr>
          <w:ilvl w:val="0"/>
          <w:numId w:val="2"/>
        </w:numPr>
        <w:spacing w:after="100" w:line="340"/>
      </w:pPr>
      <w:r>
        <w:rPr>
          <w:color w:val="141414"/>
        </w:rPr>
        <w:t xml:space="preserve">expected contribution is negative.</w:t>
      </w:r>
    </w:p>
    <w:p>
      <w:pPr>
        <w:spacing w:after="60"/>
      </w:pPr>
    </w:p>
    <w:p>
      <w:pPr>
        <w:pStyle w:val="Heading1"/>
        <w:spacing w:after="200" w:before="360"/>
      </w:pPr>
      <w:r>
        <w:rPr>
          <w:b/>
          <w:bCs/>
          <w:color w:val="0B4A36"/>
        </w:rPr>
        <w:t xml:space="preserve">§45 · Explicitly deferred</w:t>
      </w:r>
    </w:p>
    <w:p>
      <w:pPr>
        <w:spacing w:after="160" w:line="360"/>
      </w:pPr>
      <w:r>
        <w:rPr>
          <w:color w:val="141414"/>
        </w:rPr>
        <w:t xml:space="preserve">Second importer · second vertical · AI receptionist · per-client generated prose · automatic live booking before formal Trinks access · deposits, subscriptions and multi-session packages · abandoned-checkout WhatsApp reminders · active-base promotions · debt reminders · custom white-glove campaigns · multiple PSPs or BSPs · microservices.</w:t>
      </w:r>
    </w:p>
    <w:p>
      <w:pPr>
        <w:spacing w:after="160" w:line="360"/>
      </w:pPr>
      <w:r>
        <w:rPr>
          <w:b/>
          <w:bCs/>
          <w:color w:val="141414"/>
        </w:rPr>
        <w:t xml:space="preserve">Each deferred item needs a written gate, and must replace or simplify something to enter. </w:t>
      </w:r>
      <w:r>
        <w:rPr>
          <w:color w:val="141414"/>
        </w:rPr>
        <w:t xml:space="preserve">That rule is what keeps v5 from becoming v2 again.</w:t>
      </w:r>
    </w:p>
    <w:p>
      <w:pPr>
        <w:spacing w:after="60"/>
      </w:pPr>
    </w:p>
    <w:p>
      <w:pPr>
        <w:pStyle w:val="Heading1"/>
        <w:spacing w:after="200" w:before="360"/>
      </w:pPr>
      <w:r>
        <w:rPr>
          <w:b/>
          <w:bCs/>
          <w:color w:val="0B4A36"/>
        </w:rPr>
        <w:t xml:space="preserve">§46 · Final acceptance test</w:t>
      </w:r>
    </w:p>
    <w:p>
      <w:pPr>
        <w:spacing w:after="160" w:line="360"/>
      </w:pPr>
      <w:r>
        <w:rPr>
          <w:color w:val="141414"/>
        </w:rPr>
        <w:t xml:space="preserve">Ready for assisted launch only after real production events prove each path independently:</w:t>
      </w:r>
    </w:p>
    <w:p>
      <w:pPr>
        <w:pStyle w:val="ListParagraph"/>
        <w:numPr>
          <w:ilvl w:val="0"/>
          <w:numId w:val="2"/>
        </w:numPr>
        <w:spacing w:after="100" w:line="340"/>
      </w:pPr>
      <w:r>
        <w:rPr>
          <w:color w:val="141414"/>
        </w:rPr>
        <w:t xml:space="preserve">an owner authorizes data, completes fail-closed eligibility, activates both providers, freezes an Offer Contract and approves an exact manifest;</w:t>
      </w:r>
    </w:p>
    <w:p>
      <w:pPr>
        <w:pStyle w:val="ListParagraph"/>
        <w:numPr>
          <w:ilvl w:val="0"/>
          <w:numId w:val="2"/>
        </w:numPr>
        <w:spacing w:after="100" w:line="340"/>
      </w:pPr>
      <w:r>
        <w:rPr>
          <w:color w:val="141414"/>
        </w:rPr>
        <w:t xml:space="preserve">a recipient receives the template, buys directly, accepts the frozen terms, completes one idempotent Pix checkout, receives a voucher on authenticated confirmation, initiates booking, redeems, and appears correctly in provisional and final statements;</w:t>
      </w:r>
    </w:p>
    <w:p>
      <w:pPr>
        <w:pStyle w:val="ListParagraph"/>
        <w:numPr>
          <w:ilvl w:val="0"/>
          <w:numId w:val="2"/>
        </w:numPr>
        <w:spacing w:after="100" w:line="340"/>
      </w:pPr>
      <w:r>
        <w:rPr>
          <w:color w:val="141414"/>
        </w:rPr>
        <w:t xml:space="preserve">a forwarded link records intended recipient and actual purchaser separately and exposes no payment status;</w:t>
      </w:r>
    </w:p>
    <w:p>
      <w:pPr>
        <w:pStyle w:val="ListParagraph"/>
        <w:numPr>
          <w:ilvl w:val="0"/>
          <w:numId w:val="2"/>
        </w:numPr>
        <w:spacing w:after="100" w:line="340"/>
      </w:pPr>
      <w:r>
        <w:rPr>
          <w:color w:val="141414"/>
        </w:rPr>
        <w:t xml:space="preserve">a paid transaction fulfills even when the split is refused, while Caixa recognizes no fee;</w:t>
      </w:r>
    </w:p>
    <w:p>
      <w:pPr>
        <w:pStyle w:val="ListParagraph"/>
        <w:numPr>
          <w:ilvl w:val="0"/>
          <w:numId w:val="2"/>
        </w:numPr>
        <w:spacing w:after="100" w:line="340"/>
      </w:pPr>
      <w:r>
        <w:rPr>
          <w:color w:val="141414"/>
        </w:rPr>
        <w:t xml:space="preserve">a full refund reverses payment and split and invalidates only the unused voucher;</w:t>
      </w:r>
    </w:p>
    <w:p>
      <w:pPr>
        <w:pStyle w:val="ListParagraph"/>
        <w:numPr>
          <w:ilvl w:val="0"/>
          <w:numId w:val="2"/>
        </w:numPr>
        <w:spacing w:after="100" w:line="340"/>
      </w:pPr>
      <w:r>
        <w:rPr>
          <w:color w:val="141414"/>
        </w:rPr>
        <w:t xml:space="preserve">a post-redemption dispute records the loss and reversal without pretending the service was un-consumed;</w:t>
      </w:r>
    </w:p>
    <w:p>
      <w:pPr>
        <w:pStyle w:val="ListParagraph"/>
        <w:numPr>
          <w:ilvl w:val="0"/>
          <w:numId w:val="2"/>
        </w:numPr>
        <w:spacing w:after="100" w:line="340"/>
      </w:pPr>
      <w:r>
        <w:rPr>
          <w:color w:val="141414"/>
        </w:rPr>
        <w:t xml:space="preserve">Asaas emits no uncontrolled customer notification;</w:t>
      </w:r>
    </w:p>
    <w:p>
      <w:pPr>
        <w:pStyle w:val="ListParagraph"/>
        <w:numPr>
          <w:ilvl w:val="0"/>
          <w:numId w:val="2"/>
        </w:numPr>
        <w:spacing w:after="100" w:line="340"/>
      </w:pPr>
      <w:r>
        <w:rPr>
          <w:color w:val="141414"/>
        </w:rPr>
        <w:t xml:space="preserve">opt-out suppresses at import, manifest and send;</w:t>
      </w:r>
    </w:p>
    <w:p>
      <w:pPr>
        <w:pStyle w:val="ListParagraph"/>
        <w:numPr>
          <w:ilvl w:val="0"/>
          <w:numId w:val="2"/>
        </w:numPr>
        <w:spacing w:after="100" w:line="340"/>
      </w:pPr>
      <w:r>
        <w:rPr>
          <w:color w:val="141414"/>
        </w:rPr>
        <w:t xml:space="preserve">safe termination, portable suppression export, credential revocation, retention and deletion are rehearsed.</w:t>
      </w:r>
    </w:p>
    <w:p>
      <w:pPr>
        <w:spacing w:after="160" w:line="360"/>
      </w:pPr>
      <w:r>
        <w:rPr>
          <w:b/>
          <w:bCs/>
          <w:color w:val="141414"/>
        </w:rPr>
        <w:t xml:space="preserve">That set of real loops is the proof. </w:t>
      </w:r>
      <w:r>
        <w:rPr>
          <w:color w:val="141414"/>
        </w:rPr>
        <w:t xml:space="preserve">Not a survey, not a mock checkout, not a founder-operated shadow process wearing the product’s name.</w:t>
      </w:r>
    </w:p>
    <w:p>
      <w:pPr>
        <w:spacing w:after="60"/>
      </w:pPr>
    </w:p>
    <w:p>
      <w:pPr>
        <w:pStyle w:val="Heading1"/>
        <w:spacing w:after="200" w:before="360"/>
      </w:pPr>
      <w:r>
        <w:rPr>
          <w:b/>
          <w:bCs/>
          <w:color w:val="0B4A36"/>
        </w:rPr>
        <w:t xml:space="preserve">§47 · Where this ends up</w:t>
      </w:r>
    </w:p>
    <w:p>
      <w:pPr>
        <w:spacing w:after="160" w:line="360"/>
      </w:pPr>
      <w:r>
        <w:rPr>
          <w:color w:val="141414"/>
        </w:rPr>
        <w:t xml:space="preserve">Caixa Cheia wins if it becomes the safest button in the salon: the system knows who may be contacted, the owner knows exactly what she authorized, the client gets a real and fulfillable offer, questions reach a person, payment and voucher and redemption and refund stay connected, the salon pays only when campaign money settles, and the founder sees only consequential exceptions.</w:t>
      </w:r>
    </w:p>
    <w:p>
      <w:pPr>
        <w:spacing w:after="160" w:line="360"/>
      </w:pPr>
      <w:r>
        <w:rPr>
          <w:b/>
          <w:bCs/>
          <w:color w:val="141414"/>
        </w:rPr>
        <w:t xml:space="preserve">The strongest version of this business is not the most autonomous-looking version. </w:t>
      </w:r>
      <w:r>
        <w:rPr>
          <w:color w:val="141414"/>
        </w:rPr>
        <w:t xml:space="preserve">It is the one where routine work disappears, external uncertainty is visible instead of hidden behind a spinner, customer obligations are never dropped, and every ambiguous condition stops safely. After 24 months of that, she owns the only dataset of its kind — measured win-back conversion by offer, segment, ticket and season across hundreds of Brazilian beauty businesses — plus the trust position of the operator who only ever charged for money that landed.</w:t>
      </w:r>
    </w:p>
    <w:p>
      <w:pPr>
        <w:spacing w:after="60"/>
      </w:pPr>
    </w:p>
    <w:p>
      <w:pPr>
        <w:pStyle w:val="Heading1"/>
        <w:spacing w:after="200" w:before="360"/>
      </w:pPr>
      <w:r>
        <w:rPr>
          <w:b/>
          <w:bCs/>
          <w:color w:val="0B4A36"/>
        </w:rPr>
        <w:t xml:space="preserve">§48 · Source ledger</w:t>
      </w:r>
    </w:p>
    <w:p>
      <w:pPr>
        <w:spacing w:after="160" w:line="360"/>
      </w:pPr>
      <w:r>
        <w:rPr>
          <w:i/>
          <w:iCs/>
          <w:color w:val="5B6B66"/>
        </w:rPr>
        <w:t xml:space="preserve">Re-verify every entry against primary documentation immediately before implementation. Provider APIs and policies change, and this document is only as current as its last check.</w:t>
      </w:r>
    </w:p>
    <w:p>
      <w:pPr>
        <w:pStyle w:val="Heading3"/>
        <w:spacing w:after="120" w:before="220"/>
      </w:pPr>
      <w:r>
        <w:rPr>
          <w:b/>
          <w:bCs/>
          <w:color w:val="141414"/>
        </w:rPr>
        <w:t xml:space="preserve">Meta / WhatsApp</w:t>
      </w:r>
    </w:p>
    <w:p>
      <w:pPr>
        <w:pStyle w:val="ListParagraph"/>
        <w:numPr>
          <w:ilvl w:val="0"/>
          <w:numId w:val="2"/>
        </w:numPr>
        <w:spacing w:after="100" w:line="340"/>
      </w:pPr>
      <w:r>
        <w:rPr>
          <w:color w:val="141414"/>
        </w:rPr>
        <w:t xml:space="preserve">Embedded Signup overview, implementation, versions, and Business-App coexistence onboarding — developers.facebook.com (business-messaging/whatsapp/embedded-signup/…)</w:t>
      </w:r>
    </w:p>
    <w:p>
      <w:pPr>
        <w:pStyle w:val="ListParagraph"/>
        <w:numPr>
          <w:ilvl w:val="0"/>
          <w:numId w:val="2"/>
        </w:numPr>
        <w:spacing w:after="100" w:line="340"/>
      </w:pPr>
      <w:r>
        <w:rPr>
          <w:color w:val="141414"/>
        </w:rPr>
        <w:t xml:space="preserve">Template review · messaging limits — developers.facebook.com/documentation/business-messaging/whatsapp/</w:t>
      </w:r>
    </w:p>
    <w:p>
      <w:pPr>
        <w:pStyle w:val="ListParagraph"/>
        <w:numPr>
          <w:ilvl w:val="0"/>
          <w:numId w:val="2"/>
        </w:numPr>
        <w:spacing w:after="100" w:line="340"/>
      </w:pPr>
      <w:r>
        <w:rPr>
          <w:color w:val="141414"/>
        </w:rPr>
        <w:t xml:space="preserve">WhatsApp Business Messaging Policy — whatsappbusiness.com/policy/</w:t>
      </w:r>
    </w:p>
    <w:p>
      <w:pPr>
        <w:pStyle w:val="ListParagraph"/>
        <w:numPr>
          <w:ilvl w:val="0"/>
          <w:numId w:val="2"/>
        </w:numPr>
        <w:spacing w:after="100" w:line="340"/>
      </w:pPr>
      <w:r>
        <w:rPr>
          <w:color w:val="141414"/>
        </w:rPr>
        <w:t xml:space="preserve">WhatsApp Business Solution Terms — whatsapp.com/legal/business-solution-terms</w:t>
      </w:r>
    </w:p>
    <w:p>
      <w:pPr>
        <w:pStyle w:val="Heading3"/>
        <w:spacing w:after="120" w:before="220"/>
      </w:pPr>
      <w:r>
        <w:rPr>
          <w:b/>
          <w:bCs/>
          <w:color w:val="141414"/>
        </w:rPr>
        <w:t xml:space="preserve">Asaas</w:t>
      </w:r>
    </w:p>
    <w:p>
      <w:pPr>
        <w:pStyle w:val="ListParagraph"/>
        <w:numPr>
          <w:ilvl w:val="0"/>
          <w:numId w:val="2"/>
        </w:numPr>
        <w:spacing w:after="100" w:line="340"/>
      </w:pPr>
      <w:r>
        <w:rPr>
          <w:color w:val="141414"/>
        </w:rPr>
        <w:t xml:space="preserve">Authentication and web-only API-key creation · key lifecycle and security — docs.asaas.com/docs/autenticacao, /chaves-de-api</w:t>
      </w:r>
    </w:p>
    <w:p>
      <w:pPr>
        <w:pStyle w:val="ListParagraph"/>
        <w:numPr>
          <w:ilvl w:val="0"/>
          <w:numId w:val="2"/>
        </w:numPr>
        <w:spacing w:after="100" w:line="340"/>
      </w:pPr>
      <w:r>
        <w:rPr>
          <w:color w:val="141414"/>
        </w:rPr>
        <w:t xml:space="preserve">Account validation documents — central.ajuda.asaas.com</w:t>
      </w:r>
    </w:p>
    <w:p>
      <w:pPr>
        <w:pStyle w:val="ListParagraph"/>
        <w:numPr>
          <w:ilvl w:val="0"/>
          <w:numId w:val="2"/>
        </w:numPr>
        <w:spacing w:after="100" w:line="340"/>
      </w:pPr>
      <w:r>
        <w:rPr>
          <w:color w:val="141414"/>
        </w:rPr>
        <w:t xml:space="preserve">Pix · payment split and reversal · Pix checkout, expiry and callbacks — docs.asaas.com/docs/pix, /split, /checkout-para-pix</w:t>
      </w:r>
    </w:p>
    <w:p>
      <w:pPr>
        <w:pStyle w:val="ListParagraph"/>
        <w:numPr>
          <w:ilvl w:val="0"/>
          <w:numId w:val="2"/>
        </w:numPr>
        <w:spacing w:after="100" w:line="340"/>
      </w:pPr>
      <w:r>
        <w:rPr>
          <w:color w:val="141414"/>
        </w:rPr>
        <w:t xml:space="preserve">Customer notifications and notificationDisabled · webhook creation — docs.asaas.com/docs/notificacoes, /criar-novo-webhook-pela-api</w:t>
      </w:r>
    </w:p>
    <w:p>
      <w:pPr>
        <w:pStyle w:val="ListParagraph"/>
        <w:numPr>
          <w:ilvl w:val="0"/>
          <w:numId w:val="2"/>
        </w:numPr>
        <w:spacing w:after="100" w:line="340"/>
      </w:pPr>
      <w:r>
        <w:rPr>
          <w:color w:val="141414"/>
        </w:rPr>
        <w:t xml:space="preserve">Subaccount regulatory evaluation · BaaS — docs.asaas.com/docs/criacao-de-subcontas, /sobre-baas</w:t>
      </w:r>
    </w:p>
    <w:p>
      <w:pPr>
        <w:pStyle w:val="Heading3"/>
        <w:spacing w:after="120" w:before="220"/>
      </w:pPr>
      <w:r>
        <w:rPr>
          <w:b/>
          <w:bCs/>
          <w:color w:val="141414"/>
        </w:rPr>
        <w:t xml:space="preserve">Trinks</w:t>
      </w:r>
    </w:p>
    <w:p>
      <w:pPr>
        <w:pStyle w:val="ListParagraph"/>
        <w:numPr>
          <w:ilvl w:val="0"/>
          <w:numId w:val="2"/>
        </w:numPr>
        <w:spacing w:after="100" w:line="340"/>
      </w:pPr>
      <w:r>
        <w:rPr>
          <w:color w:val="141414"/>
        </w:rPr>
        <w:t xml:space="preserve">Client and CRM reports · import/export · package balances · customer debts — ajuda.trinks.com</w:t>
      </w:r>
    </w:p>
    <w:p>
      <w:pPr>
        <w:pStyle w:val="ListParagraph"/>
        <w:numPr>
          <w:ilvl w:val="0"/>
          <w:numId w:val="2"/>
        </w:numPr>
        <w:spacing w:after="100" w:line="340"/>
      </w:pPr>
      <w:r>
        <w:rPr>
          <w:color w:val="141414"/>
        </w:rPr>
        <w:t xml:space="preserve">Conecta Trinks API and webhooks · native return invitation — ajuda.trinks.com</w:t>
      </w:r>
    </w:p>
    <w:p>
      <w:pPr>
        <w:pStyle w:val="Heading3"/>
        <w:spacing w:after="120" w:before="220"/>
      </w:pPr>
      <w:r>
        <w:rPr>
          <w:b/>
          <w:bCs/>
          <w:color w:val="141414"/>
        </w:rPr>
        <w:t xml:space="preserve">Brazil legal and regulatory</w:t>
      </w:r>
    </w:p>
    <w:p>
      <w:pPr>
        <w:pStyle w:val="ListParagraph"/>
        <w:numPr>
          <w:ilvl w:val="0"/>
          <w:numId w:val="2"/>
        </w:numPr>
        <w:spacing w:after="100" w:line="340"/>
      </w:pPr>
      <w:r>
        <w:rPr>
          <w:color w:val="141414"/>
        </w:rPr>
        <w:t xml:space="preserve">LGPD, Law 13.709/2018 — planalto.gov.br</w:t>
      </w:r>
    </w:p>
    <w:p>
      <w:pPr>
        <w:pStyle w:val="ListParagraph"/>
        <w:numPr>
          <w:ilvl w:val="0"/>
          <w:numId w:val="2"/>
        </w:numPr>
        <w:spacing w:after="100" w:line="340"/>
      </w:pPr>
      <w:r>
        <w:rPr>
          <w:color w:val="141414"/>
        </w:rPr>
        <w:t xml:space="preserve">ANPD Resolution 2/2022, small processing agents — gov.br/anpd</w:t>
      </w:r>
    </w:p>
    <w:p>
      <w:pPr>
        <w:pStyle w:val="ListParagraph"/>
        <w:numPr>
          <w:ilvl w:val="0"/>
          <w:numId w:val="2"/>
        </w:numPr>
        <w:spacing w:after="100" w:line="340"/>
      </w:pPr>
      <w:r>
        <w:rPr>
          <w:color w:val="141414"/>
        </w:rPr>
        <w:t xml:space="preserve">Ministry of Justice online-consumer withdrawal guidance — gov.br/mj</w:t>
      </w:r>
    </w:p>
    <w:p>
      <w:pPr>
        <w:pStyle w:val="ListParagraph"/>
        <w:numPr>
          <w:ilvl w:val="0"/>
          <w:numId w:val="2"/>
        </w:numPr>
        <w:spacing w:after="100" w:line="340"/>
      </w:pPr>
      <w:r>
        <w:rPr>
          <w:color w:val="141414"/>
        </w:rPr>
        <w:t xml:space="preserve">Law 15.270/2025, 2026 dividend rules — planalto.gov.br</w:t>
      </w:r>
    </w:p>
    <w:p>
      <w:pPr>
        <w:pStyle w:val="ListParagraph"/>
        <w:numPr>
          <w:ilvl w:val="0"/>
          <w:numId w:val="2"/>
        </w:numPr>
        <w:spacing w:after="100" w:line="340"/>
      </w:pPr>
      <w:r>
        <w:rPr>
          <w:color w:val="141414"/>
        </w:rPr>
        <w:t xml:space="preserve">CPC 47, revenue from contracts with customers — cpc.org.br</w:t>
      </w:r>
    </w:p>
    <w:p>
      <w:pPr>
        <w:pStyle w:val="ListParagraph"/>
        <w:numPr>
          <w:ilvl w:val="0"/>
          <w:numId w:val="2"/>
        </w:numPr>
        <w:spacing w:after="100" w:line="340"/>
      </w:pPr>
      <w:r>
        <w:rPr>
          <w:color w:val="141414"/>
        </w:rPr>
        <w:t xml:space="preserve">Beauty Fair 2026 registration and dates — beautyfair.com.br</w:t>
      </w:r>
    </w:p>
    <w:sectPr>
      <w:footerReference w:type="default" r:id="rId7"/>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66"/>
        <w:sz w:val="18"/>
        <w:szCs w:val="18"/>
      </w:rPr>
      <w:t xml:space="preserve">Caixa Cheia · Canonical Plan v5 · </w:t>
    </w:r>
    <w:r>
      <w:rPr>
        <w:color w:val="5B6B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414"/>
        <w:sz w:val="26"/>
        <w:szCs w:val="26"/>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B4A36"/>
      <w:sz w:val="40"/>
      <w:szCs w:val="40"/>
    </w:rPr>
  </w:style>
  <w:style w:type="paragraph" w:styleId="Heading2">
    <w:name w:val="Heading 2"/>
    <w:basedOn w:val="Normal"/>
    <w:next w:val="Normal"/>
    <w:qFormat/>
    <w:rPr>
      <w:rFonts w:ascii="Calibri" w:cs="Calibri" w:eastAsia="Calibri" w:hAnsi="Calibri"/>
      <w:b/>
      <w:bCs/>
      <w:color w:val="0A6E4C"/>
      <w:sz w:val="30"/>
      <w:szCs w:val="30"/>
    </w:rPr>
  </w:style>
  <w:style w:type="paragraph" w:styleId="Heading3">
    <w:name w:val="Heading 3"/>
    <w:basedOn w:val="Normal"/>
    <w:next w:val="Normal"/>
    <w:qFormat/>
    <w:rPr>
      <w:rFonts w:ascii="Calibri" w:cs="Calibri" w:eastAsia="Calibri" w:hAnsi="Calibri"/>
      <w:b/>
      <w:bCs/>
      <w:color w:val="141414"/>
      <w:sz w:val="27"/>
      <w:szCs w:val="27"/>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2026-07-24T21:08:15.359Z</dcterms:created>
  <dcterms:modified xsi:type="dcterms:W3CDTF">2026-07-24T21:08:15.380Z</dcterms:modified>
</cp:coreProperties>
</file>

<file path=docProps/custom.xml><?xml version="1.0" encoding="utf-8"?>
<Properties xmlns="http://schemas.openxmlformats.org/officeDocument/2006/custom-properties" xmlns:vt="http://schemas.openxmlformats.org/officeDocument/2006/docPropsVTypes"/>
</file>