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360"/>
      </w:pPr>
      <w:r>
        <w:rPr>
          <w:b/>
          <w:bCs/>
          <w:color w:val="3B2F1E"/>
          <w:sz w:val="64"/>
          <w:szCs w:val="64"/>
        </w:rPr>
        <w:t xml:space="preserve">TITLE FORGE</w:t>
      </w:r>
    </w:p>
    <w:p>
      <w:pPr>
        <w:pBdr>
          <w:bottom w:val="single" w:color="8A5A2B" w:sz="12" w:space="4"/>
        </w:pBdr>
        <w:spacing w:after="30"/>
      </w:pPr>
      <w:r>
        <w:rPr>
          <w:b/>
          <w:bCs/>
          <w:color w:val="8A5A2B"/>
          <w:sz w:val="28"/>
          <w:szCs w:val="28"/>
        </w:rPr>
        <w:t xml:space="preserve">Ground-Up Airtight Overview</w:t>
      </w:r>
    </w:p>
    <w:p>
      <w:pPr>
        <w:spacing w:after="260" w:before="140"/>
      </w:pPr>
      <w:r>
        <w:rPr>
          <w:i/>
          <w:iCs/>
          <w:color w:val="5A5045"/>
          <w:sz w:val="20"/>
          <w:szCs w:val="20"/>
        </w:rPr>
        <w:t xml:space="preserve">Post-audit rebuild. Same certified business, same underlying numbers — restated so every angle checks out in the open, not buried in an appendix. Supersedes the original Business Overview.</w:t>
      </w:r>
    </w:p>
    <w:p>
      <w:pPr>
        <w:pStyle w:val="Heading1"/>
        <w:spacing w:after="120" w:before="300"/>
      </w:pPr>
      <w:r>
        <w:rPr>
          <w:b/>
          <w:bCs/>
          <w:color w:val="3B2F1E"/>
          <w:sz w:val="28"/>
          <w:szCs w:val="28"/>
        </w:rPr>
        <w:t xml:space="preserve">What You’re Actually Building</w:t>
      </w:r>
    </w:p>
    <w:p>
      <w:pPr>
        <w:spacing w:after="140" w:line="280"/>
      </w:pPr>
      <w:r>
        <w:rPr>
          <w:sz w:val="21"/>
          <w:szCs w:val="21"/>
        </w:rPr>
        <w:t xml:space="preserve">A company that produces certified, liability-bearing land-title paperwork — chain-of-title runsheets, mineral reports, heirship research, curative work — for the lawyers and developers racing to build solar farms, transmission lines, and data centers on rural land. An AI pipeline reads the county records and drafts the work; a licensed human signs off on every single deliverable. You get paid per tract and per month of ongoing monitoring. The asset you’re really building isn’t the software — it’s a permanent, growing archive of certified title research on specific counties that only gets built by doing paid work, which is exactly what stops a funded competitor from just copying you.</w:t>
      </w:r>
    </w:p>
    <w:p>
      <w:pPr>
        <w:pStyle w:val="Heading1"/>
        <w:spacing w:after="120" w:before="300"/>
      </w:pPr>
      <w:r>
        <w:rPr>
          <w:b/>
          <w:bCs/>
          <w:color w:val="3B2F1E"/>
          <w:sz w:val="28"/>
          <w:szCs w:val="28"/>
        </w:rPr>
        <w:t xml:space="preserve">The Problem You’re Solving</w:t>
      </w:r>
    </w:p>
    <w:p>
      <w:pPr>
        <w:spacing w:after="140" w:line="280"/>
      </w:pPr>
      <w:r>
        <w:rPr>
          <w:sz w:val="21"/>
          <w:szCs w:val="21"/>
        </w:rPr>
        <w:t xml:space="preserve">Energy developers need proven land title before they can close financing — today that means landmen billing $400–600/day, producing 1–3 tracts a week, at $300K–$600K per 200-tract project, while every day of delay costs the developer $10K–$300K. The professional abstractor workforce is aging out just as 2,600+ GW of projects sit in interconnection queues waiting on exactly this work. The money is already budgeted; you’re not creating a new category, you’re taking share from slow, expensive incumbents.</w:t>
      </w:r>
    </w:p>
    <w:p>
      <w:pPr>
        <w:pStyle w:val="Heading1"/>
        <w:spacing w:after="120" w:before="300"/>
      </w:pPr>
      <w:r>
        <w:rPr>
          <w:b/>
          <w:bCs/>
          <w:color w:val="3B2F1E"/>
          <w:sz w:val="28"/>
          <w:szCs w:val="28"/>
        </w:rPr>
        <w:t xml:space="preserve">The Three Packages</w:t>
      </w:r>
    </w:p>
    <w:p>
      <w:pPr>
        <w:spacing w:after="140" w:line="280"/>
      </w:pPr>
      <w:r>
        <w:rPr>
          <w:color w:val="222222"/>
          <w:sz w:val="21"/>
          <w:szCs w:val="21"/>
        </w:rPr>
        <w:t xml:space="preserve">Pricing maps directly to how each buyer actually works — no menu, no confusion:</w:t>
      </w:r>
    </w:p>
    <w:tbl>
      <w:tblPr>
        <w:tblW w:type="dxa" w:w="9760"/>
        <w:tblBorders>
          <w:top w:val="single" w:color="D9C9B3" w:sz="2"/>
          <w:left w:val="none"/>
          <w:bottom w:val="single" w:color="D9C9B3" w:sz="2"/>
          <w:right w:val="none"/>
          <w:insideH w:val="single" w:color="D9C9B3" w:sz="2"/>
          <w:insideV w:val="none"/>
        </w:tblBorders>
      </w:tblPr>
      <w:tblGrid>
        <w:gridCol w:w="2200"/>
        <w:gridCol w:w="2400"/>
        <w:gridCol w:w="3600"/>
        <w:gridCol w:w="1560"/>
      </w:tblGrid>
      <w:tr>
        <w:trPr>
          <w:tblHeader/>
        </w:trPr>
        <w:tc>
          <w:tcPr>
            <w:tcW w:type="dxa" w:w="2200"/>
            <w:shd w:fill="3B2F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2400"/>
            <w:shd w:fill="3B2F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Buyer</w:t>
            </w:r>
          </w:p>
        </w:tc>
        <w:tc>
          <w:tcPr>
            <w:tcW w:type="dxa" w:w="3600"/>
            <w:shd w:fill="3B2F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What’s included</w:t>
            </w:r>
          </w:p>
        </w:tc>
        <w:tc>
          <w:tcPr>
            <w:tcW w:type="dxa" w:w="1560"/>
            <w:shd w:fill="3B2F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Typical spend</w:t>
            </w:r>
          </w:p>
        </w:tc>
      </w:tr>
      <w:tr>
        <w:trPr>
          <w:tblHeader w:val="false"/>
        </w:trP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Pay-Per-Tract</w:t>
            </w:r>
          </w:p>
        </w:tc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Mineral funds &amp; E&amp;P land departments</w:t>
            </w:r>
          </w:p>
        </w:tc>
        <w:tc>
          <w:tcPr>
            <w:tcW w:type="dxa" w:w="3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Runsheets at $600 average, +$250/tract financing certification if needed. No subscription.</w:t>
            </w:r>
          </w:p>
        </w:tc>
        <w:tc>
          <w:tcPr>
            <w:tcW w:type="dxa" w:w="15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~$9,000/mo</w:t>
            </w:r>
          </w:p>
        </w:tc>
      </w:tr>
      <w:tr>
        <w:trPr>
          <w:tblHeader w:val="false"/>
        </w:trPr>
        <w:tc>
          <w:tcPr>
            <w:tcW w:type="dxa" w:w="2200"/>
            <w:shd w:fill="F2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Volume Partner</w:t>
            </w:r>
          </w:p>
        </w:tc>
        <w:tc>
          <w:tcPr>
            <w:tcW w:type="dxa" w:w="2400"/>
            <w:shd w:fill="F2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Developers mid-project</w:t>
            </w:r>
          </w:p>
        </w:tc>
        <w:tc>
          <w:tcPr>
            <w:tcW w:type="dxa" w:w="3600"/>
            <w:shd w:fill="F2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Runsheets $450 (cached) to $1,950 (first scan) + financing certification + monitoring at $5/parcel/mo</w:t>
            </w:r>
          </w:p>
        </w:tc>
        <w:tc>
          <w:tcPr>
            <w:tcW w:type="dxa" w:w="1560"/>
            <w:shd w:fill="F2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~$13,000/mo</w:t>
            </w:r>
          </w:p>
        </w:tc>
      </w:tr>
      <w:tr>
        <w:trPr>
          <w:tblHeader w:val="false"/>
        </w:trP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Portfolio Program</w:t>
            </w:r>
          </w:p>
        </w:tc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Core developers (repeat, multi-project)</w:t>
            </w:r>
          </w:p>
        </w:tc>
        <w:tc>
          <w:tcPr>
            <w:tcW w:type="dxa" w:w="3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Everything bundled annually: runsheets, financing certification, curative-defect support, full monitoring</w:t>
            </w:r>
          </w:p>
        </w:tc>
        <w:tc>
          <w:tcPr>
            <w:tcW w:type="dxa" w:w="15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~$48,000/mo</w:t>
            </w:r>
          </w:p>
        </w:tc>
      </w:tr>
    </w:tbl>
    <w:p>
      <w:pPr>
        <w:spacing w:after="140" w:line="280"/>
      </w:pPr>
      <w:r>
        <w:rPr>
          <w:b/>
          <w:bCs/>
          <w:sz w:val="21"/>
          <w:szCs w:val="21"/>
        </w:rPr>
        <w:t xml:space="preserve">SLA: </w:t>
      </w:r>
      <w:r>
        <w:rPr>
          <w:sz w:val="21"/>
          <w:szCs w:val="21"/>
        </w:rPr>
        <w:t xml:space="preserve">5 business days for cached/digitized counties, 15–25 days for first-touch scanned counties. Miss it, client gets a 25% credit. Liability capped at 2x fees unless a carrier has specifically endorsed a higher reliance limit in writing.</w:t>
      </w:r>
    </w:p>
    <w:p>
      <w:pPr>
        <w:pStyle w:val="Heading1"/>
        <w:spacing w:after="120" w:before="300"/>
      </w:pPr>
      <w:r>
        <w:rPr>
          <w:b/>
          <w:bCs/>
          <w:color w:val="3B2F1E"/>
          <w:sz w:val="28"/>
          <w:szCs w:val="28"/>
        </w:rPr>
        <w:t xml:space="preserve">Why 50 Funded Copycats Still Lose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1"/>
          <w:szCs w:val="21"/>
        </w:rPr>
        <w:t xml:space="preserve">1. The title plant compounds — and it can’t be bought. </w:t>
      </w:r>
      <w:r>
        <w:rPr>
          <w:sz w:val="21"/>
          <w:szCs w:val="21"/>
        </w:rPr>
        <w:t xml:space="preserve">A third of relevant rural county records have no online index before 1970; someone has to physically go into the courthouse. Raw scanning isn’t the moat — a copycat can blanket-scan 100 counties with enough money. The moat is the adjudicated chain graph, which only gets built by delivering paid, certified work. Repeat orders in the same survey reuse 60–80% of prior effort. </w:t>
      </w:r>
      <w:r>
        <w:rPr>
          <w:b/>
          <w:bCs/>
          <w:sz w:val="21"/>
          <w:szCs w:val="21"/>
        </w:rPr>
        <w:t xml:space="preserve">~2 years to replicate, and capital cannot compress it.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1"/>
          <w:szCs w:val="21"/>
        </w:rPr>
        <w:t xml:space="preserve">2. Courthouse grit + counsel trust. </w:t>
      </w:r>
      <w:r>
        <w:rPr>
          <w:sz w:val="21"/>
          <w:szCs w:val="21"/>
        </w:rPr>
        <w:t xml:space="preserve">Handwritten pre-1970 deeds, county-specific quirks, a vetted runner network, and buyers who switch vendors only on their attorney’s recommendation. </w:t>
      </w:r>
      <w:r>
        <w:rPr>
          <w:b/>
          <w:bCs/>
          <w:sz w:val="21"/>
          <w:szCs w:val="21"/>
        </w:rPr>
        <w:t xml:space="preserve">18–36 months to replicate.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1"/>
          <w:szCs w:val="21"/>
        </w:rPr>
        <w:t xml:space="preserve">3. Monitoring lock-in. </w:t>
      </w:r>
      <w:r>
        <w:rPr>
          <w:sz w:val="21"/>
          <w:szCs w:val="21"/>
        </w:rPr>
        <w:t xml:space="preserve">Default-on in every contract, embedded in the customer’s financing diligence chain. Ripping it out mid-project jeopardizes the deal. 1%/mo churn.</w:t>
      </w:r>
    </w:p>
    <w:p>
      <w:pPr>
        <w:spacing w:after="140" w:line="280"/>
      </w:pPr>
      <w:r>
        <w:rPr>
          <w:sz w:val="21"/>
          <w:szCs w:val="21"/>
        </w:rPr>
        <w:t xml:space="preserve">Licensing (E&amp;O coverage, credentialed signers) is cleared in year 1 as an operating requirement, not sold as a moat by itself — the real regulatory barrier (Oklahoma/North Dakota abstract-plant certification) is a genuine multi-year, $400K–$1M+ project, deliberately deferred to year 2–3 and funded from cash flow, never from the starting $250K.</w:t>
      </w:r>
    </w:p>
    <w:p>
      <w:pPr>
        <w:pStyle w:val="Heading1"/>
        <w:spacing w:after="120" w:before="300"/>
      </w:pPr>
      <w:r>
        <w:rPr>
          <w:b/>
          <w:bCs/>
          <w:color w:val="3B2F1E"/>
          <w:sz w:val="28"/>
          <w:szCs w:val="28"/>
        </w:rPr>
        <w:t xml:space="preserve">The Honest Economics — Pre-Tax AND After-Tax, Stated Together</w:t>
      </w:r>
    </w:p>
    <w:p>
      <w:pPr>
        <w:spacing w:after="140" w:line="280"/>
      </w:pPr>
      <w:r>
        <w:rPr>
          <w:color w:val="222222"/>
          <w:sz w:val="21"/>
          <w:szCs w:val="21"/>
        </w:rPr>
        <w:t xml:space="preserve">This is the part the original certification got right in the fine print but didn’t put on the cover. Here it is on the cover:</w:t>
      </w:r>
    </w:p>
    <w:tbl>
      <w:tblPr>
        <w:tblW w:type="dxa" w:w="9360"/>
        <w:tblBorders>
          <w:top w:val="single" w:color="D9C9B3" w:sz="2"/>
          <w:left w:val="none"/>
          <w:bottom w:val="single" w:color="D9C9B3" w:sz="2"/>
          <w:right w:val="none"/>
          <w:insideH w:val="single" w:color="D9C9B3" w:sz="2"/>
          <w:insideV w:val="none"/>
        </w:tblBorders>
      </w:tblPr>
      <w:tblGrid>
        <w:gridCol w:w="3400"/>
        <w:gridCol w:w="2700"/>
        <w:gridCol w:w="3260"/>
      </w:tblGrid>
      <w:tr>
        <w:trPr>
          <w:tblHeader/>
        </w:trPr>
        <w:tc>
          <w:tcPr>
            <w:tcW w:type="dxa" w:w="3400"/>
            <w:shd w:fill="3B2F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2700"/>
            <w:shd w:fill="3B2F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Pre-tax net/mo</w:t>
            </w:r>
          </w:p>
        </w:tc>
        <w:tc>
          <w:tcPr>
            <w:tcW w:type="dxa" w:w="3260"/>
            <w:shd w:fill="3B2F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After-tax net/mo (26%)</w:t>
            </w:r>
          </w:p>
        </w:tc>
      </w:tr>
      <w:tr>
        <w:trPr>
          <w:tblHeader w:val="false"/>
        </w:trPr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Month 36 — as originally headlined (before amortization)</w:t>
            </w:r>
          </w:p>
        </w:tc>
        <w:tc>
          <w:tcPr>
            <w:tcW w:type="dxa" w:w="2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$1.00M</w:t>
            </w:r>
          </w:p>
        </w:tc>
        <w:tc>
          <w:tcPr>
            <w:tcW w:type="dxa" w:w="32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$740K</w:t>
            </w:r>
          </w:p>
        </w:tc>
      </w:tr>
      <w:tr>
        <w:trPr>
          <w:tblHeader w:val="false"/>
        </w:trPr>
        <w:tc>
          <w:tcPr>
            <w:tcW w:type="dxa" w:w="3400"/>
            <w:shd w:fill="F2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Month 36 — fully accounting for plant-capture amortization (the honest number)</w:t>
            </w:r>
          </w:p>
        </w:tc>
        <w:tc>
          <w:tcPr>
            <w:tcW w:type="dxa" w:w="2700"/>
            <w:shd w:fill="F2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~$810K–$850K</w:t>
            </w:r>
          </w:p>
        </w:tc>
        <w:tc>
          <w:tcPr>
            <w:tcW w:type="dxa" w:w="3260"/>
            <w:shd w:fill="F2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~$600K–$630K</w:t>
            </w:r>
          </w:p>
        </w:tc>
      </w:tr>
      <w:tr>
        <w:trPr>
          <w:tblHeader w:val="false"/>
        </w:trPr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Month 42 — headline trajectory (as originally certified)</w:t>
            </w:r>
          </w:p>
        </w:tc>
        <w:tc>
          <w:tcPr>
            <w:tcW w:type="dxa" w:w="2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$1.43M</w:t>
            </w:r>
          </w:p>
        </w:tc>
        <w:tc>
          <w:tcPr>
            <w:tcW w:type="dxa" w:w="32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$1.06M</w:t>
            </w:r>
          </w:p>
        </w:tc>
      </w:tr>
      <w:tr>
        <w:trPr>
          <w:tblHeader w:val="false"/>
        </w:trPr>
        <w:tc>
          <w:tcPr>
            <w:tcW w:type="dxa" w:w="3400"/>
            <w:shd w:fill="F2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Month 42 — fully accounting for amortization, same basis</w:t>
            </w:r>
          </w:p>
        </w:tc>
        <w:tc>
          <w:tcPr>
            <w:tcW w:type="dxa" w:w="2700"/>
            <w:shd w:fill="F2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~$1.26M</w:t>
            </w:r>
          </w:p>
        </w:tc>
        <w:tc>
          <w:tcPr>
            <w:tcW w:type="dxa" w:w="3260"/>
            <w:shd w:fill="F2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~$930K</w:t>
            </w:r>
          </w:p>
        </w:tc>
      </w:tr>
      <w:tr>
        <w:trPr>
          <w:tblHeader w:val="false"/>
        </w:trPr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~Month 43–44 — after-tax $1.00M actually crosses (extrapolated)</w:t>
            </w:r>
          </w:p>
        </w:tc>
        <w:tc>
          <w:tcPr>
            <w:tcW w:type="dxa" w:w="2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~$1.35M</w:t>
            </w:r>
          </w:p>
        </w:tc>
        <w:tc>
          <w:tcPr>
            <w:tcW w:type="dxa" w:w="32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~$1.00M</w:t>
            </w:r>
          </w:p>
        </w:tc>
      </w:tr>
    </w:tbl>
    <w:p>
      <w:pPr>
        <w:pBdr>
          <w:left w:val="single" w:color="8A5A2B" w:sz="20" w:space="8"/>
        </w:pBdr>
        <w:shd w:fill="EFE3D3" w:color="auto" w:val="clear"/>
        <w:spacing w:after="140" w:before="100" w:line="268"/>
      </w:pPr>
      <w:r>
        <w:rPr>
          <w:b/>
          <w:bCs/>
          <w:sz w:val="20"/>
          <w:szCs w:val="20"/>
        </w:rPr>
        <w:t xml:space="preserve">The mandate is met after-tax around month 43–44, not month 36 — later than the original headline implied. </w:t>
      </w:r>
      <w:r>
        <w:rPr>
          <w:sz w:val="20"/>
          <w:szCs w:val="20"/>
        </w:rPr>
        <w:t xml:space="preserve">The gap isn’t a new problem in the business; it’s the plan’s own capture-spend amortization (already disclosed as a residual risk, previously never carried through the P&amp;L) catching up to a number that was quoted pre-tax. The month 43–44 estimate lands inside the plan’s own already-published stress-case window (month 42–46) — it is not a new failure mode, but it is later than “$1M by month 36” and should be stated that way, not rounded up. This estimate uses a flat continuation of the month-36 amortization charge; a real month-by-month depreciation schedule is one of the items still needed before final capital deployment.</w:t>
      </w:r>
    </w:p>
    <w:p>
      <w:pPr>
        <w:spacing w:after="140" w:line="280"/>
      </w:pPr>
      <w:r>
        <w:rPr>
          <w:b/>
          <w:bCs/>
          <w:sz w:val="21"/>
          <w:szCs w:val="21"/>
        </w:rPr>
        <w:t xml:space="preserve">What plausibly narrows the gap, stated as a mechanism, not a promised number: </w:t>
      </w:r>
      <w:r>
        <w:rPr>
          <w:sz w:val="21"/>
          <w:szCs w:val="21"/>
        </w:rPr>
        <w:t xml:space="preserve">monitoring, financing-reliance certification, and curative work are among the highest-margin lines (85%, 85%, and 55% respectively, alongside cached runsheets at 76%), and monitoring specifically compounds off cumulative delivered tracts even when new-order volume flattens. The certified plan does not publish a month-42 product-mix breakdown, so no specific percentage shift can honestly be quoted here — this is a real lever, not a guaranteed one.</w:t>
      </w:r>
    </w:p>
    <w:p>
      <w:pPr>
        <w:spacing w:after="140" w:line="280"/>
      </w:pPr>
      <w:r>
        <w:rPr>
          <w:b/>
          <w:bCs/>
          <w:sz w:val="21"/>
          <w:szCs w:val="21"/>
        </w:rPr>
        <w:t xml:space="preserve">Price-floor stress case (published, not hidden): </w:t>
      </w:r>
      <w:r>
        <w:rPr>
          <w:sz w:val="21"/>
          <w:szCs w:val="21"/>
        </w:rPr>
        <w:t xml:space="preserve">if the cached-tier price decays faster than planned — to $400/tract instead of $450 — pre-tax $1M (unamortized) slips to month 38–39. Every stress branch modeled against this plan stays cash-positive from month 16 onward; none of them produce a loss quarter.</w:t>
      </w:r>
    </w:p>
    <w:p>
      <w:pPr>
        <w:pStyle w:val="Heading1"/>
        <w:spacing w:after="120" w:before="300"/>
      </w:pPr>
      <w:r>
        <w:rPr>
          <w:b/>
          <w:bCs/>
          <w:color w:val="3B2F1E"/>
          <w:sz w:val="28"/>
          <w:szCs w:val="28"/>
        </w:rPr>
        <w:t xml:space="preserve">Use of the $250,000</w:t>
      </w:r>
    </w:p>
    <w:tbl>
      <w:tblPr>
        <w:tblW w:type="dxa" w:w="9360"/>
        <w:tblBorders>
          <w:top w:val="single" w:color="D9C9B3" w:sz="2"/>
          <w:left w:val="none"/>
          <w:bottom w:val="single" w:color="D9C9B3" w:sz="2"/>
          <w:right w:val="none"/>
          <w:insideH w:val="single" w:color="D9C9B3" w:sz="2"/>
          <w:insideV w:val="none"/>
        </w:tblBorders>
      </w:tblPr>
      <w:tblGrid>
        <w:gridCol w:w="6960"/>
        <w:gridCol w:w="2400"/>
      </w:tblGrid>
      <w:tr>
        <w:trPr>
          <w:tblHeader/>
        </w:trPr>
        <w:tc>
          <w:tcPr>
            <w:tcW w:type="dxa" w:w="6960"/>
            <w:shd w:fill="3B2F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Line</w:t>
            </w:r>
          </w:p>
        </w:tc>
        <w:tc>
          <w:tcPr>
            <w:tcW w:type="dxa" w:w="2400"/>
            <w:shd w:fill="3B2F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Amount</w:t>
            </w:r>
          </w:p>
        </w:tc>
      </w:tr>
      <w:tr>
        <w:trPr>
          <w:tblHeader w:val="false"/>
        </w:trPr>
        <w:tc>
          <w:tcPr>
            <w:tcW w:type="dxa" w:w="69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Pipeline, review tooling, eval harness (2 founders + 1 contractor)</w:t>
            </w:r>
          </w:p>
        </w:tc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$55,000</w:t>
            </w:r>
          </w:p>
        </w:tc>
      </w:tr>
      <w:tr>
        <w:trPr>
          <w:tblHeader w:val="false"/>
        </w:trPr>
        <w:tc>
          <w:tcPr>
            <w:tcW w:type="dxa" w:w="6960"/>
            <w:shd w:fill="F2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Two launch counties (1 digitized, 1 scanned-only)</w:t>
            </w:r>
          </w:p>
        </w:tc>
        <w:tc>
          <w:tcPr>
            <w:tcW w:type="dxa" w:w="2400"/>
            <w:shd w:fill="F2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$18,000</w:t>
            </w:r>
          </w:p>
        </w:tc>
      </w:tr>
      <w:tr>
        <w:trPr>
          <w:tblHeader w:val="false"/>
        </w:trPr>
        <w:tc>
          <w:tcPr>
            <w:tcW w:type="dxa" w:w="69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E&amp;O carrier gate + licensing/compliance matrix</w:t>
            </w:r>
          </w:p>
        </w:tc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$50,000</w:t>
            </w:r>
          </w:p>
        </w:tc>
      </w:tr>
      <w:tr>
        <w:trPr>
          <w:tblHeader w:val="false"/>
        </w:trPr>
        <w:tc>
          <w:tcPr>
            <w:tcW w:type="dxa" w:w="6960"/>
            <w:shd w:fill="F2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Contract senior abstractors, months 4–12</w:t>
            </w:r>
          </w:p>
        </w:tc>
        <w:tc>
          <w:tcPr>
            <w:tcW w:type="dxa" w:w="2400"/>
            <w:shd w:fill="F2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$35,000</w:t>
            </w:r>
          </w:p>
        </w:tc>
      </w:tr>
      <w:tr>
        <w:trPr>
          <w:tblHeader w:val="false"/>
        </w:trPr>
        <w:tc>
          <w:tcPr>
            <w:tcW w:type="dxa" w:w="69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Go-to-market</w:t>
            </w:r>
          </w:p>
        </w:tc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$22,000</w:t>
            </w:r>
          </w:p>
        </w:tc>
      </w:tr>
      <w:tr>
        <w:trPr>
          <w:tblHeader w:val="false"/>
        </w:trPr>
        <w:tc>
          <w:tcPr>
            <w:tcW w:type="dxa" w:w="6960"/>
            <w:shd w:fill="F2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Working-capital reserve</w:t>
            </w:r>
          </w:p>
        </w:tc>
        <w:tc>
          <w:tcPr>
            <w:tcW w:type="dxa" w:w="2400"/>
            <w:shd w:fill="F2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$70,000</w:t>
            </w:r>
          </w:p>
        </w:tc>
      </w:tr>
      <w:tr>
        <w:trPr>
          <w:tblHeader w:val="false"/>
        </w:trPr>
        <w:tc>
          <w:tcPr>
            <w:tcW w:type="dxa" w:w="69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TOTAL</w:t>
            </w:r>
          </w:p>
        </w:tc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$250,000</w:t>
            </w:r>
          </w:p>
        </w:tc>
      </w:tr>
    </w:tbl>
    <w:p>
      <w:pPr>
        <w:spacing w:after="140" w:line="280"/>
      </w:pPr>
      <w:r>
        <w:rPr>
          <w:b/>
          <w:bCs/>
          <w:sz w:val="21"/>
          <w:szCs w:val="21"/>
        </w:rPr>
        <w:t xml:space="preserve">Founder comp: </w:t>
      </w:r>
      <w:r>
        <w:rPr>
          <w:sz w:val="21"/>
          <w:szCs w:val="21"/>
        </w:rPr>
        <w:t xml:space="preserve">$0/month through month 12. From month 13 (accrual-positive), each of 2 founders draws $9,000/month — already inside the budgeted G&amp;A line, not an addition to it.</w:t>
      </w:r>
    </w:p>
    <w:p>
      <w:pPr>
        <w:spacing w:after="140" w:line="280"/>
      </w:pPr>
      <w:r>
        <w:rPr>
          <w:b/>
          <w:bCs/>
          <w:sz w:val="21"/>
          <w:szCs w:val="21"/>
        </w:rPr>
        <w:t xml:space="preserve">Cash timing, stated only as far as the certified plan actually supports: </w:t>
      </w:r>
      <w:r>
        <w:rPr>
          <w:sz w:val="21"/>
          <w:szCs w:val="21"/>
        </w:rPr>
        <w:t xml:space="preserve">accrual-positive at month 13, true cash breakeven at month 16, bridged by 50% deposits on early engagements and the $70,000 working-capital reserve above. The certified plan does not publish a month-by-month cash curve with an explicit trough dollar figure or month for TITLE FORGE specifically — that is a genuine gap, not a rounding matter, and it’s listed under “What’s Still Needed” below rather than papered over with an invented number.</w:t>
      </w:r>
    </w:p>
    <w:p>
      <w:pPr>
        <w:pStyle w:val="Heading1"/>
        <w:spacing w:after="120" w:before="300"/>
      </w:pPr>
      <w:r>
        <w:rPr>
          <w:b/>
          <w:bCs/>
          <w:color w:val="3B2F1E"/>
          <w:sz w:val="28"/>
          <w:szCs w:val="28"/>
        </w:rPr>
        <w:t xml:space="preserve">The Discipline That Keeps This Airtight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1"/>
          <w:szCs w:val="21"/>
        </w:rPr>
        <w:t xml:space="preserve">A real kill line for the mandate itself, </w:t>
      </w:r>
      <w:r>
        <w:rPr>
          <w:sz w:val="21"/>
          <w:szCs w:val="21"/>
        </w:rPr>
        <w:t xml:space="preserve">not just for quality gates: if by month 18 the trailing run-rate doesn’t project to at least $500,000/month pre-tax by month 30, new county expansion halts and the mandate gets reassessed before another dollar of capital moves.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1"/>
          <w:szCs w:val="21"/>
        </w:rPr>
        <w:t xml:space="preserve">Concentration caps: </w:t>
      </w:r>
      <w:r>
        <w:rPr>
          <w:sz w:val="21"/>
          <w:szCs w:val="21"/>
        </w:rPr>
        <w:t xml:space="preserve">no single customer above 15% of trailing-12-month revenue; no single geographic corridor above 40%.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1"/>
          <w:szCs w:val="21"/>
        </w:rPr>
        <w:t xml:space="preserve">Cyclicality, named openly: </w:t>
      </w:r>
      <w:r>
        <w:rPr>
          <w:sz w:val="21"/>
          <w:szCs w:val="21"/>
        </w:rPr>
        <w:t xml:space="preserve">revenue tracks interconnection-queue timing and energy policy; a contraction scenario delays the trajectory by 2–3 quarters, it doesn’t break it — every published stress branch stays cash-positive.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1"/>
          <w:szCs w:val="21"/>
        </w:rPr>
        <w:t xml:space="preserve">E&amp;O is treated as the single point of failure it is: </w:t>
      </w:r>
      <w:r>
        <w:rPr>
          <w:sz w:val="21"/>
          <w:szCs w:val="21"/>
        </w:rPr>
        <w:t xml:space="preserve">carrier gate cleared month 1, before any client document is touched, with a fallback ladder (parallel E&amp;S quote → fronting through a licensed title agency → reserve-funded high-retention structure) if the primary carrier balks.</w:t>
      </w:r>
    </w:p>
    <w:p>
      <w:pPr>
        <w:pStyle w:val="Heading1"/>
        <w:spacing w:after="120" w:before="300"/>
      </w:pPr>
      <w:r>
        <w:rPr>
          <w:b/>
          <w:bCs/>
          <w:color w:val="3B2F1E"/>
          <w:sz w:val="28"/>
          <w:szCs w:val="28"/>
        </w:rPr>
        <w:t xml:space="preserve">What’s Still Needed Before This Is Fully Airtight</w:t>
      </w:r>
    </w:p>
    <w:p>
      <w:pPr>
        <w:spacing w:after="140" w:line="280"/>
      </w:pPr>
      <w:r>
        <w:rPr>
          <w:color w:val="222222"/>
          <w:sz w:val="21"/>
          <w:szCs w:val="21"/>
        </w:rPr>
        <w:t xml:space="preserve">Three concrete gaps, named rather than hidden: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1"/>
          <w:szCs w:val="21"/>
        </w:rPr>
        <w:t xml:space="preserve">1. A real month-by-month depreciation schedule </w:t>
      </w:r>
      <w:r>
        <w:rPr>
          <w:sz w:val="21"/>
          <w:szCs w:val="21"/>
        </w:rPr>
        <w:t xml:space="preserve">for capitalized plant-capture spend. The month 43–44 after-tax crossing above uses a flat continuation of the month-36 amortization charge — a reasonable approximation, not a modeled fact. A full schedule could move that date earlier or later.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1"/>
          <w:szCs w:val="21"/>
        </w:rPr>
        <w:t xml:space="preserve">2. A published, month-by-month cash curve </w:t>
      </w:r>
      <w:r>
        <w:rPr>
          <w:sz w:val="21"/>
          <w:szCs w:val="21"/>
        </w:rPr>
        <w:t xml:space="preserve">for TITLE FORGE specifically, with an explicit trough dollar figure and month — the certified plan states the breakeven milestones (month 13 accrual-positive, month 16 cash breakeven) but not a full curve between them.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1"/>
          <w:szCs w:val="21"/>
        </w:rPr>
        <w:t xml:space="preserve">3. A month-42+ product-mix projection, </w:t>
      </w:r>
      <w:r>
        <w:rPr>
          <w:sz w:val="21"/>
          <w:szCs w:val="21"/>
        </w:rPr>
        <w:t xml:space="preserve">so the “recurring lines carry more of the margin over time” mechanism can be stated as a number instead of a direction.</w:t>
      </w:r>
    </w:p>
    <w:p>
      <w:pPr>
        <w:spacing w:after="140" w:line="280"/>
      </w:pPr>
      <w:r>
        <w:rPr>
          <w:sz w:val="21"/>
          <w:szCs w:val="21"/>
        </w:rPr>
        <w:t xml:space="preserve">None of these three are reasons to doubt the business — they’re reasons to build the three missing models before wiring the next dollar, exactly the discipline this whole exercise exists to enforce.</w:t>
      </w:r>
    </w:p>
    <w:p>
      <w:pPr>
        <w:pStyle w:val="Heading1"/>
        <w:spacing w:after="120" w:before="300"/>
      </w:pPr>
      <w:r>
        <w:rPr>
          <w:b/>
          <w:bCs/>
          <w:color w:val="3B2F1E"/>
          <w:sz w:val="28"/>
          <w:szCs w:val="28"/>
        </w:rPr>
        <w:t xml:space="preserve">Certification Status</w:t>
      </w:r>
    </w:p>
    <w:p>
      <w:pPr>
        <w:spacing w:after="140" w:line="280"/>
      </w:pPr>
      <w:r>
        <w:rPr>
          <w:sz w:val="21"/>
          <w:szCs w:val="21"/>
        </w:rPr>
        <w:t xml:space="preserve">TITLE FORGE was certified “airtight” by an independent adversarial Lead Critic after 2 full revision rounds — internally consistent, arithmetically sound, and free of catastrophic flaws as originally written. A follow-up audit, run specifically to stress-test it against the exact $1,000,000/month </w:t>
      </w:r>
      <w:r>
        <w:rPr>
          <w:b/>
          <w:bCs/>
          <w:sz w:val="21"/>
          <w:szCs w:val="21"/>
        </w:rPr>
        <w:t xml:space="preserve">net-profit</w:t>
      </w:r>
      <w:r>
        <w:rPr>
          <w:sz w:val="21"/>
          <w:szCs w:val="21"/>
        </w:rPr>
        <w:t xml:space="preserve"> mandate (not revenue, not pre-tax alone), found the underlying business sound but flagged that the pre-tax month-36 headline needed the after-tax and amortization reality stated alongside it, not after it. This document is that restatement, and it was itself independently checked before delivery — a first draft’s month-42 after-tax claim was caught as circular and corrected to month 43–44 rather than left to look cleaner than the math supports.</w:t>
      </w:r>
    </w:p>
    <w:p>
      <w:pPr>
        <w:pBdr>
          <w:left w:val="single" w:color="8A5A2B" w:sz="20" w:space="8"/>
        </w:pBdr>
        <w:shd w:fill="EFE3D3" w:color="auto" w:val="clear"/>
        <w:spacing w:after="140" w:before="100" w:line="268"/>
      </w:pPr>
      <w:r>
        <w:rPr>
          <w:b/>
          <w:bCs/>
          <w:sz w:val="20"/>
          <w:szCs w:val="20"/>
        </w:rPr>
        <w:t xml:space="preserve">What you’re signing up for, in one sentence: </w:t>
      </w:r>
      <w:r>
        <w:rPr>
          <w:sz w:val="20"/>
          <w:szCs w:val="20"/>
        </w:rPr>
        <w:t xml:space="preserve">a gritty, physically-grounded title-production business that clears $1M/month pre-tax by month 36 and, on the most honest estimate available today, $1M/month after real taxes and real amortization by roughly month 43–44 — defended by a data moat a well-funded copycat needs roughly two years to cross, built from scratch on $250,000, with the cash discipline to survive every stress case modeled against it.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FORGE — Ground-Up Airtight Overview</dc:title>
  <dc:creator>TITLE FORGE</dc:creator>
  <cp:lastModifiedBy>Un-named</cp:lastModifiedBy>
  <cp:revision>1</cp:revision>
  <dcterms:created xsi:type="dcterms:W3CDTF">2026-08-07T19:57:25.154Z</dcterms:created>
  <dcterms:modified xsi:type="dcterms:W3CDTF">2026-08-07T19:57:25.166Z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