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rPr>
          <w:b/>
          <w:bCs/>
          <w:color w:val="1F3A5F"/>
          <w:sz w:val="72"/>
          <w:szCs w:val="72"/>
        </w:rPr>
        <w:t xml:space="preserve">RECOMPETE</w:t>
      </w:r>
    </w:p>
    <w:p>
      <w:pPr>
        <w:pBdr>
          <w:bottom w:val="single" w:color="2E6F9E" w:sz="12" w:space="4"/>
        </w:pBdr>
        <w:spacing w:after="40"/>
      </w:pPr>
      <w:r>
        <w:rPr>
          <w:b/>
          <w:bCs/>
          <w:color w:val="2E6F9E"/>
          <w:sz w:val="30"/>
          <w:szCs w:val="30"/>
        </w:rPr>
        <w:t xml:space="preserve">Business Overview &amp; Execution Plan</w:t>
      </w:r>
    </w:p>
    <w:p>
      <w:pPr>
        <w:spacing w:after="40" w:before="160"/>
      </w:pPr>
      <w:r>
        <w:rPr>
          <w:i/>
          <w:iCs/>
          <w:color w:val="555555"/>
          <w:sz w:val="24"/>
          <w:szCs w:val="24"/>
        </w:rPr>
        <w:t xml:space="preserve">Done-For-You AI Proposal Production for Small &amp; Mid-Market Federal Contractors</w:t>
      </w:r>
    </w:p>
    <w:p>
      <w:pPr>
        <w:spacing w:after="300"/>
      </w:pPr>
      <w:r>
        <w:rPr>
          <w:color w:val="555555"/>
          <w:sz w:val="20"/>
          <w:szCs w:val="20"/>
        </w:rPr>
        <w:t xml:space="preserve">Target: </w:t>
      </w:r>
      <w:r>
        <w:rPr>
          <w:b/>
          <w:bCs/>
          <w:color w:val="1F3A5F"/>
          <w:sz w:val="20"/>
          <w:szCs w:val="20"/>
        </w:rPr>
        <w:t xml:space="preserve">$1,000,000+/mo net profit by month 36</w:t>
      </w:r>
      <w:r>
        <w:rPr>
          <w:color w:val="555555"/>
          <w:sz w:val="20"/>
          <w:szCs w:val="20"/>
        </w:rPr>
        <w:t xml:space="preserve">     Starting capital: </w:t>
      </w:r>
      <w:r>
        <w:rPr>
          <w:b/>
          <w:bCs/>
          <w:color w:val="1F3A5F"/>
          <w:sz w:val="20"/>
          <w:szCs w:val="20"/>
        </w:rPr>
        <w:t xml:space="preserve">$250,000</w:t>
      </w:r>
    </w:p>
    <w:p>
      <w:pPr>
        <w:pStyle w:val="Heading1"/>
        <w:spacing w:after="120" w:before="320"/>
      </w:pPr>
      <w:r>
        <w:rPr>
          <w:b/>
          <w:bCs/>
          <w:color w:val="1F3A5F"/>
          <w:sz w:val="30"/>
          <w:szCs w:val="30"/>
        </w:rPr>
        <w:t xml:space="preserve">1.  The Business in One Paragraph</w:t>
      </w:r>
    </w:p>
    <w:p>
      <w:pPr>
        <w:spacing w:after="120" w:line="276"/>
      </w:pPr>
      <w:r>
        <w:rPr>
          <w:sz w:val="21"/>
          <w:szCs w:val="21"/>
        </w:rPr>
        <w:t xml:space="preserve">RECOMPETE is a </w:t>
      </w:r>
      <w:r>
        <w:rPr>
          <w:b/>
          <w:bCs/>
          <w:sz w:val="21"/>
          <w:szCs w:val="21"/>
        </w:rPr>
        <w:t xml:space="preserve">done-for-you service</w:t>
      </w:r>
      <w:r>
        <w:rPr>
          <w:sz w:val="21"/>
          <w:szCs w:val="21"/>
        </w:rPr>
        <w:t xml:space="preserve"> that produces finished, compliant federal proposal drafts for small government contractors who have no in-house proposal team. An agentic AI pipeline monitors SAM.gov for a client’s opportunities, shreds each RFP into a compliance matrix, drafts every volume grounded in the client’s own past-performance corpus, and runs adversarial color-team review — then a named human proposal engineer QAs every deliverable before it goes back to the client. </w:t>
      </w:r>
      <w:r>
        <w:rPr>
          <w:b/>
          <w:bCs/>
          <w:sz w:val="21"/>
          <w:szCs w:val="21"/>
        </w:rPr>
        <w:t xml:space="preserve">We sell the finished work product, not software seats.</w:t>
      </w:r>
      <w:r>
        <w:rPr>
          <w:sz w:val="21"/>
          <w:szCs w:val="21"/>
        </w:rPr>
        <w:t xml:space="preserve"> The client reviews, signs, and submits; we are never in the certification chain. High gross margins come from AI doing 90%+ of the production labor at roughly $220–$250 of inference per proposal, while a thin, honestly-costed human QA layer guarantees quality.</w:t>
      </w:r>
    </w:p>
    <w:p>
      <w:pPr>
        <w:pStyle w:val="Heading1"/>
        <w:spacing w:after="120" w:before="320"/>
      </w:pPr>
      <w:r>
        <w:rPr>
          <w:b/>
          <w:bCs/>
          <w:color w:val="1F3A5F"/>
          <w:sz w:val="30"/>
          <w:szCs w:val="30"/>
        </w:rPr>
        <w:t xml:space="preserve">2.  The Problem We Solve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Small federal contractors live and die by recompetes and new bids, but proposal production is brutal: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Bid &amp; Proposal (B&amp;P) cost runs </w:t>
      </w:r>
      <w:r>
        <w:rPr>
          <w:b/>
          <w:bCs/>
          <w:sz w:val="21"/>
          <w:szCs w:val="21"/>
        </w:rPr>
        <w:t xml:space="preserve">1–4% of contract value</w:t>
      </w:r>
      <w:r>
        <w:rPr>
          <w:sz w:val="21"/>
          <w:szCs w:val="21"/>
        </w:rPr>
        <w:t xml:space="preserve">, at </w:t>
      </w:r>
      <w:r>
        <w:rPr>
          <w:b/>
          <w:bCs/>
          <w:sz w:val="21"/>
          <w:szCs w:val="21"/>
        </w:rPr>
        <w:t xml:space="preserve">150–400 labor hours per bid.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Consultants charge </w:t>
      </w:r>
      <w:r>
        <w:rPr>
          <w:b/>
          <w:bCs/>
          <w:sz w:val="21"/>
          <w:szCs w:val="21"/>
        </w:rPr>
        <w:t xml:space="preserve">$10,000–$40,000 per bid</w:t>
      </w:r>
      <w:r>
        <w:rPr>
          <w:sz w:val="21"/>
          <w:szCs w:val="21"/>
        </w:rPr>
        <w:t xml:space="preserve">; the only cheaper option is a $300/mo tool plus the owner’s nights and weekends.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Firms </w:t>
      </w:r>
      <w:r>
        <w:rPr>
          <w:b/>
          <w:bCs/>
          <w:sz w:val="21"/>
          <w:szCs w:val="21"/>
        </w:rPr>
        <w:t xml:space="preserve">self-throttle to 6–10 bids per year</w:t>
      </w:r>
      <w:r>
        <w:rPr>
          <w:sz w:val="21"/>
          <w:szCs w:val="21"/>
        </w:rPr>
        <w:t xml:space="preserve"> because they can’t staff more — leaving pipeline on the table.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A single missed Section L “shall” statement = automatic disqualification.</w:t>
      </w:r>
      <w:r>
        <w:rPr>
          <w:sz w:val="21"/>
          <w:szCs w:val="21"/>
        </w:rPr>
        <w:t xml:space="preserve"> The stakes are pass/fail, and the work is unforgiving.</w:t>
      </w:r>
    </w:p>
    <w:p>
      <w:pPr>
        <w:spacing w:after="120" w:line="276"/>
      </w:pPr>
      <w:r>
        <w:rPr>
          <w:sz w:val="21"/>
          <w:szCs w:val="21"/>
        </w:rPr>
        <w:t xml:space="preserve">The pain is acute, recurring, and — critically — </w:t>
      </w:r>
      <w:r>
        <w:rPr>
          <w:b/>
          <w:bCs/>
          <w:sz w:val="21"/>
          <w:szCs w:val="21"/>
        </w:rPr>
        <w:t xml:space="preserve">already in the budget.</w:t>
      </w:r>
      <w:r>
        <w:rPr>
          <w:sz w:val="21"/>
          <w:szCs w:val="21"/>
        </w:rPr>
        <w:t xml:space="preserve"> B&amp;P is a recognized, pre-approved cost line (FAR 31.205-18). We are not asking a CFO to create a new spend category; we are asking them to spend an existing line more effectively.</w:t>
      </w:r>
    </w:p>
    <w:p>
      <w:pPr>
        <w:pStyle w:val="Heading1"/>
        <w:spacing w:after="120" w:before="320"/>
      </w:pPr>
      <w:r>
        <w:rPr>
          <w:b/>
          <w:bCs/>
          <w:color w:val="1F3A5F"/>
          <w:sz w:val="30"/>
          <w:szCs w:val="30"/>
        </w:rPr>
        <w:t xml:space="preserve">3.  The Customer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Who: </w:t>
      </w:r>
      <w:r>
        <w:rPr>
          <w:sz w:val="21"/>
          <w:szCs w:val="21"/>
        </w:rPr>
        <w:t xml:space="preserve">The CEO or lone business-development lead of a US federal/SLED services contractor doing $3M–$75M in revenue with no dedicated proposal staff. Core codes NAICS 541512 (IT), 541611 (management consulting), plus engineering, logistics, and facilities.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Purchase triggers (the moments they need us most):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An incumbent contract expiring within 270 days — their first-ever recompete.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8(a) program graduation window — ~1,200–1,500 firms in-window at any time (our beachhead).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SDVOSB verification, or a new multiple-award IDIQ on-ramp.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Honest market size: </w:t>
      </w:r>
      <w:r>
        <w:rPr>
          <w:sz w:val="21"/>
          <w:szCs w:val="21"/>
        </w:rPr>
        <w:t xml:space="preserve">Of ~30,000–40,000 actively-bidding firms, our true-payer serviceable market — firms already paying consultants or demonstrably buying tools with real bid volume — is </w:t>
      </w:r>
      <w:r>
        <w:rPr>
          <w:b/>
          <w:bCs/>
          <w:sz w:val="21"/>
          <w:szCs w:val="21"/>
        </w:rPr>
        <w:t xml:space="preserve">~9,000–14,000 firms.</w:t>
      </w:r>
      <w:r>
        <w:rPr>
          <w:sz w:val="21"/>
          <w:szCs w:val="21"/>
        </w:rPr>
        <w:t xml:space="preserve"> Reaching 550 subscribers is </w:t>
      </w:r>
      <w:r>
        <w:rPr>
          <w:b/>
          <w:bCs/>
          <w:sz w:val="21"/>
          <w:szCs w:val="21"/>
        </w:rPr>
        <w:t xml:space="preserve">4–6% penetration of actual payers.</w:t>
      </w:r>
      <w:r>
        <w:rPr>
          <w:sz w:val="21"/>
          <w:szCs w:val="21"/>
        </w:rPr>
        <w:t xml:space="preserve"> Demand is not the binding constraint.</w:t>
      </w:r>
    </w:p>
    <w:p>
      <w:pPr>
        <w:pStyle w:val="Heading1"/>
        <w:spacing w:after="120" w:before="320"/>
      </w:pPr>
      <w:r>
        <w:rPr>
          <w:b/>
          <w:bCs/>
          <w:color w:val="1F3A5F"/>
          <w:sz w:val="30"/>
          <w:szCs w:val="30"/>
        </w:rPr>
        <w:t xml:space="preserve">4.  The Offer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We contract on outcomes we control, never on “wins” (win rates fall category-wide as AI floods every solicitation pool — promising wins would be dishonest):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100% on-time submission with zero disqualifications.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Recompete-capture readiness</w:t>
      </w:r>
      <w:r>
        <w:rPr>
          <w:sz w:val="21"/>
          <w:szCs w:val="21"/>
        </w:rPr>
        <w:t xml:space="preserve"> — never scrambling at the deadline again.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150+ owner-hours returned per quarter.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Bid/no-bid discipline as a feature:</w:t>
      </w:r>
      <w:r>
        <w:rPr>
          <w:sz w:val="21"/>
          <w:szCs w:val="21"/>
        </w:rPr>
        <w:t xml:space="preserve"> we decline ~15% of requested pursuits when they can’t be honestly grounded in the client’s corpus. Saying no is part of the value.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Deliverables: </w:t>
      </w:r>
      <w:r>
        <w:rPr>
          <w:sz w:val="21"/>
          <w:szCs w:val="21"/>
        </w:rPr>
        <w:t xml:space="preserve">recompete radar; compliance matrix + outline by next business day; full draft within 3 business days of queue entry; every factual claim cited to the client’s own corpus, every forward-looking claim flagged for client attestation; Pink/Red/Gold color-team passes scored against Section M; a named reviewer and dedicated account manager per account.</w:t>
      </w:r>
    </w:p>
    <w:p>
      <w:pPr>
        <w:pStyle w:val="Heading1"/>
        <w:spacing w:after="120" w:before="320"/>
      </w:pPr>
      <w:r>
        <w:rPr>
          <w:b/>
          <w:bCs/>
          <w:color w:val="1F3A5F"/>
          <w:sz w:val="30"/>
          <w:szCs w:val="30"/>
        </w:rPr>
        <w:t xml:space="preserve">5.  Pricing &amp; Packaging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Annual contracts, invoiced quarterly upfront (this generates float instead of consuming working capital). Month-to-month available at +8%.</w:t>
      </w:r>
    </w:p>
    <w:tbl>
      <w:tblPr>
        <w:tblW w:type="dxa" w:w="9360"/>
        <w:tblBorders>
          <w:top w:val="single" w:color="C9D6E3" w:sz="2"/>
          <w:left w:val="none"/>
          <w:bottom w:val="single" w:color="C9D6E3" w:sz="2"/>
          <w:right w:val="none"/>
          <w:insideH w:val="single" w:color="C9D6E3" w:sz="2"/>
          <w:insideV w:val="none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1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Core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$2,500/mo</w:t>
            </w:r>
          </w:p>
        </w:tc>
        <w:tc>
          <w:tcPr>
            <w:tcW w:type="dxa" w:w="5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proposals/mo + recompete radar</w:t>
            </w:r>
          </w:p>
        </w:tc>
      </w:tr>
      <w:tr>
        <w:trPr>
          <w:tblHeader w:val="false"/>
        </w:trPr>
        <w:tc>
          <w:tcPr>
            <w:tcW w:type="dxa" w:w="220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Growth</w:t>
            </w:r>
          </w:p>
        </w:tc>
        <w:tc>
          <w:tcPr>
            <w:tcW w:type="dxa" w:w="200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$4,500/mo</w:t>
            </w:r>
          </w:p>
        </w:tc>
        <w:tc>
          <w:tcPr>
            <w:tcW w:type="dxa" w:w="516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 proposals/mo + win/loss analytics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Scale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$7,500/mo</w:t>
            </w:r>
          </w:p>
        </w:tc>
        <w:tc>
          <w:tcPr>
            <w:tcW w:type="dxa" w:w="5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 task-order responses/mo</w:t>
            </w:r>
          </w:p>
        </w:tc>
      </w:tr>
      <w:tr>
        <w:trPr>
          <w:tblHeader w:val="false"/>
        </w:trPr>
        <w:tc>
          <w:tcPr>
            <w:tcW w:type="dxa" w:w="220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Overage</w:t>
            </w:r>
          </w:p>
        </w:tc>
        <w:tc>
          <w:tcPr>
            <w:tcW w:type="dxa" w:w="200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$1,200/proposal</w:t>
            </w:r>
          </w:p>
        </w:tc>
        <w:tc>
          <w:tcPr>
            <w:tcW w:type="dxa" w:w="516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Beyond tier entitlement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À la carte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$1,500/proposal</w:t>
            </w:r>
          </w:p>
        </w:tc>
        <w:tc>
          <w:tcPr>
            <w:tcW w:type="dxa" w:w="5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Self-serve, no subscription</w:t>
            </w:r>
          </w:p>
        </w:tc>
      </w:tr>
      <w:tr>
        <w:trPr>
          <w:tblHeader w:val="false"/>
        </w:trPr>
        <w:tc>
          <w:tcPr>
            <w:tcW w:type="dxa" w:w="220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"Active Pursuit" bridge</w:t>
            </w:r>
          </w:p>
        </w:tc>
        <w:tc>
          <w:tcPr>
            <w:tcW w:type="dxa" w:w="200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$2,500/mo (m2m)</w:t>
            </w:r>
          </w:p>
        </w:tc>
        <w:tc>
          <w:tcPr>
            <w:tcW w:type="dxa" w:w="516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During award-wait; converts to annual on first award</w:t>
            </w:r>
          </w:p>
        </w:tc>
      </w:tr>
    </w:tbl>
    <w:p>
      <w:pPr>
        <w:spacing w:after="120" w:line="276"/>
      </w:pPr>
      <w:r>
        <w:rPr>
          <w:b/>
          <w:bCs/>
          <w:sz w:val="21"/>
          <w:szCs w:val="21"/>
        </w:rPr>
        <w:t xml:space="preserve">Blended ARPA: ~$4,200/mo.</w:t>
      </w:r>
      <w:r>
        <w:rPr>
          <w:sz w:val="21"/>
          <w:szCs w:val="21"/>
        </w:rPr>
        <w:t xml:space="preserve"> Entry motion: a $2,000 paid pilot on one live RFP, credited toward the subscription.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F3A5F"/>
          <w:sz w:val="30"/>
          <w:szCs w:val="30"/>
        </w:rPr>
        <w:t xml:space="preserve">6.  How It Works — The AI + Human Stack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Design principle: </w:t>
      </w:r>
      <w:r>
        <w:rPr>
          <w:sz w:val="21"/>
          <w:szCs w:val="21"/>
        </w:rPr>
        <w:t xml:space="preserve">one durable orchestration spine (Temporal) runs every proposal as a metered workflow. Every inference dollar, QA minute, and client edit is tracked per proposal ID, so quality is measured, not asserted.</w:t>
      </w:r>
    </w:p>
    <w:tbl>
      <w:tblPr>
        <w:tblW w:type="dxa" w:w="9360"/>
        <w:tblBorders>
          <w:top w:val="single" w:color="C9D6E3" w:sz="2"/>
          <w:left w:val="none"/>
          <w:bottom w:val="single" w:color="C9D6E3" w:sz="2"/>
          <w:right w:val="none"/>
          <w:insideH w:val="single" w:color="C9D6E3" w:sz="2"/>
          <w:insideV w:val="none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Daily SAM.gov bulk extracts + FPDS mirrors surface each client’s opportunities</w:t>
            </w:r>
          </w:p>
        </w:tc>
      </w:tr>
      <w:tr>
        <w:trPr>
          <w:tblHeader w:val="false"/>
        </w:trPr>
        <w:tc>
          <w:tcPr>
            <w:tcW w:type="dxa" w:w="240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Ingestion</w:t>
            </w:r>
          </w:p>
        </w:tc>
        <w:tc>
          <w:tcPr>
            <w:tcW w:type="dxa" w:w="696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Two independent extraction passes (LLM + rules) reconcile the RFP; a completeness gate blocks delivery on any unresolved incorporated-by-reference clause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Retrieval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Per-client corpus in Postgres + pgvector with row-level security and per-client keys — no cross-client leakage</w:t>
            </w:r>
          </w:p>
        </w:tc>
      </w:tr>
      <w:tr>
        <w:trPr>
          <w:tblHeader w:val="false"/>
        </w:trPr>
        <w:tc>
          <w:tcPr>
            <w:tcW w:type="dxa" w:w="240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Drafting</w:t>
            </w:r>
          </w:p>
        </w:tc>
        <w:tc>
          <w:tcPr>
            <w:tcW w:type="dxa" w:w="696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Corpus-grounded generation with provenance citations on every claim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Review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Pink / Red / Gold adversarial color teams scored against Section M; deterministic shall/page/FAR compliance checks</w:t>
            </w:r>
          </w:p>
        </w:tc>
      </w:tr>
      <w:tr>
        <w:trPr>
          <w:tblHeader w:val="false"/>
        </w:trPr>
        <w:tc>
          <w:tcPr>
            <w:tcW w:type="dxa" w:w="240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Human QA</w:t>
            </w:r>
          </w:p>
        </w:tc>
        <w:tc>
          <w:tcPr>
            <w:tcW w:type="dxa" w:w="696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named proposal engineer reviews every deliverable (~3.0 hrs/proposal, trending to 2.4)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Resilience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second model provider kept warm at 10% of traffic; SOC 2 by month 9</w:t>
            </w:r>
          </w:p>
        </w:tc>
      </w:tr>
    </w:tbl>
    <w:p>
      <w:pPr>
        <w:spacing w:after="120" w:line="276"/>
      </w:pPr>
      <w:r>
        <w:rPr>
          <w:b/>
          <w:bCs/>
          <w:sz w:val="21"/>
          <w:szCs w:val="21"/>
        </w:rPr>
        <w:t xml:space="preserve">Cost per full proposal: </w:t>
      </w:r>
      <w:r>
        <w:rPr>
          <w:sz w:val="21"/>
          <w:szCs w:val="21"/>
        </w:rPr>
        <w:t xml:space="preserve">~$161 raw inference → $250 planning number (year 1), falling to $220 at maturity. Human QA is the other major cost, honestly carried at loaded wages. This is what real service-as-software costs — and the margin still works.</w:t>
      </w:r>
    </w:p>
    <w:p>
      <w:pPr>
        <w:pStyle w:val="Heading1"/>
        <w:spacing w:after="120" w:before="320"/>
      </w:pPr>
      <w:r>
        <w:rPr>
          <w:b/>
          <w:bCs/>
          <w:color w:val="1F3A5F"/>
          <w:sz w:val="30"/>
          <w:szCs w:val="30"/>
        </w:rPr>
        <w:t xml:space="preserve">7.  Unit Economics (The Numbers That Matter)</w:t>
      </w:r>
    </w:p>
    <w:p>
      <w:pPr>
        <w:pBdr>
          <w:left w:val="single" w:color="2E6F9E" w:sz="18" w:space="6"/>
        </w:pBdr>
        <w:shd w:fill="EAF1F7" w:color="auto" w:val="clear"/>
        <w:spacing w:after="120" w:line="264"/>
      </w:pPr>
      <w:r>
        <w:rPr>
          <w:b/>
          <w:bCs/>
          <w:sz w:val="20"/>
          <w:szCs w:val="20"/>
        </w:rPr>
        <w:t xml:space="preserve">Definition: </w:t>
      </w:r>
      <w:r>
        <w:rPr>
          <w:sz w:val="20"/>
          <w:szCs w:val="20"/>
        </w:rPr>
        <w:t xml:space="preserve">“Net profit” throughout is pre-tax operating profit. Post-tax at a 25% blended rate ≈ $750k/mo at month 36; $1M post-tax crosses around month 41.</w:t>
      </w:r>
    </w:p>
    <w:tbl>
      <w:tblPr>
        <w:tblW w:type="dxa" w:w="9360"/>
        <w:tblBorders>
          <w:top w:val="single" w:color="C9D6E3" w:sz="2"/>
          <w:left w:val="none"/>
          <w:bottom w:val="single" w:color="C9D6E3" w:sz="2"/>
          <w:right w:val="none"/>
          <w:insideH w:val="single" w:color="C9D6E3" w:sz="2"/>
          <w:insideV w:val="none"/>
        </w:tblBorders>
      </w:tblPr>
      <w:tblGrid>
        <w:gridCol w:w="4560"/>
        <w:gridCol w:w="4800"/>
      </w:tblGrid>
      <w:tr>
        <w:trPr>
          <w:tblHeader/>
        </w:trPr>
        <w:tc>
          <w:tcPr>
            <w:tcW w:type="dxa" w:w="45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8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Blended ARPA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$4,200/mo</w:t>
            </w:r>
          </w:p>
        </w:tc>
      </w:tr>
      <w:tr>
        <w:trPr>
          <w:tblHeader w:val="false"/>
        </w:trPr>
        <w:tc>
          <w:tcPr>
            <w:tcW w:type="dxa" w:w="456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480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55% (year 1) → 60% (mature) — humans fully costed</w:t>
            </w:r>
          </w:p>
        </w:tc>
      </w:tr>
      <w:tr>
        <w:trPr>
          <w:tblHeader w:val="false"/>
        </w:trPr>
        <w:tc>
          <w:tcPr>
            <w:tcW w:type="dxa" w:w="4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Blended CAC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$6,100 (stress-tested at $12k → still &lt;5-month payback)</w:t>
            </w:r>
          </w:p>
        </w:tc>
      </w:tr>
      <w:tr>
        <w:trPr>
          <w:tblHeader w:val="false"/>
        </w:trPr>
        <w:tc>
          <w:tcPr>
            <w:tcW w:type="dxa" w:w="456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480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2.9% (= 70% annual logo retention)</w:t>
            </w:r>
          </w:p>
        </w:tc>
      </w:tr>
      <w:tr>
        <w:trPr>
          <w:tblHeader w:val="false"/>
        </w:trPr>
        <w:tc>
          <w:tcPr>
            <w:tcW w:type="dxa" w:w="4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LTV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~$84,000</w:t>
            </w:r>
          </w:p>
        </w:tc>
      </w:tr>
      <w:tr>
        <w:trPr>
          <w:tblHeader w:val="false"/>
        </w:trPr>
        <w:tc>
          <w:tcPr>
            <w:tcW w:type="dxa" w:w="456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LTV : CAC</w:t>
            </w:r>
          </w:p>
        </w:tc>
        <w:tc>
          <w:tcPr>
            <w:tcW w:type="dxa" w:w="480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~13 : 1 (7:1 even at stress CAC)</w:t>
            </w:r>
          </w:p>
        </w:tc>
      </w:tr>
      <w:tr>
        <w:trPr>
          <w:tblHeader w:val="false"/>
        </w:trPr>
        <w:tc>
          <w:tcPr>
            <w:tcW w:type="dxa" w:w="4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Net revenue retention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100–103%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6F9E"/>
          <w:sz w:val="24"/>
          <w:szCs w:val="24"/>
        </w:rPr>
        <w:t xml:space="preserve">Path to $1M/mo net — the volume ladder</w:t>
      </w:r>
    </w:p>
    <w:tbl>
      <w:tblPr>
        <w:tblW w:type="dxa" w:w="9360"/>
        <w:tblBorders>
          <w:top w:val="single" w:color="C9D6E3" w:sz="2"/>
          <w:left w:val="none"/>
          <w:bottom w:val="single" w:color="C9D6E3" w:sz="2"/>
          <w:right w:val="none"/>
          <w:insideH w:val="single" w:color="C9D6E3" w:sz="2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12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Subscribers</w:t>
            </w:r>
          </w:p>
        </w:tc>
        <w:tc>
          <w:tcPr>
            <w:tcW w:type="dxa" w:w="312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Net profit/mo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13–14 (cash-flow positive)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48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~$0 → +$18k</w:t>
            </w:r>
          </w:p>
        </w:tc>
      </w:tr>
      <w:tr>
        <w:trPr>
          <w:tblHeader w:val="false"/>
        </w:trPr>
        <w:tc>
          <w:tcPr>
            <w:tcW w:type="dxa" w:w="312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114</w:t>
            </w:r>
          </w:p>
        </w:tc>
        <w:tc>
          <w:tcPr>
            <w:tcW w:type="dxa" w:w="312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~$70k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26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231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~$260k</w:t>
            </w:r>
          </w:p>
        </w:tc>
      </w:tr>
      <w:tr>
        <w:trPr>
          <w:tblHeader w:val="false"/>
        </w:trPr>
        <w:tc>
          <w:tcPr>
            <w:tcW w:type="dxa" w:w="312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36</w:t>
            </w:r>
          </w:p>
        </w:tc>
        <w:tc>
          <w:tcPr>
            <w:tcW w:type="dxa" w:w="312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550 subs + 300 à-la-carte</w:t>
            </w:r>
          </w:p>
        </w:tc>
        <w:tc>
          <w:tcPr>
            <w:tcW w:type="dxa" w:w="312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≈$998k</w:t>
            </w:r>
          </w:p>
        </w:tc>
      </w:tr>
    </w:tbl>
    <w:p>
      <w:pPr>
        <w:spacing w:after="120" w:line="276"/>
      </w:pPr>
      <w:r>
        <w:rPr>
          <w:b/>
          <w:bCs/>
          <w:sz w:val="21"/>
          <w:szCs w:val="21"/>
        </w:rPr>
        <w:t xml:space="preserve">At month 36: </w:t>
      </w:r>
      <w:r>
        <w:rPr>
          <w:sz w:val="21"/>
          <w:szCs w:val="21"/>
        </w:rPr>
        <w:t xml:space="preserve">$2.31M subscription + $0.45M à-la-carte revenue, 58% blended gross margin, ~75 total headcount, ~$440k revenue per head.</w:t>
      </w:r>
    </w:p>
    <w:p>
      <w:pPr>
        <w:pStyle w:val="Heading1"/>
        <w:spacing w:after="120" w:before="320"/>
      </w:pPr>
      <w:r>
        <w:rPr>
          <w:b/>
          <w:bCs/>
          <w:color w:val="1F3A5F"/>
          <w:sz w:val="30"/>
          <w:szCs w:val="30"/>
        </w:rPr>
        <w:t xml:space="preserve">8.  Use of the $250,000</w:t>
      </w:r>
    </w:p>
    <w:tbl>
      <w:tblPr>
        <w:tblW w:type="dxa" w:w="9360"/>
        <w:tblBorders>
          <w:top w:val="single" w:color="C9D6E3" w:sz="2"/>
          <w:left w:val="none"/>
          <w:bottom w:val="single" w:color="C9D6E3" w:sz="2"/>
          <w:right w:val="none"/>
          <w:insideH w:val="single" w:color="C9D6E3" w:sz="2"/>
          <w:insideV w:val="none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Investment</w:t>
            </w:r>
          </w:p>
        </w:tc>
        <w:tc>
          <w:tcPr>
            <w:tcW w:type="dxa" w:w="24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rPr>
          <w:tblHeader w:val="false"/>
        </w:trPr>
        <w:tc>
          <w:tcPr>
            <w:tcW w:type="dxa" w:w="6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Product build (2 contract engineers, months 1–5)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$120,000</w:t>
            </w:r>
          </w:p>
        </w:tc>
      </w:tr>
      <w:tr>
        <w:trPr>
          <w:tblHeader w:val="false"/>
        </w:trPr>
        <w:tc>
          <w:tcPr>
            <w:tcW w:type="dxa" w:w="696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Outbound sales infrastructure</w:t>
            </w:r>
          </w:p>
        </w:tc>
        <w:tc>
          <w:tcPr>
            <w:tcW w:type="dxa" w:w="240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$15,000</w:t>
            </w:r>
          </w:p>
        </w:tc>
      </w:tr>
      <w:tr>
        <w:trPr>
          <w:tblHeader w:val="false"/>
        </w:trPr>
        <w:tc>
          <w:tcPr>
            <w:tcW w:type="dxa" w:w="6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Tech E&amp;O + cyber insurance (bound before first paid pilot)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$20,000</w:t>
            </w:r>
          </w:p>
        </w:tc>
      </w:tr>
      <w:tr>
        <w:trPr>
          <w:tblHeader w:val="false"/>
        </w:trPr>
        <w:tc>
          <w:tcPr>
            <w:tcW w:type="dxa" w:w="696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Legal (MSA, conflict policy, referral agreements)</w:t>
            </w:r>
          </w:p>
        </w:tc>
        <w:tc>
          <w:tcPr>
            <w:tcW w:type="dxa" w:w="240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$14,000</w:t>
            </w:r>
          </w:p>
        </w:tc>
      </w:tr>
      <w:tr>
        <w:trPr>
          <w:tblHeader w:val="false"/>
        </w:trPr>
        <w:tc>
          <w:tcPr>
            <w:tcW w:type="dxa" w:w="6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Conference / field sales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$10,000</w:t>
            </w:r>
          </w:p>
        </w:tc>
      </w:tr>
      <w:tr>
        <w:trPr>
          <w:tblHeader w:val="false"/>
        </w:trPr>
        <w:tc>
          <w:tcPr>
            <w:tcW w:type="dxa" w:w="696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SOC 2 Type I (month 9, demand-gated)</w:t>
            </w:r>
          </w:p>
        </w:tc>
        <w:tc>
          <w:tcPr>
            <w:tcW w:type="dxa" w:w="240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$30,000</w:t>
            </w:r>
          </w:p>
        </w:tc>
      </w:tr>
      <w:tr>
        <w:trPr>
          <w:tblHeader w:val="false"/>
        </w:trPr>
        <w:tc>
          <w:tcPr>
            <w:tcW w:type="dxa" w:w="6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Working-capital buffer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$41,000</w:t>
            </w:r>
          </w:p>
        </w:tc>
      </w:tr>
      <w:tr>
        <w:trPr>
          <w:tblHeader w:val="false"/>
        </w:trPr>
        <w:tc>
          <w:tcPr>
            <w:tcW w:type="dxa" w:w="696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$250,000</w:t>
            </w:r>
          </w:p>
        </w:tc>
      </w:tr>
    </w:tbl>
    <w:p>
      <w:pPr>
        <w:spacing w:after="120" w:line="276"/>
      </w:pPr>
      <w:r>
        <w:rPr>
          <w:b/>
          <w:bCs/>
          <w:sz w:val="21"/>
          <w:szCs w:val="21"/>
        </w:rPr>
        <w:t xml:space="preserve">Cash trough ≈ $113k around month 5–6</w:t>
      </w:r>
      <w:r>
        <w:rPr>
          <w:sz w:val="21"/>
          <w:szCs w:val="21"/>
        </w:rPr>
        <w:t xml:space="preserve">, then recovers to cash-flow positive by month 13–14. Founders take $0 salary in year 1. No outside capital required; everything after compounds from contribution margin. No acquisitions — every asset is built from scratch.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F3A5F"/>
          <w:sz w:val="30"/>
          <w:szCs w:val="30"/>
        </w:rPr>
        <w:t xml:space="preserve">9.  The First 90 Days (Execute From Here)</w:t>
      </w:r>
    </w:p>
    <w:p>
      <w:pPr>
        <w:pStyle w:val="Heading2"/>
        <w:spacing w:after="80" w:before="220"/>
      </w:pPr>
      <w:r>
        <w:rPr>
          <w:b/>
          <w:bCs/>
          <w:color w:val="2E6F9E"/>
          <w:sz w:val="24"/>
          <w:szCs w:val="24"/>
        </w:rPr>
        <w:t xml:space="preserve">Weeks 1–2 — Foundation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Form the entity (S-corp), open banking, sign founder IP-assignment agreements.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Pull the target list from free SAM.gov / FPDS data: firms with contracts expiring in 90–270 days + 8(a) firms in graduation window.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Engage a GovCon-literate attorney for the MSA, conflict-of-interest policy, and reasonable-procedures (FCA) posture.</w:t>
      </w:r>
    </w:p>
    <w:p>
      <w:pPr>
        <w:pStyle w:val="Heading2"/>
        <w:spacing w:after="80" w:before="220"/>
      </w:pPr>
      <w:r>
        <w:rPr>
          <w:b/>
          <w:bCs/>
          <w:color w:val="2E6F9E"/>
          <w:sz w:val="24"/>
          <w:szCs w:val="24"/>
        </w:rPr>
        <w:t xml:space="preserve">Weeks 3–6 — Product v0 + first pilots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Stand up the Temporal pipeline: SAM.gov ingestion → RFP shred → compliance matrix → corpus-grounded draft → color-team review.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Build the golden set of 100+ real solicitations to measure extraction recall (gate: ≥98%).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Bind tech E&amp;O + cyber insurance before touching any client document.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Sign </w:t>
      </w:r>
      <w:r>
        <w:rPr>
          <w:b/>
          <w:bCs/>
          <w:sz w:val="21"/>
          <w:szCs w:val="21"/>
        </w:rPr>
        <w:t xml:space="preserve">10–12 design partners</w:t>
      </w:r>
      <w:r>
        <w:rPr>
          <w:sz w:val="21"/>
          <w:szCs w:val="21"/>
        </w:rPr>
        <w:t xml:space="preserve"> at a $1,500–$2,000 paid pilot on one live RFP each.</w:t>
      </w:r>
    </w:p>
    <w:p>
      <w:pPr>
        <w:pStyle w:val="Heading2"/>
        <w:spacing w:after="80" w:before="220"/>
      </w:pPr>
      <w:r>
        <w:rPr>
          <w:b/>
          <w:bCs/>
          <w:color w:val="2E6F9E"/>
          <w:sz w:val="24"/>
          <w:szCs w:val="24"/>
        </w:rPr>
        <w:t xml:space="preserve">Weeks 7–12 — Prove the gate, then sell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Deliver pilots; measure the Block-1 quality gate: </w:t>
      </w:r>
      <w:r>
        <w:rPr>
          <w:b/>
          <w:bCs/>
          <w:sz w:val="21"/>
          <w:szCs w:val="21"/>
        </w:rPr>
        <w:t xml:space="preserve">≥80% of drafts accepted with &lt;2 hours of client-side rework</w:t>
      </w:r>
      <w:r>
        <w:rPr>
          <w:sz w:val="21"/>
          <w:szCs w:val="21"/>
        </w:rPr>
        <w:t xml:space="preserve">, zero compliance-matrix escapes, QA ≤3.0 hrs/deliverable.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Convert design partners to annual subscriptions; collect testimonials and win/loss 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Launch founder-led outbound on the trigger list; stand up the referral program with teaming partners.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Do not scale go-to-market until the quality gate passes</w:t>
      </w:r>
      <w:r>
        <w:rPr>
          <w:sz w:val="21"/>
          <w:szCs w:val="21"/>
        </w:rPr>
        <w:t xml:space="preserve"> — that discipline is the whole plan.</w:t>
      </w:r>
    </w:p>
    <w:p>
      <w:pPr>
        <w:pStyle w:val="Heading1"/>
        <w:spacing w:after="120" w:before="320"/>
      </w:pPr>
      <w:r>
        <w:rPr>
          <w:b/>
          <w:bCs/>
          <w:color w:val="1F3A5F"/>
          <w:sz w:val="30"/>
          <w:szCs w:val="30"/>
        </w:rPr>
        <w:t xml:space="preserve">10.  Milestone Gates (Year 1)</w:t>
      </w:r>
    </w:p>
    <w:tbl>
      <w:tblPr>
        <w:tblW w:type="dxa" w:w="9360"/>
        <w:tblBorders>
          <w:top w:val="single" w:color="C9D6E3" w:sz="2"/>
          <w:left w:val="none"/>
          <w:bottom w:val="single" w:color="C9D6E3" w:sz="2"/>
          <w:right w:val="none"/>
          <w:insideH w:val="single" w:color="C9D6E3" w:sz="2"/>
          <w:insideV w:val="none"/>
        </w:tblBorders>
      </w:tblPr>
      <w:tblGrid>
        <w:gridCol w:w="1600"/>
        <w:gridCol w:w="4160"/>
        <w:gridCol w:w="3600"/>
      </w:tblGrid>
      <w:tr>
        <w:trPr>
          <w:tblHeader/>
        </w:trPr>
        <w:tc>
          <w:tcPr>
            <w:tcW w:type="dxa" w:w="16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By month</w:t>
            </w:r>
          </w:p>
        </w:tc>
        <w:tc>
          <w:tcPr>
            <w:tcW w:type="dxa" w:w="41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6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Gate to keep going</w:t>
            </w:r>
          </w:p>
        </w:tc>
      </w:tr>
      <w:tr>
        <w:trPr>
          <w:tblHeader w:val="false"/>
        </w:trPr>
        <w:tc>
          <w:tcPr>
            <w:tcW w:type="dxa" w:w="1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Product built, first pilots delivered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≥98% extraction recall + ≥80% pilot acceptance</w:t>
            </w:r>
          </w:p>
        </w:tc>
      </w:tr>
      <w:tr>
        <w:trPr>
          <w:tblHeader w:val="false"/>
        </w:trPr>
        <w:tc>
          <w:tcPr>
            <w:tcW w:type="dxa" w:w="160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416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SOC 2 Type I underway</w:t>
            </w:r>
          </w:p>
        </w:tc>
        <w:tc>
          <w:tcPr>
            <w:tcW w:type="dxa" w:w="360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Demand justifies the spend</w:t>
            </w:r>
          </w:p>
        </w:tc>
      </w:tr>
      <w:tr>
        <w:trPr>
          <w:tblHeader w:val="false"/>
        </w:trPr>
        <w:tc>
          <w:tcPr>
            <w:tcW w:type="dxa" w:w="1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13–14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Cash-flow positive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~$160k+ MRR; QA hours trending down</w:t>
            </w:r>
          </w:p>
        </w:tc>
      </w:tr>
      <w:tr>
        <w:trPr>
          <w:tblHeader w:val="false"/>
        </w:trPr>
        <w:tc>
          <w:tcPr>
            <w:tcW w:type="dxa" w:w="160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416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Cohort-1 renewal defense</w:t>
            </w:r>
          </w:p>
        </w:tc>
        <w:tc>
          <w:tcPr>
            <w:tcW w:type="dxa" w:w="3600"/>
            <w:shd w:fill="EA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≥68% logo renewal before scaling sales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F3A5F"/>
          <w:sz w:val="30"/>
          <w:szCs w:val="30"/>
        </w:rPr>
        <w:t xml:space="preserve">11.  Top Risks &amp; How We’ve Built Against Them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1. Seasonal Q4 surge → </w:t>
      </w:r>
      <w:r>
        <w:rPr>
          <w:sz w:val="21"/>
          <w:szCs w:val="21"/>
        </w:rPr>
        <w:t xml:space="preserve">staffed to P90 (not average), pre-contracted 1099 reviewer bench, published queue-priority policy.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2. Draft quality → </w:t>
      </w:r>
      <w:r>
        <w:rPr>
          <w:sz w:val="21"/>
          <w:szCs w:val="21"/>
        </w:rPr>
        <w:t xml:space="preserve">measured as a hard spend gate before GTM scales; client-edit-distance metered from day 1.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3. Same-RFP conflicts of interest → </w:t>
      </w:r>
      <w:r>
        <w:rPr>
          <w:sz w:val="21"/>
          <w:szCs w:val="21"/>
        </w:rPr>
        <w:t xml:space="preserve">exclusivity on a client’s own recompete; firewalled reviewers and hard assignment-blocks on open competitions; written conflict policy.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4. False Claims Act exposure → </w:t>
      </w:r>
      <w:r>
        <w:rPr>
          <w:sz w:val="21"/>
          <w:szCs w:val="21"/>
        </w:rPr>
        <w:t xml:space="preserve">never in the certification chain; quantitative claims extracted verbatim only, never generated; client attestation + indemnity for client-supplied facts.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5. Category win-rate saturation → </w:t>
      </w:r>
      <w:r>
        <w:rPr>
          <w:sz w:val="21"/>
          <w:szCs w:val="21"/>
        </w:rPr>
        <w:t xml:space="preserve">we contract on controllable outcomes, not wins.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6. Model price / provider change → </w:t>
      </w:r>
      <w:r>
        <w:rPr>
          <w:sz w:val="21"/>
          <w:szCs w:val="21"/>
        </w:rPr>
        <w:t xml:space="preserve">router with a second provider warm; substitution plan for a price shock.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7. Competitive ARPA pressure → </w:t>
      </w:r>
      <w:r>
        <w:rPr>
          <w:sz w:val="21"/>
          <w:szCs w:val="21"/>
        </w:rPr>
        <w:t xml:space="preserve">planning case glides ARPA and CAC to conservative levels; $998k is the case where differentiation holds, with levers to defend it.</w:t>
      </w:r>
    </w:p>
    <w:p>
      <w:pPr>
        <w:pStyle w:val="Heading1"/>
        <w:spacing w:after="120" w:before="320"/>
      </w:pPr>
      <w:r>
        <w:rPr>
          <w:b/>
          <w:bCs/>
          <w:color w:val="1F3A5F"/>
          <w:sz w:val="30"/>
          <w:szCs w:val="30"/>
        </w:rPr>
        <w:t xml:space="preserve">12.  Why This Wins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The buyer already has the budget</w:t>
      </w:r>
      <w:r>
        <w:rPr>
          <w:sz w:val="21"/>
          <w:szCs w:val="21"/>
        </w:rPr>
        <w:t xml:space="preserve"> — B&amp;P is a recognized, pre-approved cost line. No category evangelism.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The work is exactly what AI is good at today</w:t>
      </w:r>
      <w:r>
        <w:rPr>
          <w:sz w:val="21"/>
          <w:szCs w:val="21"/>
        </w:rPr>
        <w:t xml:space="preserve"> — document-heavy, structured, with published evaluation criteria we can measure against.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A real moat compounds</w:t>
      </w:r>
      <w:r>
        <w:rPr>
          <w:sz w:val="21"/>
          <w:szCs w:val="21"/>
        </w:rPr>
        <w:t xml:space="preserve"> — each client’s indexed corpus and win/loss history make their drafts better over time and make switching costly.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The math fits the constraint</w:t>
      </w:r>
      <w:r>
        <w:rPr>
          <w:sz w:val="21"/>
          <w:szCs w:val="21"/>
        </w:rPr>
        <w:t xml:space="preserve"> — the only finalist of three whose worst-case year one fits inside $250k while its month-36 math stays in striking distance of $1M/mo net.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Built, not bought</w:t>
      </w:r>
      <w:r>
        <w:rPr>
          <w:sz w:val="21"/>
          <w:szCs w:val="21"/>
        </w:rPr>
        <w:t xml:space="preserve"> — product, GTM engine, partner network, and client base are all built from scratch. Zero acquisition dependence.</w:t>
      </w:r>
    </w:p>
    <w:p>
      <w:pPr>
        <w:pBdr>
          <w:bottom w:val="single" w:color="C9D6E3" w:sz="6" w:space="1"/>
        </w:pBdr>
        <w:spacing w:after="120" w:before="60"/>
      </w:pPr>
      <w:r>
        <w:t xml:space="preserve"/>
      </w:r>
    </w:p>
    <w:p>
      <w:pPr>
        <w:spacing w:before="80"/>
      </w:pPr>
      <w:r>
        <w:rPr>
          <w:i/>
          <w:iCs/>
          <w:color w:val="555555"/>
          <w:sz w:val="18"/>
          <w:szCs w:val="18"/>
        </w:rPr>
        <w:t xml:space="preserve">This overview was produced by a ten-agent adversarial planning team and certified “airtight” — internally consistent, arithmetically sound, and free of plan-breaking flaws as written — by an independent Lead Critic agent after two full revision rounds. “Airtight” certifies the integrity of the plan, not a guarantee of financial outcomes; execution risk is real and honestly modeled. Full diligence detail lives in the companion document, BUSINESS_BLUEPRINT.md.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RECOMPETE — Business Overview &amp; Execution Plan</dc:title>
  <dc:creator>RECOMPETE</dc:creator>
  <cp:lastModifiedBy>Un-named</cp:lastModifiedBy>
  <cp:revision>1</cp:revision>
  <dcterms:created xsi:type="dcterms:W3CDTF">2026-07-19T19:06:17.097Z</dcterms:created>
  <dcterms:modified xsi:type="dcterms:W3CDTF">2026-07-19T19:06:17.097Z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