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A1A1A"/>
          <w:sz w:val="64"/>
          <w:szCs w:val="64"/>
        </w:rPr>
        <w:t xml:space="preserve">O ENXOVAL</w:t>
      </w:r>
    </w:p>
    <w:p>
      <w:pPr>
        <w:pBdr>
          <w:bottom w:val="single" w:color="1A1A1A" w:sz="12" w:space="10"/>
        </w:pBdr>
        <w:spacing w:after="320"/>
      </w:pPr>
      <w:r>
        <w:rPr>
          <w:rFonts w:ascii="Calibri" w:cs="Calibri" w:eastAsia="Calibri" w:hAnsi="Calibri"/>
          <w:color w:val="5A5A5A"/>
          <w:sz w:val="28"/>
          <w:szCs w:val="28"/>
        </w:rPr>
        <w:t xml:space="preserve">A national newborn-kit supply desk</w:t>
      </w:r>
    </w:p>
    <w:p>
      <w:pPr>
        <w:spacing w:after="60" w:before="0" w:line="276"/>
      </w:pPr>
      <w:r>
        <w:rPr>
          <w:rFonts w:ascii="Calibri" w:cs="Calibri" w:eastAsia="Calibri" w:hAnsi="Calibri"/>
          <w:color w:val="1A1A1A"/>
          <w:sz w:val="21"/>
          <w:szCs w:val="21"/>
        </w:rPr>
        <w:t xml:space="preserve">Business plan — operating, financial and legal. </w:t>
      </w:r>
      <w:r>
        <w:rPr>
          <w:rFonts w:ascii="Calibri" w:cs="Calibri" w:eastAsia="Calibri" w:hAnsi="Calibri"/>
          <w:i/>
          <w:iCs/>
          <w:color w:val="5A5A5A"/>
          <w:sz w:val="21"/>
          <w:szCs w:val="21"/>
        </w:rPr>
        <w:t xml:space="preserve">Every figure measured at a primary source and dated.</w:t>
      </w:r>
    </w:p>
    <w:p>
      <w:pPr>
        <w:spacing w:after="420" w:before="0" w:line="276"/>
      </w:pPr>
      <w:r>
        <w:rPr>
          <w:rFonts w:ascii="Calibri" w:cs="Calibri" w:eastAsia="Calibri" w:hAnsi="Calibri"/>
          <w:color w:val="5A5A5A"/>
          <w:sz w:val="19"/>
          <w:szCs w:val="19"/>
        </w:rPr>
        <w:t xml:space="preserve">São Paulo · 12 September 2026</w:t>
      </w:r>
    </w:p>
    <w:tbl>
      <w:tblPr>
        <w:tblW w:type="dxa" w:w="9360"/>
        <w:tblBorders>
          <w:top w:val="single" w:color="C8C8C8" w:sz="2"/>
          <w:left w:val="single" w:color="1A1A1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100" w:before="0" w:line="276"/>
            </w:pPr>
            <w:r>
              <w:rPr>
                <w:rFonts w:ascii="Calibri" w:cs="Calibri" w:eastAsia="Calibri" w:hAnsi="Calibri"/>
                <w:b/>
                <w:bCs/>
                <w:color w:val="1A1A1A"/>
                <w:sz w:val="19"/>
                <w:szCs w:val="19"/>
              </w:rPr>
              <w:t xml:space="preserve">THE BUSINESS IN ONE PARAGRAPH</w:t>
            </w:r>
          </w:p>
          <w:p>
            <w:pPr>
              <w:spacing w:after="0" w:before="0" w:line="276"/>
            </w:pPr>
            <w:r>
              <w:rPr>
                <w:rFonts w:ascii="Calibri" w:cs="Calibri" w:eastAsia="Calibri" w:hAnsi="Calibri"/>
                <w:color w:val="1A1A1A"/>
                <w:sz w:val="19"/>
                <w:szCs w:val="19"/>
              </w:rPr>
              <w:t xml:space="preserve">One person in São Paulo supplies assembled newborn kits — banheira, manta, toalha, meias, sabonete, a garment block — to Brazilian municípios, by winning public tenders. A cron reads every tender the state publishes nationally, a filter decides which are worth bidding, a co-packer assembles, a carrier delivers, the município pays. She employs no one, holds no stock, and never touches a box. </w:t>
            </w:r>
            <w:r>
              <w:rPr>
                <w:rFonts w:ascii="Calibri" w:cs="Calibri" w:eastAsia="Calibri" w:hAnsi="Calibri"/>
                <w:b/>
                <w:bCs/>
                <w:color w:val="1A1A1A"/>
                <w:sz w:val="19"/>
                <w:szCs w:val="19"/>
              </w:rPr>
              <w:t xml:space="preserve">The business is not the kit. The business is knowing which tenders to bid.</w:t>
            </w:r>
          </w:p>
        </w:tc>
      </w:tr>
    </w:tbl>
    <w:p>
      <w:pPr>
        <w:spacing w:after="200"/>
      </w:pPr>
    </w:p>
    <w:p>
      <w:pPr>
        <w:spacing w:after="100" w:before="0" w:line="276"/>
      </w:pPr>
      <w:r>
        <w:rPr>
          <w:rFonts w:ascii="Calibri" w:cs="Calibri" w:eastAsia="Calibri" w:hAnsi="Calibri"/>
          <w:b/>
          <w:bCs/>
          <w:color w:val="1A1A1A"/>
          <w:sz w:val="19"/>
          <w:szCs w:val="19"/>
        </w:rPr>
        <w:t xml:space="preserve">THE WHOLE PLAN IN SEVEN NUMBERS</w:t>
      </w:r>
    </w:p>
    <w:tbl>
      <w:tblPr>
        <w:tblW w:type="dxa" w:w="9360"/>
        <w:tblBorders>
          <w:top w:val="single" w:color="C8C8C8" w:sz="4"/>
          <w:left w:val="none"/>
          <w:bottom w:val="single" w:color="C8C8C8" w:sz="4"/>
          <w:right w:val="none"/>
          <w:insideH w:val="single" w:color="C8C8C8" w:sz="2"/>
          <w:insideV w:val="none"/>
        </w:tblBorders>
      </w:tblPr>
      <w:tblGrid>
        <w:gridCol w:w="3400"/>
        <w:gridCol w:w="2900"/>
        <w:gridCol w:w="30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
            </w:r>
          </w:p>
        </w:tc>
      </w:tr>
      <w:tr>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Net take-home target</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US$2.000–2.500 / month</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R$10.407–13.009</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Billings required</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R$570–710k / year</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at 18–27% net</w:t>
            </w:r>
          </w:p>
        </w:tc>
      </w:tr>
      <w:tr>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Tender wins required</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12–23 per year</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of ~1.000 published</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Share of national market needed</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0,6 – 1,2%</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vs 15–25% underwritable</w:t>
            </w:r>
          </w:p>
        </w:tc>
      </w:tr>
      <w:tr>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Median kit sells for</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R$322 awarded</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R$414 estimated</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Working capital — recommended</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R$50.000</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R$43k needed, R$96k if unfiltered</w:t>
            </w:r>
          </w:p>
        </w:tc>
      </w:tr>
      <w:tr>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Cost to be able to bid nationally</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R$0</w:t>
            </w:r>
          </w:p>
        </w:tc>
        <w:tc>
          <w:tcPr>
            <w:tcW w:type="dxa" w:w="0"/>
            <w:tcMar>
              <w:top w:type="dxa" w:w="70"/>
              <w:left w:type="dxa" w:w="100"/>
              <w:bottom w:type="dxa" w:w="70"/>
              <w:right w:type="dxa" w:w="100"/>
            </w:tcMar>
          </w:tcPr>
          <w:p>
            <w:pPr>
              <w:spacing w:after="0" w:line="252"/>
            </w:pPr>
            <w:r>
              <w:rPr>
                <w:rFonts w:ascii="Calibri" w:cs="Calibri" w:eastAsia="Calibri" w:hAnsi="Calibri"/>
                <w:b w:val="false"/>
                <w:bCs w:val="false"/>
                <w:color w:val="1A1A1A"/>
                <w:sz w:val="17"/>
                <w:szCs w:val="17"/>
              </w:rPr>
              <w:t xml:space="preserve">five free registrations</w:t>
            </w:r>
          </w:p>
        </w:tc>
      </w:tr>
    </w:tbl>
    <w:p>
      <w:pPr>
        <w:spacing w:after="160"/>
      </w:pPr>
    </w:p>
    <w:p>
      <w:pPr>
        <w:spacing w:after="120" w:before="0" w:line="276"/>
      </w:pPr>
      <w:r>
        <w:rPr>
          <w:rFonts w:ascii="Calibri" w:cs="Calibri" w:eastAsia="Calibri" w:hAnsi="Calibri"/>
          <w:color w:val="5A5A5A"/>
          <w:sz w:val="18"/>
          <w:szCs w:val="18"/>
        </w:rPr>
        <w:t xml:space="preserve">Prepared against the constraint set on record: no employees and no contractors, ever; permanently faceless; never takes custody of a customer credential; roughly 87 hours a month. </w:t>
      </w:r>
      <w:r>
        <w:rPr>
          <w:rFonts w:ascii="Calibri" w:cs="Calibri" w:eastAsia="Calibri" w:hAnsi="Calibri"/>
          <w:b/>
          <w:bCs/>
          <w:color w:val="5A5A5A"/>
          <w:sz w:val="18"/>
          <w:szCs w:val="18"/>
        </w:rPr>
        <w:t xml:space="preserve">Nothing in this plan requires any of those to bend.</w:t>
      </w:r>
    </w:p>
    <w:p>
      <w:r>
        <w:br w:type="page"/>
      </w:r>
    </w:p>
    <w:p>
      <w:pPr>
        <w:pStyle w:val="Heading1"/>
        <w:spacing w:after="160" w:before="360"/>
      </w:pPr>
      <w:r>
        <w:rPr>
          <w:rFonts w:ascii="Calibri" w:cs="Calibri" w:eastAsia="Calibri" w:hAnsi="Calibri"/>
          <w:b/>
          <w:bCs/>
          <w:color w:val="1A1A1A"/>
          <w:sz w:val="30"/>
          <w:szCs w:val="30"/>
        </w:rPr>
        <w:t xml:space="preserve">1. The decision this plan asks you to make</w:t>
      </w:r>
    </w:p>
    <w:p>
      <w:pPr>
        <w:spacing w:after="120" w:before="0" w:line="276"/>
      </w:pPr>
      <w:r>
        <w:rPr>
          <w:rFonts w:ascii="Calibri" w:cs="Calibri" w:eastAsia="Calibri" w:hAnsi="Calibri"/>
          <w:color w:val="1A1A1A"/>
          <w:sz w:val="20"/>
          <w:szCs w:val="20"/>
        </w:rPr>
        <w:t xml:space="preserve">There are two newborn-kit businesses inside Brazilian public procurement and they are different businesses. The choice between them was made before this document — you said the main business is a kit business — so this plan builds that one. But the price of the choice should be visible on the first page, not buried.</w:t>
      </w:r>
    </w:p>
    <w:tbl>
      <w:tblPr>
        <w:tblW w:type="dxa" w:w="9360"/>
        <w:tblBorders>
          <w:top w:val="single" w:color="C8C8C8" w:sz="4"/>
          <w:left w:val="none"/>
          <w:bottom w:val="single" w:color="C8C8C8" w:sz="4"/>
          <w:right w:val="none"/>
          <w:insideH w:val="single" w:color="C8C8C8" w:sz="2"/>
          <w:insideV w:val="none"/>
        </w:tblBorders>
      </w:tblPr>
      <w:tblGrid>
        <w:gridCol w:w="2100"/>
        <w:gridCol w:w="3630"/>
        <w:gridCol w:w="363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ASSEMBLED KIT  (this plan)</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COMPONENT LINES  (not this plan)</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What the buyer buys</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One sealed, labelled kit per mother</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Body, fralda, toalha as separate lines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Who assembles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 co-packer, at her cost</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The município's own CRAS staff</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Tender type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Menor preço por LOTE / por KIT</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Menor preço POR ITEM</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Editais per year</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317</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684</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Market value (12 mo, est.)</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R$66,0 M</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R$168,3 M</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Can she drop-ship?</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 — the packaging clause forbids it</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Yes, entirely</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Working capital</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Higher</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Lower</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Margin at a R$150 ticket</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Negative after assembly</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Positive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Margin at a R$475 ticket</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18–28%</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n/a</w:t>
            </w:r>
          </w:p>
        </w:tc>
      </w:tr>
    </w:tbl>
    <w:p>
      <w:pPr>
        <w:spacing w:after="140"/>
      </w:pP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color w:val="1A1A1A"/>
                <w:sz w:val="19"/>
                <w:szCs w:val="19"/>
              </w:rPr>
              <w:t xml:space="preserve">The component market is 2,5× larger by value and structurally easier to serve. </w:t>
            </w:r>
            <w:r>
              <w:rPr>
                <w:rFonts w:ascii="Calibri" w:cs="Calibri" w:eastAsia="Calibri" w:hAnsi="Calibri"/>
                <w:b/>
                <w:bCs/>
                <w:color w:val="1A1A1A"/>
                <w:sz w:val="19"/>
                <w:szCs w:val="19"/>
              </w:rPr>
              <w:t xml:space="preserve">You are choosing the smaller, harder half.</w:t>
            </w:r>
            <w:r>
              <w:rPr>
                <w:rFonts w:ascii="Calibri" w:cs="Calibri" w:eastAsia="Calibri" w:hAnsi="Calibri"/>
                <w:color w:val="1A1A1A"/>
                <w:sz w:val="19"/>
                <w:szCs w:val="19"/>
              </w:rPr>
              <w:t xml:space="preserve"> That is a legitimate choice — the assembled kit is a product with a name, a buyer who receives something whole, and a path into private channels that component lines never have. It is stated here so it is a decision and not an accident.</w:t>
            </w:r>
          </w:p>
        </w:tc>
      </w:tr>
    </w:tbl>
    <w:p>
      <w:pPr>
        <w:spacing w:after="160"/>
      </w:pPr>
    </w:p>
    <w:p>
      <w:pPr>
        <w:pStyle w:val="Heading2"/>
        <w:spacing w:after="110" w:before="260"/>
      </w:pPr>
      <w:r>
        <w:rPr>
          <w:rFonts w:ascii="Calibri" w:cs="Calibri" w:eastAsia="Calibri" w:hAnsi="Calibri"/>
          <w:b/>
          <w:bCs/>
          <w:color w:val="1A1A1A"/>
          <w:sz w:val="23"/>
          <w:szCs w:val="23"/>
        </w:rPr>
        <w:t xml:space="preserve">What the assembled-kit choice forces</w:t>
      </w:r>
    </w:p>
    <w:p>
      <w:pPr>
        <w:spacing w:after="120" w:before="0" w:line="276"/>
      </w:pPr>
      <w:r>
        <w:rPr>
          <w:rFonts w:ascii="Calibri" w:cs="Calibri" w:eastAsia="Calibri" w:hAnsi="Calibri"/>
          <w:color w:val="1A1A1A"/>
          <w:sz w:val="20"/>
          <w:szCs w:val="20"/>
        </w:rPr>
        <w:t xml:space="preserve">Three consequences follow mechanically, and they shape everything after this page.</w:t>
      </w:r>
    </w:p>
    <w:p>
      <w:pPr>
        <w:pStyle w:val="ListParagraph"/>
        <w:numPr>
          <w:ilvl w:val="0"/>
          <w:numId w:val="2"/>
        </w:numPr>
        <w:spacing w:after="70" w:line="276"/>
      </w:pPr>
      <w:r>
        <w:rPr>
          <w:rFonts w:ascii="Calibri" w:cs="Calibri" w:eastAsia="Calibri" w:hAnsi="Calibri"/>
          <w:b/>
          <w:bCs/>
          <w:color w:val="1A1A1A"/>
          <w:sz w:val="20"/>
          <w:szCs w:val="20"/>
        </w:rPr>
        <w:t xml:space="preserve">A co-packer is structural, not optional. </w:t>
      </w:r>
      <w:r>
        <w:rPr>
          <w:rFonts w:ascii="Calibri" w:cs="Calibri" w:eastAsia="Calibri" w:hAnsi="Calibri"/>
          <w:color w:val="1A1A1A"/>
          <w:sz w:val="20"/>
          <w:szCs w:val="20"/>
        </w:rPr>
        <w:t xml:space="preserve">Rio Vermelho/MG's termo de referência: “O kit deverá ser entregue de forma completa e íntegra… sendo vedado à contratada o fornecimento parcial ou fracionado do conjunto” and “acondicionados em embalagem plástica, devidamente identificada”. A venda à ordem moves goods from one seller; a 19-item kit comes from six to ten. Six parcels arriving separately is the forbidden delivery.</w:t>
      </w:r>
    </w:p>
    <w:p>
      <w:pPr>
        <w:pStyle w:val="ListParagraph"/>
        <w:numPr>
          <w:ilvl w:val="0"/>
          <w:numId w:val="2"/>
        </w:numPr>
        <w:spacing w:after="70" w:line="276"/>
      </w:pPr>
      <w:r>
        <w:rPr>
          <w:rFonts w:ascii="Calibri" w:cs="Calibri" w:eastAsia="Calibri" w:hAnsi="Calibri"/>
          <w:b/>
          <w:bCs/>
          <w:color w:val="1A1A1A"/>
          <w:sz w:val="20"/>
          <w:szCs w:val="20"/>
        </w:rPr>
        <w:t xml:space="preserve">The ticket floor is about R$250–300. </w:t>
      </w:r>
      <w:r>
        <w:rPr>
          <w:rFonts w:ascii="Calibri" w:cs="Calibri" w:eastAsia="Calibri" w:hAnsi="Calibri"/>
          <w:color w:val="1A1A1A"/>
          <w:sz w:val="20"/>
          <w:szCs w:val="20"/>
        </w:rPr>
        <w:t xml:space="preserve">Assembly is a fixed cost per unit, so it is regressive: R$15 is 10% of a R$150 kit and 3% of a R$475 one. A cheap assembled kit dies the moment somebody else assembles it.</w:t>
      </w:r>
    </w:p>
    <w:p>
      <w:pPr>
        <w:pStyle w:val="ListParagraph"/>
        <w:numPr>
          <w:ilvl w:val="0"/>
          <w:numId w:val="2"/>
        </w:numPr>
        <w:spacing w:after="70" w:line="276"/>
      </w:pPr>
      <w:r>
        <w:rPr>
          <w:rFonts w:ascii="Calibri" w:cs="Calibri" w:eastAsia="Calibri" w:hAnsi="Calibri"/>
          <w:b/>
          <w:bCs/>
          <w:color w:val="1A1A1A"/>
          <w:sz w:val="20"/>
          <w:szCs w:val="20"/>
        </w:rPr>
        <w:t xml:space="preserve">Value density becomes a screen. </w:t>
      </w:r>
      <w:r>
        <w:rPr>
          <w:rFonts w:ascii="Calibri" w:cs="Calibri" w:eastAsia="Calibri" w:hAnsi="Calibri"/>
          <w:color w:val="1A1A1A"/>
          <w:sz w:val="20"/>
          <w:szCs w:val="20"/>
        </w:rPr>
        <w:t xml:space="preserve">Freight prices per litre, not per kilo. Below roughly R$8 of kit value per packed litre the Northeast becomes unbiddable from São Paulo.</w:t>
      </w:r>
    </w:p>
    <w:p>
      <w:r>
        <w:br w:type="page"/>
      </w:r>
    </w:p>
    <w:p>
      <w:pPr>
        <w:pStyle w:val="Heading1"/>
        <w:spacing w:after="160" w:before="360"/>
      </w:pPr>
      <w:r>
        <w:rPr>
          <w:rFonts w:ascii="Calibri" w:cs="Calibri" w:eastAsia="Calibri" w:hAnsi="Calibri"/>
          <w:b/>
          <w:bCs/>
          <w:color w:val="1A1A1A"/>
          <w:sz w:val="30"/>
          <w:szCs w:val="30"/>
        </w:rPr>
        <w:t xml:space="preserve">2. The bar — what this has to produce</w:t>
      </w:r>
    </w:p>
    <w:p>
      <w:pPr>
        <w:spacing w:after="120" w:before="0" w:line="276"/>
      </w:pPr>
      <w:r>
        <w:rPr>
          <w:rFonts w:ascii="Calibri" w:cs="Calibri" w:eastAsia="Calibri" w:hAnsi="Calibri"/>
          <w:color w:val="1A1A1A"/>
          <w:sz w:val="20"/>
          <w:szCs w:val="20"/>
        </w:rPr>
        <w:t xml:space="preserve">Working backwards from the target rather than forwards from an aspiration. PTAX 5,2037.</w:t>
      </w:r>
    </w:p>
    <w:tbl>
      <w:tblPr>
        <w:tblW w:type="dxa" w:w="9360"/>
        <w:tblBorders>
          <w:top w:val="single" w:color="C8C8C8" w:sz="4"/>
          <w:left w:val="none"/>
          <w:bottom w:val="single" w:color="C8C8C8" w:sz="4"/>
          <w:right w:val="none"/>
          <w:insideH w:val="single" w:color="C8C8C8" w:sz="2"/>
          <w:insideV w:val="none"/>
        </w:tblBorders>
      </w:tblPr>
      <w:tblGrid>
        <w:gridCol w:w="2500"/>
        <w:gridCol w:w="2400"/>
        <w:gridCol w:w="2300"/>
        <w:gridCol w:w="21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Net margin scenario</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Billings / month</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Billings / year</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Wins per year at R$52k</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Pessimistic — 18%</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R$57.800 – 72.300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R$694 – 867k</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13 – 17</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Central — 22%</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R$47.300 – 59.100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R$568 – 710k</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11 – 14</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Good — 27%</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R$38.500 – 48.200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R$463 – 578k</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 – 11</w:t>
            </w:r>
          </w:p>
        </w:tc>
      </w:tr>
    </w:tbl>
    <w:p>
      <w:pPr>
        <w:spacing w:after="140"/>
      </w:pPr>
    </w:p>
    <w:p>
      <w:pPr>
        <w:spacing w:after="120" w:before="0" w:line="276"/>
      </w:pPr>
      <w:r>
        <w:rPr>
          <w:rFonts w:ascii="Calibri" w:cs="Calibri" w:eastAsia="Calibri" w:hAnsi="Calibri"/>
          <w:color w:val="1A1A1A"/>
          <w:sz w:val="20"/>
          <w:szCs w:val="20"/>
        </w:rPr>
        <w:t xml:space="preserve">The margin band is not assumed. It is three real homologated lots priced end to end from published wholesale: Itapetininga/SP +21,6%, Feira de Santana/BA +30,8%, and Saloá/PE −3,1%. The loser is instructive and appears again in §6 — it was an 18-item </w:t>
      </w:r>
      <w:r>
        <w:rPr>
          <w:rFonts w:ascii="Calibri" w:cs="Calibri" w:eastAsia="Calibri" w:hAnsi="Calibri"/>
          <w:i/>
          <w:iCs/>
          <w:color w:val="1A1A1A"/>
          <w:sz w:val="20"/>
          <w:szCs w:val="20"/>
        </w:rPr>
        <w:t xml:space="preserve">kit completo</w:t>
      </w:r>
      <w:r>
        <w:rPr>
          <w:rFonts w:ascii="Calibri" w:cs="Calibri" w:eastAsia="Calibri" w:hAnsi="Calibri"/>
          <w:color w:val="1A1A1A"/>
          <w:sz w:val="20"/>
          <w:szCs w:val="20"/>
        </w:rPr>
        <w:t xml:space="preserve">.</w:t>
      </w:r>
    </w:p>
    <w:p>
      <w:pPr>
        <w:spacing w:after="60"/>
      </w:pPr>
    </w:p>
    <w:tbl>
      <w:tblPr>
        <w:tblW w:type="dxa" w:w="9360"/>
        <w:tblBorders>
          <w:top w:val="single" w:color="C8C8C8" w:sz="2"/>
          <w:left w:val="single" w:color="1F5C3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So the whole business is roughly twelve to twenty wins a year. </w:t>
            </w:r>
            <w:r>
              <w:rPr>
                <w:rFonts w:ascii="Calibri" w:cs="Calibri" w:eastAsia="Calibri" w:hAnsi="Calibri"/>
                <w:color w:val="1A1A1A"/>
                <w:sz w:val="19"/>
                <w:szCs w:val="19"/>
              </w:rPr>
              <w:t xml:space="preserve">Not a hundred customers, not a subscription base, not an audience. Twelve to twenty times a year a município accepts her price. Everything in this plan exists to raise the hit rate on that number and to make sure the ones she wins are the ones worth winning.</w:t>
            </w:r>
          </w:p>
        </w:tc>
      </w:tr>
    </w:tbl>
    <w:p>
      <w:pPr>
        <w:spacing w:after="160"/>
      </w:pPr>
    </w:p>
    <w:p>
      <w:pPr>
        <w:pStyle w:val="Heading2"/>
        <w:spacing w:after="110" w:before="260"/>
      </w:pPr>
      <w:r>
        <w:rPr>
          <w:rFonts w:ascii="Calibri" w:cs="Calibri" w:eastAsia="Calibri" w:hAnsi="Calibri"/>
          <w:b/>
          <w:bCs/>
          <w:color w:val="1A1A1A"/>
          <w:sz w:val="23"/>
          <w:szCs w:val="23"/>
        </w:rPr>
        <w:t xml:space="preserve">The tax line, exactly</w:t>
      </w:r>
    </w:p>
    <w:p>
      <w:pPr>
        <w:spacing w:after="120" w:before="0" w:line="276"/>
      </w:pPr>
      <w:r>
        <w:rPr>
          <w:rFonts w:ascii="Calibri" w:cs="Calibri" w:eastAsia="Calibri" w:hAnsi="Calibri"/>
          <w:color w:val="1A1A1A"/>
          <w:sz w:val="20"/>
          <w:szCs w:val="20"/>
        </w:rPr>
        <w:t xml:space="preserve">Simples Nacional, Anexo I (comércio), computed from the statute — effective rate = (RBT12 × alíquota − parcela a deduzir) ÷ RBT12. Everything is inside the DAS: IRPJ, CSLL, PIS, COFINS, CPP and ICMS.</w:t>
      </w:r>
    </w:p>
    <w:tbl>
      <w:tblPr>
        <w:tblW w:type="dxa" w:w="9360"/>
        <w:tblBorders>
          <w:top w:val="single" w:color="C8C8C8" w:sz="4"/>
          <w:left w:val="none"/>
          <w:bottom w:val="single" w:color="C8C8C8" w:sz="4"/>
          <w:right w:val="none"/>
          <w:insideH w:val="single" w:color="C8C8C8" w:sz="2"/>
          <w:insideV w:val="none"/>
        </w:tblBorders>
      </w:tblPr>
      <w:tblGrid>
        <w:gridCol w:w="2100"/>
        <w:gridCol w:w="1700"/>
        <w:gridCol w:w="1900"/>
        <w:gridCol w:w="1900"/>
        <w:gridCol w:w="17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Revenue (RBT12)</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Nominal</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Deduction</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Effective rate</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DAS / year</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R$180.000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4,000%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R$7.200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R$360.000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7,30%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R$5.940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5,650%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R$20.340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R$500.000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9,50%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R$13.860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6,728%</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R$33.640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R$720.000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9,50%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R$13.860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7,575%</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R$54.540</w:t>
            </w:r>
          </w:p>
        </w:tc>
      </w:tr>
    </w:tbl>
    <w:p>
      <w:pPr>
        <w:spacing w:after="120"/>
      </w:pPr>
    </w:p>
    <w:p>
      <w:pPr>
        <w:spacing w:after="120" w:before="0" w:line="276"/>
      </w:pPr>
      <w:r>
        <w:rPr>
          <w:rFonts w:ascii="Calibri" w:cs="Calibri" w:eastAsia="Calibri" w:hAnsi="Calibri"/>
          <w:color w:val="1A1A1A"/>
          <w:sz w:val="19"/>
          <w:szCs w:val="19"/>
        </w:rPr>
        <w:t xml:space="preserve">Two things that would have been in the model and are not, both verified this week: </w:t>
      </w:r>
      <w:r>
        <w:rPr>
          <w:rFonts w:ascii="Calibri" w:cs="Calibri" w:eastAsia="Calibri" w:hAnsi="Calibri"/>
          <w:b/>
          <w:bCs/>
          <w:color w:val="1A1A1A"/>
          <w:sz w:val="19"/>
          <w:szCs w:val="19"/>
        </w:rPr>
        <w:t xml:space="preserve">ICMS-ST is zero</w:t>
      </w:r>
      <w:r>
        <w:rPr>
          <w:rFonts w:ascii="Calibri" w:cs="Calibri" w:eastAsia="Calibri" w:hAnsi="Calibri"/>
          <w:color w:val="1A1A1A"/>
          <w:sz w:val="19"/>
          <w:szCs w:val="19"/>
        </w:rPr>
        <w:t xml:space="preserve"> on every likely kit component in São Paulo — Portaria SRE 94/25 revoked Anexo XI (fraldas, sabonete, shampoo, mamadeiras) from 1 April 2026 and SRE 64/25 revoked Anexo XX (banheiras, baldes) from 1 January; textiles were never in the SP regime at all. And </w:t>
      </w:r>
      <w:r>
        <w:rPr>
          <w:rFonts w:ascii="Calibri" w:cs="Calibri" w:eastAsia="Calibri" w:hAnsi="Calibri"/>
          <w:b/>
          <w:bCs/>
          <w:color w:val="1A1A1A"/>
          <w:sz w:val="19"/>
          <w:szCs w:val="19"/>
        </w:rPr>
        <w:t xml:space="preserve">there is no outbound DIFAL</w:t>
      </w:r>
      <w:r>
        <w:rPr>
          <w:rFonts w:ascii="Calibri" w:cs="Calibri" w:eastAsia="Calibri" w:hAnsi="Calibri"/>
          <w:color w:val="1A1A1A"/>
          <w:sz w:val="19"/>
          <w:szCs w:val="19"/>
        </w:rPr>
        <w:t xml:space="preserve"> for a Simples optante selling to a município in another state (ADI 5469; SEFAZ-SP RC 26939/2022). The wholesaler warnings still printed on product pages are months out of date.</w:t>
      </w:r>
    </w:p>
    <w:p>
      <w:pPr>
        <w:spacing w:after="60"/>
      </w:pP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But buy in São Paulo, always. </w:t>
            </w:r>
            <w:r>
              <w:rPr>
                <w:rFonts w:ascii="Calibri" w:cs="Calibri" w:eastAsia="Calibri" w:hAnsi="Calibri"/>
                <w:color w:val="1A1A1A"/>
                <w:sz w:val="19"/>
                <w:szCs w:val="19"/>
              </w:rPr>
              <w:t xml:space="preserve">The identical goods from a Minas or Santa Catarina wholesaler cost six percentage points of COGS more, permanently, because the symbolic entry in a venda à ordem still triggers the LC 123 art. 13 §1º XIII “h” differential (RC 24046/2021). That is a supplier-selection rule worth more than any negotiation she could run.</w:t>
            </w:r>
          </w:p>
        </w:tc>
      </w:tr>
    </w:tbl>
    <w:p>
      <w:r>
        <w:br w:type="page"/>
      </w:r>
    </w:p>
    <w:p>
      <w:pPr>
        <w:pStyle w:val="Heading1"/>
        <w:spacing w:after="160" w:before="360"/>
      </w:pPr>
      <w:r>
        <w:rPr>
          <w:rFonts w:ascii="Calibri" w:cs="Calibri" w:eastAsia="Calibri" w:hAnsi="Calibri"/>
          <w:b/>
          <w:bCs/>
          <w:color w:val="1A1A1A"/>
          <w:sz w:val="30"/>
          <w:szCs w:val="30"/>
        </w:rPr>
        <w:t xml:space="preserve">3. The market, measured</w:t>
      </w:r>
    </w:p>
    <w:p>
      <w:pPr>
        <w:spacing w:after="120" w:before="0" w:line="276"/>
      </w:pPr>
      <w:r>
        <w:rPr>
          <w:rFonts w:ascii="Calibri" w:cs="Calibri" w:eastAsia="Calibri" w:hAnsi="Calibri"/>
          <w:color w:val="1A1A1A"/>
          <w:sz w:val="20"/>
          <w:szCs w:val="20"/>
        </w:rPr>
        <w:t xml:space="preserve">Twelve months to 12 September 2026. Built from PNCP's own public APIs: 7.376 unique editais harvested, 1.012 strictly classified as newborn-kit, 12.500 item records downloaded, 7.559 award records deduplicated, 452 contracts matched to named suppliers, and 222 complete edital-plus-termo-de-referência PDFs read.</w:t>
      </w:r>
    </w:p>
    <w:tbl>
      <w:tblPr>
        <w:tblW w:type="dxa" w:w="9360"/>
        <w:tblBorders>
          <w:top w:val="single" w:color="C8C8C8" w:sz="4"/>
          <w:left w:val="none"/>
          <w:bottom w:val="single" w:color="C8C8C8" w:sz="4"/>
          <w:right w:val="none"/>
          <w:insideH w:val="single" w:color="C8C8C8" w:sz="2"/>
          <w:insideV w:val="none"/>
        </w:tblBorders>
      </w:tblPr>
      <w:tblGrid>
        <w:gridCol w:w="2200"/>
        <w:gridCol w:w="1400"/>
        <w:gridCol w:w="1900"/>
        <w:gridCol w:w="1700"/>
        <w:gridCol w:w="21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Esfera</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Editais</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Estimated</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With award</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Homologated</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Municipal</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979</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R$103,2 M</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502</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R$47,9 M</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Consórcio</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R$7,8 M</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R$9,0 M</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Estadual / DF</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6</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R$7,2 M</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R$2,3 M</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Federal</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TOTAL</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1.012</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R$118,2 M</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507</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R$59,1 M</w:t>
            </w:r>
          </w:p>
        </w:tc>
      </w:tr>
    </w:tbl>
    <w:p>
      <w:pPr>
        <w:spacing w:after="130"/>
      </w:pPr>
    </w:p>
    <w:p>
      <w:pPr>
        <w:spacing w:after="120" w:before="0" w:line="276"/>
      </w:pPr>
      <w:r>
        <w:rPr>
          <w:rFonts w:ascii="Calibri" w:cs="Calibri" w:eastAsia="Calibri" w:hAnsi="Calibri"/>
          <w:color w:val="1A1A1A"/>
          <w:sz w:val="20"/>
          <w:szCs w:val="20"/>
        </w:rPr>
        <w:t xml:space="preserve">699 distinct buying municípios. 648 distinct órgãos. About four kit editais published every working day, flat across the year — there is no season to plan around.</w:t>
      </w:r>
    </w:p>
    <w:p>
      <w:pPr>
        <w:pStyle w:val="Heading2"/>
        <w:spacing w:after="110" w:before="260"/>
      </w:pPr>
      <w:r>
        <w:rPr>
          <w:rFonts w:ascii="Calibri" w:cs="Calibri" w:eastAsia="Calibri" w:hAnsi="Calibri"/>
          <w:b/>
          <w:bCs/>
          <w:color w:val="1A1A1A"/>
          <w:sz w:val="23"/>
          <w:szCs w:val="23"/>
        </w:rPr>
        <w:t xml:space="preserve">The assembled-kit half</w:t>
      </w:r>
    </w:p>
    <w:p>
      <w:pPr>
        <w:spacing w:after="120" w:before="0" w:line="276"/>
      </w:pPr>
      <w:r>
        <w:rPr>
          <w:rFonts w:ascii="Calibri" w:cs="Calibri" w:eastAsia="Calibri" w:hAnsi="Calibri"/>
          <w:color w:val="1A1A1A"/>
          <w:sz w:val="20"/>
          <w:szCs w:val="20"/>
        </w:rPr>
        <w:t xml:space="preserve">Of the 1.012, </w:t>
      </w:r>
      <w:r>
        <w:rPr>
          <w:rFonts w:ascii="Calibri" w:cs="Calibri" w:eastAsia="Calibri" w:hAnsi="Calibri"/>
          <w:b/>
          <w:bCs/>
          <w:color w:val="1A1A1A"/>
          <w:sz w:val="20"/>
          <w:szCs w:val="20"/>
        </w:rPr>
        <w:t xml:space="preserve">317 are assembled-kit tenders</w:t>
      </w:r>
      <w:r>
        <w:rPr>
          <w:rFonts w:ascii="Calibri" w:cs="Calibri" w:eastAsia="Calibri" w:hAnsi="Calibri"/>
          <w:color w:val="1A1A1A"/>
          <w:sz w:val="20"/>
          <w:szCs w:val="20"/>
        </w:rPr>
        <w:t xml:space="preserve"> (29,6% by count, ~26% by value), 684 are component tenders and 70 are mixed. The split was validated against the buyers' own language: 20% of component objetos explicitly say the buyer assembles ("itens destinados à composição de kit…") against 2% of assembled ones.</w:t>
      </w:r>
    </w:p>
    <w:tbl>
      <w:tblPr>
        <w:tblW w:type="dxa" w:w="9360"/>
        <w:tblBorders>
          <w:top w:val="single" w:color="C8C8C8" w:sz="4"/>
          <w:left w:val="none"/>
          <w:bottom w:val="single" w:color="C8C8C8" w:sz="4"/>
          <w:right w:val="none"/>
          <w:insideH w:val="single" w:color="C8C8C8" w:sz="2"/>
          <w:insideV w:val="none"/>
        </w:tblBorders>
      </w:tblPr>
      <w:tblGrid>
        <w:gridCol w:w="5400"/>
        <w:gridCol w:w="39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Assembled-kit economics</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Value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Editais per year</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317</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Median edital — estimated</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R$64.019</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Median edital — homologated</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R$52.500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Median kit unit — estimated</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R$414</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Median kit unit — awarded</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R$240 – 322</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Median kits per line</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150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Kits bought per year (priced lines)</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~103.000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Haircut, awarded ÷ estimated</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0,74 – 0,79</w:t>
            </w:r>
          </w:p>
        </w:tc>
      </w:tr>
    </w:tbl>
    <w:p>
      <w:pPr>
        <w:spacing w:after="130"/>
      </w:pPr>
    </w:p>
    <w:p>
      <w:pPr>
        <w:spacing w:after="120" w:before="0" w:line="276"/>
      </w:pPr>
      <w:r>
        <w:rPr>
          <w:rFonts w:ascii="Calibri" w:cs="Calibri" w:eastAsia="Calibri" w:hAnsi="Calibri"/>
          <w:color w:val="1A1A1A"/>
          <w:sz w:val="19"/>
          <w:szCs w:val="19"/>
        </w:rPr>
        <w:t xml:space="preserve">The awarded unit price is given as a band because two independent classifiers measured it separately and disagreed slightly — R$322 on one sample of 189 lines, R$239,80 on another of 183. Both are reported rather than averaged. </w:t>
      </w:r>
      <w:r>
        <w:rPr>
          <w:rFonts w:ascii="Calibri" w:cs="Calibri" w:eastAsia="Calibri" w:hAnsi="Calibri"/>
          <w:b/>
          <w:bCs/>
          <w:color w:val="1A1A1A"/>
          <w:sz w:val="19"/>
          <w:szCs w:val="19"/>
        </w:rPr>
        <w:t xml:space="preserve">Price against the awarded figure and never against the estimate:</w:t>
      </w:r>
      <w:r>
        <w:rPr>
          <w:rFonts w:ascii="Calibri" w:cs="Calibri" w:eastAsia="Calibri" w:hAnsi="Calibri"/>
          <w:color w:val="1A1A1A"/>
          <w:sz w:val="19"/>
          <w:szCs w:val="19"/>
        </w:rPr>
        <w:t xml:space="preserve"> the haircut has now been measured three times on three samples and lands at 0,74–0,79 every time.</w:t>
      </w:r>
    </w:p>
    <w:p>
      <w:pPr>
        <w:spacing w:after="60"/>
      </w:pP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color w:val="1A1A1A"/>
                <w:sz w:val="19"/>
                <w:szCs w:val="19"/>
              </w:rPr>
              <w:t xml:space="preserve">One number in the raw data is excluded from everything above and should be, </w:t>
            </w:r>
            <w:r>
              <w:rPr>
                <w:rFonts w:ascii="Calibri" w:cs="Calibri" w:eastAsia="Calibri" w:hAnsi="Calibri"/>
                <w:i/>
                <w:iCs/>
                <w:color w:val="1A1A1A"/>
                <w:sz w:val="19"/>
                <w:szCs w:val="19"/>
              </w:rPr>
              <w:t xml:space="preserve">but it is worth seeing. </w:t>
            </w:r>
            <w:r>
              <w:rPr>
                <w:rFonts w:ascii="Calibri" w:cs="Calibri" w:eastAsia="Calibri" w:hAnsi="Calibri"/>
                <w:color w:val="1A1A1A"/>
                <w:sz w:val="19"/>
                <w:szCs w:val="19"/>
              </w:rPr>
              <w:t xml:space="preserve">Manaus/AM published a single line of 200.000 kits, homologated at R$100.000.000 — 69% of the entire assembled-kit market on its own, and implausible against Amazonas' birth rate. It is real on PNCP and not independently verified against a contract. Using the unfiltered figure would have made this market look like R$212 M. It is R$66 M.</w:t>
            </w:r>
          </w:p>
        </w:tc>
      </w:tr>
    </w:tbl>
    <w:p>
      <w:pPr>
        <w:spacing w:after="150"/>
      </w:pPr>
    </w:p>
    <w:p>
      <w:pPr>
        <w:pStyle w:val="Heading2"/>
        <w:spacing w:after="110" w:before="260"/>
      </w:pPr>
      <w:r>
        <w:rPr>
          <w:rFonts w:ascii="Calibri" w:cs="Calibri" w:eastAsia="Calibri" w:hAnsi="Calibri"/>
          <w:b/>
          <w:bCs/>
          <w:color w:val="1A1A1A"/>
          <w:sz w:val="23"/>
          <w:szCs w:val="23"/>
        </w:rPr>
        <w:t xml:space="preserve">What a kit contains</w:t>
      </w:r>
    </w:p>
    <w:p>
      <w:pPr>
        <w:spacing w:after="120" w:before="0" w:line="276"/>
      </w:pPr>
      <w:r>
        <w:rPr>
          <w:rFonts w:ascii="Calibri" w:cs="Calibri" w:eastAsia="Calibri" w:hAnsi="Calibri"/>
          <w:color w:val="1A1A1A"/>
          <w:sz w:val="20"/>
          <w:szCs w:val="20"/>
        </w:rPr>
        <w:t xml:space="preserve">182 distinct kit specifications were read. Median 12 article families per kit. This is the canonical bill of materials, and it is what she should hold quotes against.</w:t>
      </w:r>
    </w:p>
    <w:tbl>
      <w:tblPr>
        <w:tblW w:type="dxa" w:w="9360"/>
        <w:tblBorders>
          <w:top w:val="single" w:color="C8C8C8" w:sz="4"/>
          <w:left w:val="none"/>
          <w:bottom w:val="single" w:color="C8C8C8" w:sz="4"/>
          <w:right w:val="none"/>
          <w:insideH w:val="single" w:color="C8C8C8" w:sz="2"/>
          <w:insideV w:val="none"/>
        </w:tblBorders>
      </w:tblPr>
      <w:tblGrid>
        <w:gridCol w:w="2000"/>
        <w:gridCol w:w="1300"/>
        <w:gridCol w:w="1100"/>
        <w:gridCol w:w="2600"/>
        <w:gridCol w:w="23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Article</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In % of kits</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Typical qty</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Article</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In % of kits</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Banheira 20–30 L</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70,9%</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Cueiro</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44,5%</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Cobertor / manta</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70,3%</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Body</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43,4%</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Meia / sapatinho</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69,8%</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Conjunto / saída</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40,1%</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Toalha com capuz</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68,7%</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Pente + escova</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37,4%</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Sabonete</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68,1%</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Shampoo · pagão</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35,2%</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Mijão / culote</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52,7%</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Fralda de pano</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32,4%</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Bolsa maternidade</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48,4%</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Mamadeira</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31,9%</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Macacão</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47,3%</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Pomada de assadura</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28,0%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Fralda descartável</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45,1%</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 pack</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Luva · lenço umedecido</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26–28%</w:t>
            </w:r>
          </w:p>
        </w:tc>
      </w:tr>
    </w:tbl>
    <w:p>
      <w:pPr>
        <w:spacing w:after="130"/>
      </w:pPr>
    </w:p>
    <w:p>
      <w:pPr>
        <w:spacing w:after="120" w:before="0" w:line="276"/>
      </w:pPr>
      <w:r>
        <w:rPr>
          <w:rFonts w:ascii="Calibri" w:cs="Calibri" w:eastAsia="Calibri" w:hAnsi="Calibri"/>
          <w:color w:val="1A1A1A"/>
          <w:sz w:val="19"/>
          <w:szCs w:val="19"/>
        </w:rPr>
        <w:t xml:space="preserve">Read it as a five-item spine at ~70% penetration — banheira, manta, toalha, meias, sabonete — plus a garment block at 35–53% and a hygiene block at 26–37%. </w:t>
      </w:r>
      <w:r>
        <w:rPr>
          <w:rFonts w:ascii="Calibri" w:cs="Calibri" w:eastAsia="Calibri" w:hAnsi="Calibri"/>
          <w:b/>
          <w:bCs/>
          <w:color w:val="1A1A1A"/>
          <w:sz w:val="19"/>
          <w:szCs w:val="19"/>
        </w:rPr>
        <w:t xml:space="preserve">Mamadeiras and chupetas appear in ~32% and ~6% of kits and should be avoided in her own SKU set:</w:t>
      </w:r>
      <w:r>
        <w:rPr>
          <w:rFonts w:ascii="Calibri" w:cs="Calibri" w:eastAsia="Calibri" w:hAnsi="Calibri"/>
          <w:color w:val="1A1A1A"/>
          <w:sz w:val="19"/>
          <w:szCs w:val="19"/>
        </w:rPr>
        <w:t xml:space="preserve"> they are the only components requiring Inmetro certification (Portaria 490/2014). Textiles need labelling only (Portaria 118/2021) and rigid baths are uncertified — Portaria 563/2016 covers inflatable baths only.</w:t>
      </w:r>
    </w:p>
    <w:p>
      <w:pPr>
        <w:pStyle w:val="Heading3"/>
        <w:spacing w:after="90" w:before="200"/>
      </w:pPr>
      <w:r>
        <w:rPr>
          <w:rFonts w:ascii="Calibri" w:cs="Calibri" w:eastAsia="Calibri" w:hAnsi="Calibri"/>
          <w:b/>
          <w:bCs/>
          <w:color w:val="5A5A5A"/>
          <w:sz w:val="20"/>
          <w:szCs w:val="20"/>
        </w:rPr>
        <w:t xml:space="preserve">And the finding that keeps this market physical</w:t>
      </w:r>
    </w:p>
    <w:p>
      <w:pPr>
        <w:spacing w:after="120" w:before="0" w:line="276"/>
      </w:pPr>
      <w:r>
        <w:rPr>
          <w:rFonts w:ascii="Calibri" w:cs="Calibri" w:eastAsia="Calibri" w:hAnsi="Calibri"/>
          <w:color w:val="1A1A1A"/>
          <w:sz w:val="20"/>
          <w:szCs w:val="20"/>
        </w:rPr>
        <w:t xml:space="preserve">Only 4 of 1.072 relevant editais — </w:t>
      </w:r>
      <w:r>
        <w:rPr>
          <w:rFonts w:ascii="Calibri" w:cs="Calibri" w:eastAsia="Calibri" w:hAnsi="Calibri"/>
          <w:b/>
          <w:bCs/>
          <w:color w:val="1A1A1A"/>
          <w:sz w:val="20"/>
          <w:szCs w:val="20"/>
        </w:rPr>
        <w:t xml:space="preserve">0,4%</w:t>
      </w:r>
      <w:r>
        <w:rPr>
          <w:rFonts w:ascii="Calibri" w:cs="Calibri" w:eastAsia="Calibri" w:hAnsi="Calibri"/>
          <w:color w:val="1A1A1A"/>
          <w:sz w:val="20"/>
          <w:szCs w:val="20"/>
        </w:rPr>
        <w:t xml:space="preserve"> — buy a prepaid card instead of the goods. That is the exact inverse of the private employer channel, where the same obligation is routinely discharged with a R$450–600 gift card. The statutory in-kind </w:t>
      </w:r>
      <w:r>
        <w:rPr>
          <w:rFonts w:ascii="Calibri" w:cs="Calibri" w:eastAsia="Calibri" w:hAnsi="Calibri"/>
          <w:i/>
          <w:iCs/>
          <w:color w:val="1A1A1A"/>
          <w:sz w:val="20"/>
          <w:szCs w:val="20"/>
        </w:rPr>
        <w:t xml:space="preserve">benefício eventual</w:t>
      </w:r>
      <w:r>
        <w:rPr>
          <w:rFonts w:ascii="Calibri" w:cs="Calibri" w:eastAsia="Calibri" w:hAnsi="Calibri"/>
          <w:color w:val="1A1A1A"/>
          <w:sz w:val="20"/>
          <w:szCs w:val="20"/>
        </w:rPr>
        <w:t xml:space="preserve"> is what protects this market from being replaced by money, and it is the single best structural reason the public leg is the business and the private leg is only a bridge.</w:t>
      </w:r>
    </w:p>
    <w:p>
      <w:r>
        <w:br w:type="page"/>
      </w:r>
    </w:p>
    <w:p>
      <w:pPr>
        <w:pStyle w:val="Heading1"/>
        <w:spacing w:after="160" w:before="360"/>
      </w:pPr>
      <w:r>
        <w:rPr>
          <w:rFonts w:ascii="Calibri" w:cs="Calibri" w:eastAsia="Calibri" w:hAnsi="Calibri"/>
          <w:b/>
          <w:bCs/>
          <w:color w:val="1A1A1A"/>
          <w:sz w:val="30"/>
          <w:szCs w:val="30"/>
        </w:rPr>
        <w:t xml:space="preserve">4. The competition, named</w:t>
      </w: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This section replaces the thesis this plan was originally built on. </w:t>
            </w:r>
            <w:r>
              <w:rPr>
                <w:rFonts w:ascii="Calibri" w:cs="Calibri" w:eastAsia="Calibri" w:hAnsi="Calibri"/>
                <w:color w:val="1A1A1A"/>
                <w:sz w:val="19"/>
                <w:szCs w:val="19"/>
              </w:rPr>
              <w:t xml:space="preserve">The idea was that 95% of winners never leave their home state, so a national desk is white space. The first half is true. The second half is false, and it is better to know now than in her first disputa.</w:t>
            </w:r>
          </w:p>
        </w:tc>
      </w:tr>
    </w:tbl>
    <w:p>
      <w:pPr>
        <w:spacing w:after="150"/>
      </w:pPr>
    </w:p>
    <w:p>
      <w:pPr>
        <w:spacing w:after="120" w:before="0" w:line="276"/>
      </w:pPr>
      <w:r>
        <w:rPr>
          <w:rFonts w:ascii="Calibri" w:cs="Calibri" w:eastAsia="Calibri" w:hAnsi="Calibri"/>
          <w:color w:val="1A1A1A"/>
          <w:sz w:val="20"/>
          <w:szCs w:val="20"/>
        </w:rPr>
        <w:t xml:space="preserve">451 distinct firms won newborn-kit awards in twelve months. 92,2% of them won in exactly one state, and 78,5% won exactly one edital all year. But the headcount hides the money: </w:t>
      </w:r>
      <w:r>
        <w:rPr>
          <w:rFonts w:ascii="Calibri" w:cs="Calibri" w:eastAsia="Calibri" w:hAnsi="Calibri"/>
          <w:b/>
          <w:bCs/>
          <w:color w:val="1A1A1A"/>
          <w:sz w:val="20"/>
          <w:szCs w:val="20"/>
        </w:rPr>
        <w:t xml:space="preserve">multi-state firms are 7,8% of winners and take 33,6% of the value.</w:t>
      </w:r>
    </w:p>
    <w:p>
      <w:pPr>
        <w:spacing w:after="60"/>
      </w:pPr>
    </w:p>
    <w:tbl>
      <w:tblPr>
        <w:tblW w:type="dxa" w:w="9360"/>
        <w:tblBorders>
          <w:top w:val="single" w:color="C8C8C8" w:sz="4"/>
          <w:left w:val="none"/>
          <w:bottom w:val="single" w:color="C8C8C8" w:sz="4"/>
          <w:right w:val="none"/>
          <w:insideH w:val="single" w:color="C8C8C8" w:sz="2"/>
          <w:insideV w:val="none"/>
        </w:tblBorders>
      </w:tblPr>
      <w:tblGrid>
        <w:gridCol w:w="800"/>
        <w:gridCol w:w="1700"/>
        <w:gridCol w:w="1000"/>
        <w:gridCol w:w="3300"/>
        <w:gridCol w:w="25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UFs</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R$ kit awards</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Editais</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Firm</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Base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16</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1.602.972</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38</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AMA COMERCIO E SERVICOS</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Fortaleza / CE</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15</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6.135.997</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44</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CONDAFE COMERCIO DE ROUPAS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São Paulo / SP</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14</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907.497</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37</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COMERCIAL DEBECHE TEXTIL</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São Paulo / SP</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9</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266.098</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13</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COMERCIAL HIGI TEX</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São Paulo / SP</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6</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219.824</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16</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D S J CONFECCOES</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Guaíra / PR</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4</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650.188</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10</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FB COMERCIO DE ENXOVAIS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São Paulo / SP</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4</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210.013</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9</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J.J.A. ENXOVAIS</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Umuarama / PR</w:t>
            </w:r>
          </w:p>
        </w:tc>
      </w:tr>
    </w:tbl>
    <w:p>
      <w:pPr>
        <w:spacing w:after="130"/>
      </w:pPr>
    </w:p>
    <w:p>
      <w:pPr>
        <w:spacing w:after="120" w:before="0" w:line="276"/>
      </w:pPr>
      <w:r>
        <w:rPr>
          <w:rFonts w:ascii="Calibri" w:cs="Calibri" w:eastAsia="Calibri" w:hAnsi="Calibri"/>
          <w:color w:val="1A1A1A"/>
          <w:sz w:val="20"/>
          <w:szCs w:val="20"/>
        </w:rPr>
        <w:t xml:space="preserve">CONDAFE COMERCIO DE ROUPAS LTDA — CNPJ 10.430.444/0001-10, an EPP in São Paulo with a dedicated licitacao@ address — won kits in 15 states across 44 editais for R$6.135.997 in twelve months. </w:t>
      </w:r>
      <w:r>
        <w:rPr>
          <w:rFonts w:ascii="Calibri" w:cs="Calibri" w:eastAsia="Calibri" w:hAnsi="Calibri"/>
          <w:b/>
          <w:bCs/>
          <w:color w:val="1A1A1A"/>
          <w:sz w:val="20"/>
          <w:szCs w:val="20"/>
        </w:rPr>
        <w:t xml:space="preserve">That is 10,4% of the entire national market, taken by one small company in her city.</w:t>
      </w:r>
      <w:r>
        <w:rPr>
          <w:rFonts w:ascii="Calibri" w:cs="Calibri" w:eastAsia="Calibri" w:hAnsi="Calibri"/>
          <w:color w:val="1A1A1A"/>
          <w:sz w:val="20"/>
          <w:szCs w:val="20"/>
        </w:rPr>
        <w:t xml:space="preserve"> Verified at two award endpoints: Palmas/TO at R$689,84 a kit, Itaquaquecetuba/SP at R$359,05. A São Paulo firm delivering to Tocantins is not a thesis; it is an invoice.</w:t>
      </w:r>
    </w:p>
    <w:p>
      <w:pPr>
        <w:spacing w:after="120" w:before="0" w:line="276"/>
      </w:pPr>
      <w:r>
        <w:rPr>
          <w:rFonts w:ascii="Calibri" w:cs="Calibri" w:eastAsia="Calibri" w:hAnsi="Calibri"/>
          <w:color w:val="1A1A1A"/>
          <w:sz w:val="20"/>
          <w:szCs w:val="20"/>
        </w:rPr>
        <w:t xml:space="preserve">Two details worth holding. </w:t>
      </w:r>
      <w:r>
        <w:rPr>
          <w:rFonts w:ascii="Calibri" w:cs="Calibri" w:eastAsia="Calibri" w:hAnsi="Calibri"/>
          <w:b/>
          <w:bCs/>
          <w:color w:val="1A1A1A"/>
          <w:sz w:val="20"/>
          <w:szCs w:val="20"/>
        </w:rPr>
        <w:t xml:space="preserve">DEBECHE and HIGI TEX are the same operation</w:t>
      </w:r>
      <w:r>
        <w:rPr>
          <w:rFonts w:ascii="Calibri" w:cs="Calibri" w:eastAsia="Calibri" w:hAnsi="Calibri"/>
          <w:color w:val="1A1A1A"/>
          <w:sz w:val="20"/>
          <w:szCs w:val="20"/>
        </w:rPr>
        <w:t xml:space="preserve"> — both publish roberto.daud@uol.com.br in their Receita records — so their union is nine states. And </w:t>
      </w:r>
      <w:r>
        <w:rPr>
          <w:rFonts w:ascii="Calibri" w:cs="Calibri" w:eastAsia="Calibri" w:hAnsi="Calibri"/>
          <w:b/>
          <w:bCs/>
          <w:color w:val="1A1A1A"/>
          <w:sz w:val="20"/>
          <w:szCs w:val="20"/>
        </w:rPr>
        <w:t xml:space="preserve">J.J.A. ENXOVAIS is a micro empresa registered on 17 January 2024</w:t>
      </w:r>
      <w:r>
        <w:rPr>
          <w:rFonts w:ascii="Calibri" w:cs="Calibri" w:eastAsia="Calibri" w:hAnsi="Calibri"/>
          <w:color w:val="1A1A1A"/>
          <w:sz w:val="20"/>
          <w:szCs w:val="20"/>
        </w:rPr>
        <w:t xml:space="preserve"> that already wins in four states. That is this business, twenty months old, running.</w:t>
      </w:r>
    </w:p>
    <w:p>
      <w:pPr>
        <w:pStyle w:val="Heading2"/>
        <w:spacing w:after="110" w:before="260"/>
      </w:pPr>
      <w:r>
        <w:rPr>
          <w:rFonts w:ascii="Calibri" w:cs="Calibri" w:eastAsia="Calibri" w:hAnsi="Calibri"/>
          <w:b/>
          <w:bCs/>
          <w:color w:val="1A1A1A"/>
          <w:sz w:val="23"/>
          <w:szCs w:val="23"/>
        </w:rPr>
        <w:t xml:space="preserve">Who she is actually bidding against</w:t>
      </w:r>
    </w:p>
    <w:p>
      <w:pPr>
        <w:spacing w:after="120" w:before="0" w:line="276"/>
      </w:pPr>
      <w:r>
        <w:rPr>
          <w:rFonts w:ascii="Calibri" w:cs="Calibri" w:eastAsia="Calibri" w:hAnsi="Calibri"/>
          <w:color w:val="1A1A1A"/>
          <w:sz w:val="20"/>
          <w:szCs w:val="20"/>
        </w:rPr>
        <w:t xml:space="preserve">Not factories. Of the top 70 winners by value, resolved by CNAE:</w:t>
      </w:r>
    </w:p>
    <w:tbl>
      <w:tblPr>
        <w:tblW w:type="dxa" w:w="9360"/>
        <w:tblBorders>
          <w:top w:val="single" w:color="C8C8C8" w:sz="4"/>
          <w:left w:val="none"/>
          <w:bottom w:val="single" w:color="C8C8C8" w:sz="4"/>
          <w:right w:val="none"/>
          <w:insideH w:val="single" w:color="C8C8C8" w:sz="2"/>
          <w:insideV w:val="none"/>
        </w:tblBorders>
      </w:tblPr>
      <w:tblGrid>
        <w:gridCol w:w="6400"/>
        <w:gridCol w:w="29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Type of winner</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Share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Pure tender desk — unrelated CNAE</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41%</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Apparel / enxoval trader</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Generalist goods trader</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Manufacturer — confecção or têxtil</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Hygiene / medical wholesaler</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w:t>
            </w:r>
          </w:p>
        </w:tc>
      </w:tr>
    </w:tbl>
    <w:p>
      <w:pPr>
        <w:spacing w:after="130"/>
      </w:pPr>
    </w:p>
    <w:p>
      <w:pPr>
        <w:spacing w:after="120" w:before="0" w:line="276"/>
      </w:pPr>
      <w:r>
        <w:rPr>
          <w:rFonts w:ascii="Calibri" w:cs="Calibri" w:eastAsia="Calibri" w:hAnsi="Calibri"/>
          <w:color w:val="1A1A1A"/>
          <w:sz w:val="20"/>
          <w:szCs w:val="20"/>
        </w:rPr>
        <w:t xml:space="preserve">Only one winner in ten makes anything. The 41% "unrelated" bucket includes an electrical contractor that won R$725.000 of baby kits, a vehicle-rental firm at R$253.100 and a computer-repair shop at R$248.160 — generalist bid shops that win whatever is on PNCP. </w:t>
      </w:r>
      <w:r>
        <w:rPr>
          <w:rFonts w:ascii="Calibri" w:cs="Calibri" w:eastAsia="Calibri" w:hAnsi="Calibri"/>
          <w:b/>
          <w:bCs/>
          <w:color w:val="1A1A1A"/>
          <w:sz w:val="20"/>
          <w:szCs w:val="20"/>
        </w:rPr>
        <w:t xml:space="preserve">The confecções that ACOLHE worried about are present but are not the competition at this lot size.</w:t>
      </w:r>
    </w:p>
    <w:p>
      <w:pPr>
        <w:spacing w:after="120" w:before="0" w:line="276"/>
      </w:pPr>
      <w:r>
        <w:rPr>
          <w:rFonts w:ascii="Calibri" w:cs="Calibri" w:eastAsia="Calibri" w:hAnsi="Calibri"/>
          <w:color w:val="1A1A1A"/>
          <w:sz w:val="20"/>
          <w:szCs w:val="20"/>
        </w:rPr>
        <w:t xml:space="preserve">And the door is visibly open: </w:t>
      </w:r>
      <w:r>
        <w:rPr>
          <w:rFonts w:ascii="Calibri" w:cs="Calibri" w:eastAsia="Calibri" w:hAnsi="Calibri"/>
          <w:b/>
          <w:bCs/>
          <w:color w:val="1A1A1A"/>
          <w:sz w:val="20"/>
          <w:szCs w:val="20"/>
        </w:rPr>
        <w:t xml:space="preserve">41% of winners registered their CNPJ in 2021 or later and 24% in 2023 or later.</w:t>
      </w:r>
      <w:r>
        <w:rPr>
          <w:rFonts w:ascii="Calibri" w:cs="Calibri" w:eastAsia="Calibri" w:hAnsi="Calibri"/>
          <w:color w:val="1A1A1A"/>
          <w:sz w:val="20"/>
          <w:szCs w:val="20"/>
        </w:rPr>
        <w:t xml:space="preserve"> Median capital social R$135.000, minimum R$3.000.</w:t>
      </w:r>
    </w:p>
    <w:p>
      <w:pPr>
        <w:pStyle w:val="Heading2"/>
        <w:spacing w:after="110" w:before="260"/>
      </w:pPr>
      <w:r>
        <w:rPr>
          <w:rFonts w:ascii="Calibri" w:cs="Calibri" w:eastAsia="Calibri" w:hAnsi="Calibri"/>
          <w:b/>
          <w:bCs/>
          <w:color w:val="1A1A1A"/>
          <w:sz w:val="23"/>
          <w:szCs w:val="23"/>
        </w:rPr>
        <w:t xml:space="preserve">The capacity objection is dead</w:t>
      </w:r>
    </w:p>
    <w:p>
      <w:pPr>
        <w:spacing w:after="120" w:before="0" w:line="276"/>
      </w:pPr>
      <w:r>
        <w:rPr>
          <w:rFonts w:ascii="Calibri" w:cs="Calibri" w:eastAsia="Calibri" w:hAnsi="Calibri"/>
          <w:color w:val="1A1A1A"/>
          <w:sz w:val="20"/>
          <w:szCs w:val="20"/>
        </w:rPr>
        <w:t xml:space="preserve">A reasonable worry about a market of small local winners is that nobody in it reaches the volume she needs — which would mean the volume is not winnable rather than merely unclaimed. Measured:</w:t>
      </w:r>
    </w:p>
    <w:tbl>
      <w:tblPr>
        <w:tblW w:type="dxa" w:w="9360"/>
        <w:tblBorders>
          <w:top w:val="single" w:color="C8C8C8" w:sz="4"/>
          <w:left w:val="none"/>
          <w:bottom w:val="single" w:color="C8C8C8" w:sz="4"/>
          <w:right w:val="none"/>
          <w:insideH w:val="single" w:color="C8C8C8" w:sz="2"/>
          <w:insideV w:val="none"/>
        </w:tblBorders>
      </w:tblPr>
      <w:tblGrid>
        <w:gridCol w:w="6400"/>
        <w:gridCol w:w="29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Winners clearing …</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Count</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R$100.000 of kit revenue in 12 months</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88</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R$200.000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47</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R$400.000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23</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R$700.000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13</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R$1.000.000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7</w:t>
            </w:r>
          </w:p>
        </w:tc>
      </w:tr>
    </w:tbl>
    <w:p>
      <w:pPr>
        <w:spacing w:after="130"/>
      </w:pPr>
    </w:p>
    <w:p>
      <w:pPr>
        <w:spacing w:after="120" w:before="0" w:line="276"/>
      </w:pPr>
      <w:r>
        <w:rPr>
          <w:rFonts w:ascii="Calibri" w:cs="Calibri" w:eastAsia="Calibri" w:hAnsi="Calibri"/>
          <w:color w:val="1A1A1A"/>
          <w:sz w:val="20"/>
          <w:szCs w:val="20"/>
        </w:rPr>
        <w:t xml:space="preserve">Twenty-three firms clear R$400.000 of newborn-kit revenue alone and thirteen clear R$700.000. Her target sits inside that, and at roughly half of what one existing São Paulo operator already does. </w:t>
      </w:r>
      <w:r>
        <w:rPr>
          <w:rFonts w:ascii="Calibri" w:cs="Calibri" w:eastAsia="Calibri" w:hAnsi="Calibri"/>
          <w:b/>
          <w:bCs/>
          <w:color w:val="1A1A1A"/>
          <w:sz w:val="20"/>
          <w:szCs w:val="20"/>
        </w:rPr>
        <w:t xml:space="preserve">The model is proven, not vacant — which is a better fact than white space, because the playbook is observable and the competitors are named, emailable and measurable.</w:t>
      </w:r>
    </w:p>
    <w:p>
      <w:r>
        <w:br w:type="page"/>
      </w:r>
    </w:p>
    <w:p>
      <w:pPr>
        <w:pStyle w:val="Heading1"/>
        <w:spacing w:after="160" w:before="360"/>
      </w:pPr>
      <w:r>
        <w:rPr>
          <w:rFonts w:ascii="Calibri" w:cs="Calibri" w:eastAsia="Calibri" w:hAnsi="Calibri"/>
          <w:b/>
          <w:bCs/>
          <w:color w:val="1A1A1A"/>
          <w:sz w:val="30"/>
          <w:szCs w:val="30"/>
        </w:rPr>
        <w:t xml:space="preserve">5. The edge, honestly</w:t>
      </w:r>
    </w:p>
    <w:p>
      <w:pPr>
        <w:spacing w:after="120" w:before="0" w:line="276"/>
      </w:pPr>
      <w:r>
        <w:rPr>
          <w:rFonts w:ascii="Calibri" w:cs="Calibri" w:eastAsia="Calibri" w:hAnsi="Calibri"/>
          <w:color w:val="1A1A1A"/>
          <w:sz w:val="20"/>
          <w:szCs w:val="20"/>
        </w:rPr>
        <w:t xml:space="preserve">There is no moat here and this plan will not pretend otherwise. What there is is a stack of five cheap, compounding operating advantages that the 78,5% of winners who take one edital a year do not run, and that even the national desks appear not to run in full. Each is free or nearly free. None is defensible alone. Together they are worth more than any price advantage she could engineer.</w:t>
      </w:r>
    </w:p>
    <w:p>
      <w:pPr>
        <w:pStyle w:val="Heading2"/>
        <w:spacing w:after="110" w:before="260"/>
      </w:pPr>
      <w:r>
        <w:rPr>
          <w:rFonts w:ascii="Calibri" w:cs="Calibri" w:eastAsia="Calibri" w:hAnsi="Calibri"/>
          <w:b/>
          <w:bCs/>
          <w:color w:val="1A1A1A"/>
          <w:sz w:val="23"/>
          <w:szCs w:val="23"/>
        </w:rPr>
        <w:t xml:space="preserve">1 · She sees the whole country. Almost everyone sees one state.</w:t>
      </w:r>
    </w:p>
    <w:p>
      <w:pPr>
        <w:spacing w:after="120" w:before="0" w:line="276"/>
      </w:pPr>
      <w:r>
        <w:rPr>
          <w:rFonts w:ascii="Calibri" w:cs="Calibri" w:eastAsia="Calibri" w:hAnsi="Calibri"/>
          <w:color w:val="1A1A1A"/>
          <w:sz w:val="20"/>
          <w:szCs w:val="20"/>
        </w:rPr>
        <w:t xml:space="preserve">Lei 14.133 art. 54 compels every buyer to publish the </w:t>
      </w:r>
      <w:r>
        <w:rPr>
          <w:rFonts w:ascii="Calibri" w:cs="Calibri" w:eastAsia="Calibri" w:hAnsi="Calibri"/>
          <w:i/>
          <w:iCs/>
          <w:color w:val="1A1A1A"/>
          <w:sz w:val="20"/>
          <w:szCs w:val="20"/>
        </w:rPr>
        <w:t xml:space="preserve">inteiro teor</w:t>
      </w:r>
      <w:r>
        <w:rPr>
          <w:rFonts w:ascii="Calibri" w:cs="Calibri" w:eastAsia="Calibri" w:hAnsi="Calibri"/>
          <w:color w:val="1A1A1A"/>
          <w:sz w:val="20"/>
          <w:szCs w:val="20"/>
        </w:rPr>
        <w:t xml:space="preserve"> of the tender to PNCP before buying. Free, machine-readable, no auth. A complete national sweep of every tender in the relevant modalities costs </w:t>
      </w:r>
      <w:r>
        <w:rPr>
          <w:rFonts w:ascii="Calibri" w:cs="Calibri" w:eastAsia="Calibri" w:hAnsi="Calibri"/>
          <w:b/>
          <w:bCs/>
          <w:color w:val="1A1A1A"/>
          <w:sz w:val="20"/>
          <w:szCs w:val="20"/>
        </w:rPr>
        <w:t xml:space="preserve">about 5.560 API calls and between 158 and 265 seconds a day</w:t>
      </w:r>
      <w:r>
        <w:rPr>
          <w:rFonts w:ascii="Calibri" w:cs="Calibri" w:eastAsia="Calibri" w:hAnsi="Calibri"/>
          <w:color w:val="1A1A1A"/>
          <w:sz w:val="20"/>
          <w:szCs w:val="20"/>
        </w:rPr>
        <w:t xml:space="preserve"> at ten concurrent connections — call it four minutes on a R$25/month VPS. The median notice is ten working days; 98% of tenders give five or more; the floor is statutory at eight for goods and three for dispensa.</w:t>
      </w: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A correction to an earlier draft of this plan. </w:t>
            </w:r>
            <w:r>
              <w:rPr>
                <w:rFonts w:ascii="Calibri" w:cs="Calibri" w:eastAsia="Calibri" w:hAnsi="Calibri"/>
                <w:color w:val="1A1A1A"/>
                <w:sz w:val="19"/>
                <w:szCs w:val="19"/>
              </w:rPr>
              <w:t xml:space="preserve">I claimed 72% of this market is invisible to a title search and that the item-level descent was the edge. Measured properly — every tender published nationally in the relevant modalities across three full days, 14.560 tenders and 178.413 item records — </w:t>
            </w:r>
            <w:r>
              <w:rPr>
                <w:rFonts w:ascii="Calibri" w:cs="Calibri" w:eastAsia="Calibri" w:hAnsi="Calibri"/>
                <w:b/>
                <w:bCs/>
                <w:color w:val="1A1A1A"/>
                <w:sz w:val="19"/>
                <w:szCs w:val="19"/>
              </w:rPr>
              <w:t xml:space="preserve">75% are title-visible and only 25% are hidden.</w:t>
            </w:r>
            <w:r>
              <w:rPr>
                <w:rFonts w:ascii="Calibri" w:cs="Calibri" w:eastAsia="Calibri" w:hAnsi="Calibri"/>
                <w:color w:val="1A1A1A"/>
                <w:sz w:val="19"/>
                <w:szCs w:val="19"/>
              </w:rPr>
              <w:t xml:space="preserve"> Of four hidden rows, one was a genuine hidden layette purchase and one was a gap in my own regex. Keep the descent — it is nearly free and buys a quarter more market — but it is not the moat and should not be sold as one.</w:t>
            </w:r>
          </w:p>
        </w:tc>
      </w:tr>
    </w:tbl>
    <w:p>
      <w:pPr>
        <w:spacing w:after="150"/>
      </w:pPr>
    </w:p>
    <w:p>
      <w:pPr>
        <w:pStyle w:val="Heading2"/>
        <w:spacing w:after="110" w:before="260"/>
      </w:pPr>
      <w:r>
        <w:rPr>
          <w:rFonts w:ascii="Calibri" w:cs="Calibri" w:eastAsia="Calibri" w:hAnsi="Calibri"/>
          <w:b/>
          <w:bCs/>
          <w:color w:val="1A1A1A"/>
          <w:sz w:val="23"/>
          <w:szCs w:val="23"/>
        </w:rPr>
        <w:t xml:space="preserve">2 · She can see which buyers actually pay. Nobody else is looking.</w:t>
      </w:r>
    </w:p>
    <w:p>
      <w:pPr>
        <w:spacing w:after="120" w:before="0" w:line="276"/>
      </w:pPr>
      <w:r>
        <w:rPr>
          <w:rFonts w:ascii="Calibri" w:cs="Calibri" w:eastAsia="Calibri" w:hAnsi="Calibri"/>
          <w:color w:val="1A1A1A"/>
          <w:sz w:val="20"/>
          <w:szCs w:val="20"/>
        </w:rPr>
        <w:t xml:space="preserve">This is the most valuable thing found in the whole research effort. There is no per-invoice municipal payment rail — PNCP's faturas endpoint returns 404 and the federal contract API covers federal buyers only. But SICONFI publishes, free and keyless, one call per município, the prior year's </w:t>
      </w:r>
      <w:r>
        <w:rPr>
          <w:rFonts w:ascii="Calibri" w:cs="Calibri" w:eastAsia="Calibri" w:hAnsi="Calibri"/>
          <w:i/>
          <w:iCs/>
          <w:color w:val="1A1A1A"/>
          <w:sz w:val="20"/>
          <w:szCs w:val="20"/>
        </w:rPr>
        <w:t xml:space="preserve">restos a pagar processados</w:t>
      </w:r>
      <w:r>
        <w:rPr>
          <w:rFonts w:ascii="Calibri" w:cs="Calibri" w:eastAsia="Calibri" w:hAnsi="Calibri"/>
          <w:color w:val="1A1A1A"/>
          <w:sz w:val="20"/>
          <w:szCs w:val="20"/>
        </w:rPr>
        <w:t xml:space="preserve">: invoices already delivered, attested, liquidated — and unpaid.</w:t>
      </w:r>
    </w:p>
    <w:p>
      <w:pPr>
        <w:spacing w:after="120" w:before="0" w:line="276"/>
      </w:pPr>
      <w:r>
        <w:rPr>
          <w:rFonts w:ascii="Consolas" w:cs="Consolas" w:eastAsia="Consolas" w:hAnsi="Consolas"/>
          <w:color w:val="5A5A5A"/>
          <w:sz w:val="16"/>
          <w:szCs w:val="16"/>
        </w:rPr>
        <w:t xml:space="preserve">apidatalake.tesouro.gov.br/ords/siconfi/tt/rreo?…&amp;no_anexo=RREO-Anexo%2007&amp;co_esfera=M&amp;id_ente={cod_ibge}</w:t>
      </w:r>
    </w:p>
    <w:p>
      <w:pPr>
        <w:spacing w:after="120" w:before="0" w:line="276"/>
      </w:pPr>
      <w:r>
        <w:rPr>
          <w:rFonts w:ascii="Calibri" w:cs="Calibri" w:eastAsia="Calibri" w:hAnsi="Calibri"/>
          <w:color w:val="1A1A1A"/>
          <w:sz w:val="20"/>
          <w:szCs w:val="20"/>
        </w:rPr>
        <w:t xml:space="preserve">It answers, per buyer: how much of what suppliers already earned has this município actually paid? The CNPJ-to-IBGE join is free and matched </w:t>
      </w:r>
      <w:r>
        <w:rPr>
          <w:rFonts w:ascii="Calibri" w:cs="Calibri" w:eastAsia="Calibri" w:hAnsi="Calibri"/>
          <w:b/>
          <w:bCs/>
          <w:color w:val="1A1A1A"/>
          <w:sz w:val="20"/>
          <w:szCs w:val="20"/>
        </w:rPr>
        <w:t xml:space="preserve">699 of 699 kit-buying municípios.</w:t>
      </w:r>
    </w:p>
    <w:tbl>
      <w:tblPr>
        <w:tblW w:type="dxa" w:w="9360"/>
        <w:tblBorders>
          <w:top w:val="single" w:color="C8C8C8" w:sz="4"/>
          <w:left w:val="none"/>
          <w:bottom w:val="single" w:color="C8C8C8" w:sz="4"/>
          <w:right w:val="none"/>
          <w:insideH w:val="single" w:color="C8C8C8" w:sz="2"/>
          <w:insideV w:val="none"/>
        </w:tblBorders>
      </w:tblPr>
      <w:tblGrid>
        <w:gridCol w:w="4200"/>
        <w:gridCol w:w="1200"/>
        <w:gridCol w:w="1200"/>
        <w:gridCol w:w="1500"/>
        <w:gridCol w:w="12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 of last year's liquidated invoices already paid</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p10</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p25</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Median</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p75</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Across 148 of the 200 largest kit buyers</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23,5%</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44,9%</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76,7%</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94,5%</w:t>
            </w:r>
          </w:p>
        </w:tc>
      </w:tr>
    </w:tbl>
    <w:p>
      <w:pPr>
        <w:spacing w:after="120"/>
      </w:pPr>
    </w:p>
    <w:p>
      <w:pPr>
        <w:spacing w:after="120" w:before="0" w:line="276"/>
      </w:pPr>
      <w:r>
        <w:rPr>
          <w:rFonts w:ascii="Calibri" w:cs="Calibri" w:eastAsia="Calibri" w:hAnsi="Calibri"/>
          <w:color w:val="1A1A1A"/>
          <w:sz w:val="20"/>
          <w:szCs w:val="20"/>
        </w:rPr>
        <w:t xml:space="preserve">43,2% of kit-buying municípios still owed more than 30% of the prior year's liquidated invoices at mid-year, and 29,1% owed more than half. But only 6,1% wrote off more than 5% — </w:t>
      </w:r>
      <w:r>
        <w:rPr>
          <w:rFonts w:ascii="Calibri" w:cs="Calibri" w:eastAsia="Calibri" w:hAnsi="Calibri"/>
          <w:b/>
          <w:bCs/>
          <w:color w:val="1A1A1A"/>
          <w:sz w:val="20"/>
          <w:szCs w:val="20"/>
        </w:rPr>
        <w:t xml:space="preserve">so the risk is delay, not default.</w:t>
      </w:r>
      <w:r>
        <w:rPr>
          <w:rFonts w:ascii="Calibri" w:cs="Calibri" w:eastAsia="Calibri" w:hAnsi="Calibri"/>
          <w:color w:val="1A1A1A"/>
          <w:sz w:val="20"/>
          <w:szCs w:val="20"/>
        </w:rPr>
        <w:t xml:space="preserve"> Live examples: Nhamundá/AM has paid 0,0% and is running a R$2,12 M kit tender right now; Icatu/MA 0,0% on R$1,09 M; Aparecida de Goiânia/GO 19,2% with a R$1,33 M kit tender open. Against Pinheiro/MA, Bertioga/SP and Colíder/MT at 100%.</w:t>
      </w:r>
    </w:p>
    <w:tbl>
      <w:tblPr>
        <w:tblW w:type="dxa" w:w="9360"/>
        <w:tblBorders>
          <w:top w:val="single" w:color="C8C8C8" w:sz="2"/>
          <w:left w:val="single" w:color="1F5C3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One GET before bidding. Reject where saldo ÷ inscritos exceeds ~0,30, or where cancelados exceeds ~2%. </w:t>
            </w:r>
            <w:r>
              <w:rPr>
                <w:rFonts w:ascii="Calibri" w:cs="Calibri" w:eastAsia="Calibri" w:hAnsi="Calibri"/>
                <w:color w:val="1A1A1A"/>
                <w:sz w:val="19"/>
                <w:szCs w:val="19"/>
              </w:rPr>
              <w:t xml:space="preserve">The same kit sells at the same price everywhere, so buyer selection is worth more than any price advantage she could engineer — and it is worth roughly three times her working capital, because a 28-day payer carries three times the annual volume that an 80-day payer does on the same money.</w:t>
            </w:r>
          </w:p>
        </w:tc>
      </w:tr>
    </w:tbl>
    <w:p>
      <w:pPr>
        <w:spacing w:after="150"/>
      </w:pPr>
    </w:p>
    <w:p>
      <w:pPr>
        <w:pStyle w:val="Heading2"/>
        <w:spacing w:after="110" w:before="260"/>
      </w:pPr>
      <w:r>
        <w:rPr>
          <w:rFonts w:ascii="Calibri" w:cs="Calibri" w:eastAsia="Calibri" w:hAnsi="Calibri"/>
          <w:b/>
          <w:bCs/>
          <w:color w:val="1A1A1A"/>
          <w:sz w:val="23"/>
          <w:szCs w:val="23"/>
        </w:rPr>
        <w:t xml:space="preserve">3 · A free statutory lever on about a third of the lines</w:t>
      </w:r>
    </w:p>
    <w:p>
      <w:pPr>
        <w:spacing w:after="120" w:before="0" w:line="276"/>
      </w:pPr>
      <w:r>
        <w:rPr>
          <w:rFonts w:ascii="Calibri" w:cs="Calibri" w:eastAsia="Calibri" w:hAnsi="Calibri"/>
          <w:color w:val="1A1A1A"/>
          <w:sz w:val="20"/>
          <w:szCs w:val="20"/>
        </w:rPr>
        <w:t xml:space="preserve">LC 123 art. 48 I reserves items worth up to R$80.000 </w:t>
      </w:r>
      <w:r>
        <w:rPr>
          <w:rFonts w:ascii="Calibri" w:cs="Calibri" w:eastAsia="Calibri" w:hAnsi="Calibri"/>
          <w:i/>
          <w:iCs/>
          <w:color w:val="1A1A1A"/>
          <w:sz w:val="20"/>
          <w:szCs w:val="20"/>
        </w:rPr>
        <w:t xml:space="preserve">exclusively</w:t>
      </w:r>
      <w:r>
        <w:rPr>
          <w:rFonts w:ascii="Calibri" w:cs="Calibri" w:eastAsia="Calibri" w:hAnsi="Calibri"/>
          <w:color w:val="1A1A1A"/>
          <w:sz w:val="20"/>
          <w:szCs w:val="20"/>
        </w:rPr>
        <w:t xml:space="preserve"> to ME/EPP — per item, not per tender, and since LC 147/2014 the verb is </w:t>
      </w:r>
      <w:r>
        <w:rPr>
          <w:rFonts w:ascii="Calibri" w:cs="Calibri" w:eastAsia="Calibri" w:hAnsi="Calibri"/>
          <w:i/>
          <w:iCs/>
          <w:color w:val="1A1A1A"/>
          <w:sz w:val="20"/>
          <w:szCs w:val="20"/>
        </w:rPr>
        <w:t xml:space="preserve">deverá</w:t>
      </w:r>
      <w:r>
        <w:rPr>
          <w:rFonts w:ascii="Calibri" w:cs="Calibri" w:eastAsia="Calibri" w:hAnsi="Calibri"/>
          <w:color w:val="1A1A1A"/>
          <w:sz w:val="20"/>
          <w:szCs w:val="20"/>
        </w:rPr>
        <w:t xml:space="preserve">, a duty rather than an option. Measured: 62% of priced kit lines fall at or below R$80.000, but only 24–29% carry an ME/EPP flag. </w:t>
      </w:r>
      <w:r>
        <w:rPr>
          <w:rFonts w:ascii="Calibri" w:cs="Calibri" w:eastAsia="Calibri" w:hAnsi="Calibri"/>
          <w:b/>
          <w:bCs/>
          <w:color w:val="1A1A1A"/>
          <w:sz w:val="20"/>
          <w:szCs w:val="20"/>
        </w:rPr>
        <w:t xml:space="preserve">Roughly a third of the addressable lines are open when the statute says they should be reserved to her.</w:t>
      </w:r>
    </w:p>
    <w:p>
      <w:pPr>
        <w:spacing w:after="120" w:before="0" w:line="276"/>
      </w:pPr>
      <w:r>
        <w:rPr>
          <w:rFonts w:ascii="Calibri" w:cs="Calibri" w:eastAsia="Calibri" w:hAnsi="Calibri"/>
          <w:color w:val="1A1A1A"/>
          <w:sz w:val="20"/>
          <w:szCs w:val="20"/>
        </w:rPr>
        <w:t xml:space="preserve">The remedy is an impugnação: free, written, filable by e-mail, and under art. 164 open to </w:t>
      </w:r>
      <w:r>
        <w:rPr>
          <w:rFonts w:ascii="Calibri" w:cs="Calibri" w:eastAsia="Calibri" w:hAnsi="Calibri"/>
          <w:i/>
          <w:iCs/>
          <w:color w:val="1A1A1A"/>
          <w:sz w:val="20"/>
          <w:szCs w:val="20"/>
        </w:rPr>
        <w:t xml:space="preserve">qualquer pessoa</w:t>
      </w:r>
      <w:r>
        <w:rPr>
          <w:rFonts w:ascii="Calibri" w:cs="Calibri" w:eastAsia="Calibri" w:hAnsi="Calibri"/>
          <w:color w:val="1A1A1A"/>
          <w:sz w:val="20"/>
          <w:szCs w:val="20"/>
        </w:rPr>
        <w:t xml:space="preserve"> — she does not even need to be a registered bidder — up to three working days before the session, with a three-working-day answer deadline. A model is drafted and filable as-is, with the buyer's likely counter-argument pre-rebutted. The key point most buyers get wrong: art. 49 inciso I, which used to excuse an edital that simply omitted the benefit, </w:t>
      </w:r>
      <w:r>
        <w:rPr>
          <w:rFonts w:ascii="Calibri" w:cs="Calibri" w:eastAsia="Calibri" w:hAnsi="Calibri"/>
          <w:b/>
          <w:bCs/>
          <w:color w:val="1A1A1A"/>
          <w:sz w:val="20"/>
          <w:szCs w:val="20"/>
        </w:rPr>
        <w:t xml:space="preserve">was revoked.</w:t>
      </w:r>
      <w:r>
        <w:rPr>
          <w:rFonts w:ascii="Calibri" w:cs="Calibri" w:eastAsia="Calibri" w:hAnsi="Calibri"/>
          <w:color w:val="1A1A1A"/>
          <w:sz w:val="20"/>
          <w:szCs w:val="20"/>
        </w:rPr>
        <w:t xml:space="preserve"> Omission is now the irregularity, not the defence.</w:t>
      </w:r>
    </w:p>
    <w:p>
      <w:pPr>
        <w:pStyle w:val="Heading2"/>
        <w:spacing w:after="110" w:before="260"/>
      </w:pPr>
      <w:r>
        <w:rPr>
          <w:rFonts w:ascii="Calibri" w:cs="Calibri" w:eastAsia="Calibri" w:hAnsi="Calibri"/>
          <w:b/>
          <w:bCs/>
          <w:color w:val="1A1A1A"/>
          <w:sz w:val="23"/>
          <w:szCs w:val="23"/>
        </w:rPr>
        <w:t xml:space="preserve">4 · The adesão route multiplies one win</w:t>
      </w:r>
    </w:p>
    <w:p>
      <w:pPr>
        <w:spacing w:after="120" w:before="0" w:line="276"/>
      </w:pPr>
      <w:r>
        <w:rPr>
          <w:rFonts w:ascii="Calibri" w:cs="Calibri" w:eastAsia="Calibri" w:hAnsi="Calibri"/>
          <w:color w:val="1A1A1A"/>
          <w:sz w:val="20"/>
          <w:szCs w:val="20"/>
        </w:rPr>
        <w:t xml:space="preserve">Eleven of 317 assembled-kit editais are caronas to an existing ata, and seven of those eleven ride </w:t>
      </w:r>
      <w:r>
        <w:rPr>
          <w:rFonts w:ascii="Calibri" w:cs="Calibri" w:eastAsia="Calibri" w:hAnsi="Calibri"/>
          <w:b/>
          <w:bCs/>
          <w:color w:val="1A1A1A"/>
          <w:sz w:val="20"/>
          <w:szCs w:val="20"/>
        </w:rPr>
        <w:t xml:space="preserve">the same one</w:t>
      </w:r>
      <w:r>
        <w:rPr>
          <w:rFonts w:ascii="Calibri" w:cs="Calibri" w:eastAsia="Calibri" w:hAnsi="Calibri"/>
          <w:color w:val="1A1A1A"/>
          <w:sz w:val="20"/>
          <w:szCs w:val="20"/>
        </w:rPr>
        <w:t xml:space="preserve"> — SES-MG ARP 65/2025, called off by Bambuí, Carmo do Rio Claro, Paracatu, Bandeira do Sul, Guaranésia, São Lourenço and Salinas. One registered-price win produced at least seven municipal call-offs with no second bid. 31% of assembled-kit objetos are registro de preços. And art. 86 §5 lets adesões reach up to double the registered quantity on top.</w:t>
      </w:r>
    </w:p>
    <w:p>
      <w:pPr>
        <w:pStyle w:val="Heading2"/>
        <w:spacing w:after="110" w:before="260"/>
      </w:pPr>
      <w:r>
        <w:rPr>
          <w:rFonts w:ascii="Calibri" w:cs="Calibri" w:eastAsia="Calibri" w:hAnsi="Calibri"/>
          <w:b/>
          <w:bCs/>
          <w:color w:val="1A1A1A"/>
          <w:sz w:val="23"/>
          <w:szCs w:val="23"/>
        </w:rPr>
        <w:t xml:space="preserve">5 · The filter itself</w:t>
      </w:r>
    </w:p>
    <w:p>
      <w:pPr>
        <w:spacing w:after="120" w:before="0" w:line="276"/>
      </w:pPr>
      <w:r>
        <w:rPr>
          <w:rFonts w:ascii="Calibri" w:cs="Calibri" w:eastAsia="Calibri" w:hAnsi="Calibri"/>
          <w:color w:val="1A1A1A"/>
          <w:sz w:val="20"/>
          <w:szCs w:val="20"/>
        </w:rPr>
        <w:t xml:space="preserve">Which is the actual product, and gets its own section.</w:t>
      </w:r>
    </w:p>
    <w:p>
      <w:pPr>
        <w:spacing w:after="80"/>
      </w:pPr>
    </w:p>
    <w:tbl>
      <w:tblPr>
        <w:tblW w:type="dxa" w:w="9360"/>
        <w:tblBorders>
          <w:top w:val="single" w:color="C8C8C8" w:sz="2"/>
          <w:left w:val="single" w:color="1A1A1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What none of this is: a moat. </w:t>
            </w:r>
            <w:r>
              <w:rPr>
                <w:rFonts w:ascii="Calibri" w:cs="Calibri" w:eastAsia="Calibri" w:hAnsi="Calibri"/>
                <w:color w:val="1A1A1A"/>
                <w:sz w:val="19"/>
                <w:szCs w:val="19"/>
              </w:rPr>
              <w:t xml:space="preserve">Every one of these five is available to CONDAFE tomorrow. What they buy is a head start measured in quarters, and the only thing that extends it is the one asset that accumulates — a growing library of atestados, supplier prices and buyer payment histories that a new entrant cannot commission. Plan on the head start, build the library.</w:t>
            </w:r>
          </w:p>
        </w:tc>
      </w:tr>
    </w:tbl>
    <w:p>
      <w:r>
        <w:br w:type="page"/>
      </w:r>
    </w:p>
    <w:p>
      <w:pPr>
        <w:pStyle w:val="Heading1"/>
        <w:spacing w:after="160" w:before="360"/>
      </w:pPr>
      <w:r>
        <w:rPr>
          <w:rFonts w:ascii="Calibri" w:cs="Calibri" w:eastAsia="Calibri" w:hAnsi="Calibri"/>
          <w:b/>
          <w:bCs/>
          <w:color w:val="1A1A1A"/>
          <w:sz w:val="30"/>
          <w:szCs w:val="30"/>
        </w:rPr>
        <w:t xml:space="preserve">6. The product is the filter</w:t>
      </w:r>
    </w:p>
    <w:p>
      <w:pPr>
        <w:spacing w:after="120" w:before="0" w:line="276"/>
      </w:pPr>
      <w:r>
        <w:rPr>
          <w:rFonts w:ascii="Calibri" w:cs="Calibri" w:eastAsia="Calibri" w:hAnsi="Calibri"/>
          <w:color w:val="1A1A1A"/>
          <w:sz w:val="20"/>
          <w:szCs w:val="20"/>
        </w:rPr>
        <w:t xml:space="preserve">Median margins in this business are healthy — body 55%, fralda pack 51%, kit higiene 52% against wholesale. And </w:t>
      </w:r>
      <w:r>
        <w:rPr>
          <w:rFonts w:ascii="Calibri" w:cs="Calibri" w:eastAsia="Calibri" w:hAnsi="Calibri"/>
          <w:b/>
          <w:bCs/>
          <w:color w:val="1A1A1A"/>
          <w:sz w:val="20"/>
          <w:szCs w:val="20"/>
        </w:rPr>
        <w:t xml:space="preserve">every single SKU is loss-making at the observed award floor</w:t>
      </w:r>
      <w:r>
        <w:rPr>
          <w:rFonts w:ascii="Calibri" w:cs="Calibri" w:eastAsia="Calibri" w:hAnsi="Calibri"/>
          <w:color w:val="1A1A1A"/>
          <w:sz w:val="20"/>
          <w:szCs w:val="20"/>
        </w:rPr>
        <w:t xml:space="preserve"> — body −10%, fralda pack −19% — with two of those floors set by confecções bidding direct. Three real lots priced end to end came out at +21,6%, +30,8% and −3,1%.</w:t>
      </w:r>
    </w:p>
    <w:p>
      <w:pPr>
        <w:spacing w:after="120" w:before="0" w:line="276"/>
      </w:pPr>
      <w:r>
        <w:rPr>
          <w:rFonts w:ascii="Calibri" w:cs="Calibri" w:eastAsia="Calibri" w:hAnsi="Calibri"/>
          <w:color w:val="1A1A1A"/>
          <w:sz w:val="20"/>
          <w:szCs w:val="20"/>
        </w:rPr>
        <w:t xml:space="preserve">There is no pricing skill that rescues a lot she should not have entered. </w:t>
      </w:r>
      <w:r>
        <w:rPr>
          <w:rFonts w:ascii="Calibri" w:cs="Calibri" w:eastAsia="Calibri" w:hAnsi="Calibri"/>
          <w:b/>
          <w:bCs/>
          <w:color w:val="1A1A1A"/>
          <w:sz w:val="20"/>
          <w:szCs w:val="20"/>
        </w:rPr>
        <w:t xml:space="preserve">The filter is the business.</w:t>
      </w:r>
      <w:r>
        <w:rPr>
          <w:rFonts w:ascii="Calibri" w:cs="Calibri" w:eastAsia="Calibri" w:hAnsi="Calibri"/>
          <w:color w:val="1A1A1A"/>
          <w:sz w:val="20"/>
          <w:szCs w:val="20"/>
        </w:rPr>
        <w:t xml:space="preserve"> Seven rules, each derived from a measurement rather than a judgement, in the order they should run.</w:t>
      </w:r>
    </w:p>
    <w:p>
      <w:pPr>
        <w:spacing w:after="60"/>
      </w:pPr>
    </w:p>
    <w:tbl>
      <w:tblPr>
        <w:tblW w:type="dxa" w:w="9360"/>
        <w:tblBorders>
          <w:top w:val="single" w:color="C8C8C8" w:sz="4"/>
          <w:left w:val="none"/>
          <w:bottom w:val="single" w:color="C8C8C8" w:sz="4"/>
          <w:right w:val="none"/>
          <w:insideH w:val="single" w:color="C8C8C8" w:sz="2"/>
          <w:insideV w:val="none"/>
        </w:tblBorders>
      </w:tblPr>
      <w:tblGrid>
        <w:gridCol w:w="500"/>
        <w:gridCol w:w="1500"/>
        <w:gridCol w:w="3200"/>
        <w:gridCol w:w="41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Rule</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Reject when</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Why</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Buyer pays</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saldo ÷ inscritos &gt; 0,30, or cancelados &gt; 2%</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SICONFI RREO Anexo 07. 43% of buyers fail this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2</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Ticket floor</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Assembled kit priced below ~R$250–300</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Assembly is a fixed cost; it is regressive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3</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Value density</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Kit value ÷ packed litres &lt; R$8–10</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Freight is R$0,76–1,54 per litre from SP</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4</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Item count</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Kit completo above ~14 articles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 15-item kit prices no higher than an 11-item one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5</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Atestado type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Clause carries a numeric % or quantity</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Qualitative clauses she can satisfy; numeric ones she cannot, yet</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6</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Reservation check</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Line ≤ R$80.000 and not ME/EPP-flagged</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Do not reject — file the impugnação</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7</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Payment clause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Read the Decreto Municipal in the edital</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There is no national deadline to assume</w:t>
            </w:r>
          </w:p>
        </w:tc>
      </w:tr>
    </w:tbl>
    <w:p>
      <w:pPr>
        <w:spacing w:after="140"/>
      </w:pPr>
    </w:p>
    <w:p>
      <w:pPr>
        <w:pStyle w:val="Heading3"/>
        <w:spacing w:after="90" w:before="200"/>
      </w:pPr>
      <w:r>
        <w:rPr>
          <w:rFonts w:ascii="Calibri" w:cs="Calibri" w:eastAsia="Calibri" w:hAnsi="Calibri"/>
          <w:b/>
          <w:bCs/>
          <w:color w:val="5A5A5A"/>
          <w:sz w:val="20"/>
          <w:szCs w:val="20"/>
        </w:rPr>
        <w:t xml:space="preserve">Why rule 4 is a number and not a feeling</w:t>
      </w:r>
    </w:p>
    <w:p>
      <w:pPr>
        <w:spacing w:after="120" w:before="0" w:line="276"/>
      </w:pPr>
      <w:r>
        <w:rPr>
          <w:rFonts w:ascii="Calibri" w:cs="Calibri" w:eastAsia="Calibri" w:hAnsi="Calibri"/>
          <w:color w:val="1A1A1A"/>
          <w:sz w:val="20"/>
          <w:szCs w:val="20"/>
        </w:rPr>
        <w:t xml:space="preserve">Median award by article count: 3–5 articles R$276 · 6–8 R$322 · 9–11 R$430 · 12–14 R$444 · 15–17 R$425 · 18–20 R$605. </w:t>
      </w:r>
      <w:r>
        <w:rPr>
          <w:rFonts w:ascii="Calibri" w:cs="Calibri" w:eastAsia="Calibri" w:hAnsi="Calibri"/>
          <w:b/>
          <w:bCs/>
          <w:color w:val="1A1A1A"/>
          <w:sz w:val="20"/>
          <w:szCs w:val="20"/>
        </w:rPr>
        <w:t xml:space="preserve">A fifteen-item kit prices no higher than an eleven-item kit.</w:t>
      </w:r>
      <w:r>
        <w:rPr>
          <w:rFonts w:ascii="Calibri" w:cs="Calibri" w:eastAsia="Calibri" w:hAnsi="Calibri"/>
          <w:color w:val="1A1A1A"/>
          <w:sz w:val="20"/>
          <w:szCs w:val="20"/>
        </w:rPr>
        <w:t xml:space="preserve"> The marginal articles are priced at zero by the market, which is precisely the arithmetic under the −3,1% lot: it had eighteen items. Complexity is bought and not paid for.</w:t>
      </w:r>
    </w:p>
    <w:p>
      <w:pPr>
        <w:pStyle w:val="Heading3"/>
        <w:spacing w:after="90" w:before="200"/>
      </w:pPr>
      <w:r>
        <w:rPr>
          <w:rFonts w:ascii="Calibri" w:cs="Calibri" w:eastAsia="Calibri" w:hAnsi="Calibri"/>
          <w:b/>
          <w:bCs/>
          <w:color w:val="5A5A5A"/>
          <w:sz w:val="20"/>
          <w:szCs w:val="20"/>
        </w:rPr>
        <w:t xml:space="preserve">Why rule 7 exists, and a correction</w:t>
      </w:r>
    </w:p>
    <w:p>
      <w:pPr>
        <w:spacing w:after="120" w:before="0" w:line="276"/>
      </w:pPr>
      <w:r>
        <w:rPr>
          <w:rFonts w:ascii="Calibri" w:cs="Calibri" w:eastAsia="Calibri" w:hAnsi="Calibri"/>
          <w:color w:val="1A1A1A"/>
          <w:sz w:val="20"/>
          <w:szCs w:val="20"/>
        </w:rPr>
        <w:t xml:space="preserve">An earlier draft asserted that dispensa purchases must be paid in about fourteen calendar days under IN SEGES/ME 77/2022. The arithmetic was right and the scope was wrong: art. 1º of that instruction governs </w:t>
      </w:r>
      <w:r>
        <w:rPr>
          <w:rFonts w:ascii="Calibri" w:cs="Calibri" w:eastAsia="Calibri" w:hAnsi="Calibri"/>
          <w:i/>
          <w:iCs/>
          <w:color w:val="1A1A1A"/>
          <w:sz w:val="20"/>
          <w:szCs w:val="20"/>
        </w:rPr>
        <w:t xml:space="preserve">federal</w:t>
      </w:r>
      <w:r>
        <w:rPr>
          <w:rFonts w:ascii="Calibri" w:cs="Calibri" w:eastAsia="Calibri" w:hAnsi="Calibri"/>
          <w:color w:val="1A1A1A"/>
          <w:sz w:val="20"/>
          <w:szCs w:val="20"/>
        </w:rPr>
        <w:t xml:space="preserve"> bodies, and art. 2º reaches a município only when it is spending federal voluntary-transfer money. </w:t>
      </w:r>
      <w:r>
        <w:rPr>
          <w:rFonts w:ascii="Calibri" w:cs="Calibri" w:eastAsia="Calibri" w:hAnsi="Calibri"/>
          <w:b/>
          <w:bCs/>
          <w:color w:val="1A1A1A"/>
          <w:sz w:val="20"/>
          <w:szCs w:val="20"/>
        </w:rPr>
        <w:t xml:space="preserve">This market is 97% municipal.</w:t>
      </w:r>
      <w:r>
        <w:rPr>
          <w:rFonts w:ascii="Calibri" w:cs="Calibri" w:eastAsia="Calibri" w:hAnsi="Calibri"/>
          <w:color w:val="1A1A1A"/>
          <w:sz w:val="20"/>
          <w:szCs w:val="20"/>
        </w:rPr>
        <w:t xml:space="preserve"> What actually governs is art. 141 (chronological order, all levels), art. 92 VI (the deadline is a mandatory contract clause) and the município's own decree. Paracatu quotes its Decreto 7.088/2024 inside the edital: five working days to liquidate, fifteen to pay — 28 calendar days, twice the assumed figure.</w:t>
      </w:r>
    </w:p>
    <w:p>
      <w:pPr>
        <w:pStyle w:val="Heading3"/>
        <w:spacing w:after="90" w:before="200"/>
      </w:pPr>
      <w:r>
        <w:rPr>
          <w:rFonts w:ascii="Calibri" w:cs="Calibri" w:eastAsia="Calibri" w:hAnsi="Calibri"/>
          <w:b/>
          <w:bCs/>
          <w:color w:val="5A5A5A"/>
          <w:sz w:val="20"/>
          <w:szCs w:val="20"/>
        </w:rPr>
        <w:t xml:space="preserve">Three levers to use once she is inside</w:t>
      </w:r>
    </w:p>
    <w:p>
      <w:pPr>
        <w:pStyle w:val="ListParagraph"/>
        <w:numPr>
          <w:ilvl w:val="0"/>
          <w:numId w:val="3"/>
        </w:numPr>
        <w:spacing w:after="70" w:line="276"/>
      </w:pPr>
      <w:r>
        <w:rPr>
          <w:rFonts w:ascii="Calibri" w:cs="Calibri" w:eastAsia="Calibri" w:hAnsi="Calibri"/>
          <w:b/>
          <w:bCs/>
          <w:color w:val="1A1A1A"/>
          <w:sz w:val="20"/>
          <w:szCs w:val="20"/>
        </w:rPr>
        <w:t xml:space="preserve">Art. 141 §1º II </w:t>
      </w:r>
      <w:r>
        <w:rPr>
          <w:rFonts w:ascii="Calibri" w:cs="Calibri" w:eastAsia="Calibri" w:hAnsi="Calibri"/>
          <w:color w:val="1A1A1A"/>
          <w:sz w:val="20"/>
          <w:szCs w:val="20"/>
        </w:rPr>
        <w:t xml:space="preserve">permits the chronological payment queue to be jumped for an ME/EPP that can demonstrate a risk of discontinuity. Only a small company holds this lever.</w:t>
      </w:r>
    </w:p>
    <w:p>
      <w:pPr>
        <w:pStyle w:val="ListParagraph"/>
        <w:numPr>
          <w:ilvl w:val="0"/>
          <w:numId w:val="3"/>
        </w:numPr>
        <w:spacing w:after="70" w:line="276"/>
      </w:pPr>
      <w:r>
        <w:rPr>
          <w:rFonts w:ascii="Calibri" w:cs="Calibri" w:eastAsia="Calibri" w:hAnsi="Calibri"/>
          <w:b/>
          <w:bCs/>
          <w:color w:val="1A1A1A"/>
          <w:sz w:val="20"/>
          <w:szCs w:val="20"/>
        </w:rPr>
        <w:t xml:space="preserve">Art. 141 §3º </w:t>
      </w:r>
      <w:r>
        <w:rPr>
          <w:rFonts w:ascii="Calibri" w:cs="Calibri" w:eastAsia="Calibri" w:hAnsi="Calibri"/>
          <w:color w:val="1A1A1A"/>
          <w:sz w:val="20"/>
          <w:szCs w:val="20"/>
        </w:rPr>
        <w:t xml:space="preserve">obliges every body to publish its payment queue monthly, so her position in it is public and checkable.</w:t>
      </w:r>
    </w:p>
    <w:p>
      <w:pPr>
        <w:pStyle w:val="ListParagraph"/>
        <w:numPr>
          <w:ilvl w:val="0"/>
          <w:numId w:val="3"/>
        </w:numPr>
        <w:spacing w:after="70" w:line="276"/>
      </w:pPr>
      <w:r>
        <w:rPr>
          <w:rFonts w:ascii="Calibri" w:cs="Calibri" w:eastAsia="Calibri" w:hAnsi="Calibri"/>
          <w:b/>
          <w:bCs/>
          <w:color w:val="1A1A1A"/>
          <w:sz w:val="20"/>
          <w:szCs w:val="20"/>
        </w:rPr>
        <w:t xml:space="preserve">Art. 137 §2º </w:t>
      </w:r>
      <w:r>
        <w:rPr>
          <w:rFonts w:ascii="Calibri" w:cs="Calibri" w:eastAsia="Calibri" w:hAnsi="Calibri"/>
          <w:color w:val="1A1A1A"/>
          <w:sz w:val="20"/>
          <w:szCs w:val="20"/>
        </w:rPr>
        <w:t xml:space="preserve">gives the contratada the right to terminate on arrears exceeding two months.</w:t>
      </w:r>
    </w:p>
    <w:p>
      <w:r>
        <w:br w:type="page"/>
      </w:r>
    </w:p>
    <w:p>
      <w:pPr>
        <w:pStyle w:val="Heading1"/>
        <w:spacing w:after="160" w:before="360"/>
      </w:pPr>
      <w:r>
        <w:rPr>
          <w:rFonts w:ascii="Calibri" w:cs="Calibri" w:eastAsia="Calibri" w:hAnsi="Calibri"/>
          <w:b/>
          <w:bCs/>
          <w:color w:val="1A1A1A"/>
          <w:sz w:val="30"/>
          <w:szCs w:val="30"/>
        </w:rPr>
        <w:t xml:space="preserve">7. Unit economics</w:t>
      </w:r>
    </w:p>
    <w:p>
      <w:pPr>
        <w:spacing w:after="120" w:before="0" w:line="276"/>
      </w:pPr>
      <w:r>
        <w:rPr>
          <w:rFonts w:ascii="Calibri" w:cs="Calibri" w:eastAsia="Calibri" w:hAnsi="Calibri"/>
          <w:color w:val="1A1A1A"/>
          <w:sz w:val="20"/>
          <w:szCs w:val="20"/>
        </w:rPr>
        <w:t xml:space="preserve">Built from measured inputs. Freight is a live Correios measurement; ICMS-ST and DIFAL are verified at zero; the tax line is computed from the statute. Two inputs remain estimates and are flagged as such: the cost of goods, and the co-packing fee — because </w:t>
      </w:r>
      <w:r>
        <w:rPr>
          <w:rFonts w:ascii="Calibri" w:cs="Calibri" w:eastAsia="Calibri" w:hAnsi="Calibri"/>
          <w:b/>
          <w:bCs/>
          <w:color w:val="1A1A1A"/>
          <w:sz w:val="20"/>
          <w:szCs w:val="20"/>
        </w:rPr>
        <w:t xml:space="preserve">no Brazilian co-packer publishes a price. Twelve were checked and the category quotes, without exception.</w:t>
      </w:r>
    </w:p>
    <w:tbl>
      <w:tblPr>
        <w:tblW w:type="dxa" w:w="9360"/>
        <w:tblBorders>
          <w:top w:val="single" w:color="C8C8C8" w:sz="4"/>
          <w:left w:val="none"/>
          <w:bottom w:val="single" w:color="C8C8C8" w:sz="4"/>
          <w:right w:val="none"/>
          <w:insideH w:val="single" w:color="C8C8C8" w:sz="2"/>
          <w:insideV w:val="none"/>
        </w:tblBorders>
      </w:tblPr>
      <w:tblGrid>
        <w:gridCol w:w="4000"/>
        <w:gridCol w:w="2680"/>
        <w:gridCol w:w="268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Per kit</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R$150 kit · 15 L</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R$475 kit · 40 L</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Sale price (award)</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150,00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475,12</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Goods at 60%  (UNVERIFIED)</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−90,00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−285,07</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ICMS-ST  (verified zero in SP)</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0,00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0,00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Outbound DIFAL  (verified zero)</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0,00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Simples DAS @ 6,2%</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−9,30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−29,46</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Co-packing  (UNVERIFIED, ≤R$18 bounded)</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−15,00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−15,00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Freight to Curitiba / BH</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−11,85</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−31,60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NET — near destination</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R$23,85  ·  15,9%</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R$113,99  ·  24,0%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Freight to Aracaju / Porto Velho</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−19,20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−51,20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NET — far destination</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R$16,50  ·  11,0%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R$94,39  ·  19,9%</w:t>
            </w:r>
          </w:p>
        </w:tc>
      </w:tr>
    </w:tbl>
    <w:p>
      <w:pPr>
        <w:spacing w:after="140"/>
      </w:pPr>
    </w:p>
    <w:tbl>
      <w:tblPr>
        <w:tblW w:type="dxa" w:w="9360"/>
        <w:tblBorders>
          <w:top w:val="single" w:color="C8C8C8" w:sz="2"/>
          <w:left w:val="single" w:color="1F5C3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This single table is the argument for the ticket floor. </w:t>
            </w:r>
            <w:r>
              <w:rPr>
                <w:rFonts w:ascii="Calibri" w:cs="Calibri" w:eastAsia="Calibri" w:hAnsi="Calibri"/>
                <w:color w:val="1A1A1A"/>
                <w:sz w:val="19"/>
                <w:szCs w:val="19"/>
              </w:rPr>
              <w:t xml:space="preserve">The R$150 assembled kit does not survive being assembled by someone else — 15,9% near and 11,0% far, both below the bar. The R$475 kit clears it everywhere, including Rondônia, including at 65% cost of goods. Assembly is a fixed cost per unit, so it is regressive, and the cheap kit is where it does its damage.</w:t>
            </w:r>
          </w:p>
        </w:tc>
      </w:tr>
    </w:tbl>
    <w:p>
      <w:pPr>
        <w:spacing w:after="150"/>
      </w:pPr>
    </w:p>
    <w:p>
      <w:pPr>
        <w:pStyle w:val="Heading2"/>
        <w:spacing w:after="110" w:before="260"/>
      </w:pPr>
      <w:r>
        <w:rPr>
          <w:rFonts w:ascii="Calibri" w:cs="Calibri" w:eastAsia="Calibri" w:hAnsi="Calibri"/>
          <w:b/>
          <w:bCs/>
          <w:color w:val="1A1A1A"/>
          <w:sz w:val="23"/>
          <w:szCs w:val="23"/>
        </w:rPr>
        <w:t xml:space="preserve">Freight is priced per litre, not per kilo</w:t>
      </w:r>
    </w:p>
    <w:p>
      <w:pPr>
        <w:spacing w:after="120" w:before="0" w:line="276"/>
      </w:pPr>
      <w:r>
        <w:rPr>
          <w:rFonts w:ascii="Calibri" w:cs="Calibri" w:eastAsia="Calibri" w:hAnsi="Calibri"/>
          <w:color w:val="1A1A1A"/>
          <w:sz w:val="20"/>
          <w:szCs w:val="20"/>
        </w:rPr>
        <w:t xml:space="preserve">Measured live at Correios' public pricing endpoint, origin São Paulo. The endpoint prices on cubed volume and ignores declared weight entirely — for low-density goods like these, so does reality.</w:t>
      </w:r>
    </w:p>
    <w:tbl>
      <w:tblPr>
        <w:tblW w:type="dxa" w:w="9360"/>
        <w:tblBorders>
          <w:top w:val="single" w:color="C8C8C8" w:sz="4"/>
          <w:left w:val="none"/>
          <w:bottom w:val="single" w:color="C8C8C8" w:sz="4"/>
          <w:right w:val="none"/>
          <w:insideH w:val="single" w:color="C8C8C8" w:sz="2"/>
          <w:insideV w:val="none"/>
        </w:tblBorders>
      </w:tblPr>
      <w:tblGrid>
        <w:gridCol w:w="4400"/>
        <w:gridCol w:w="2480"/>
        <w:gridCol w:w="248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Destination from São Paulo</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R$ per litre</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PAC deadline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Curitiba / Belo Horizonte</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0,76 – 0,82</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5 working days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Salvador</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0,87 – 0,94</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6 working days</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Aracaju / Porto Velho</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1,23 – 1,33</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8 working days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Interior Northeast (Remanso/BA)</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1,42 – 1,54</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 working days</w:t>
            </w:r>
          </w:p>
        </w:tc>
      </w:tr>
    </w:tbl>
    <w:p>
      <w:pPr>
        <w:spacing w:after="130"/>
      </w:pPr>
    </w:p>
    <w:tbl>
      <w:tblPr>
        <w:tblW w:type="dxa" w:w="9360"/>
        <w:tblBorders>
          <w:top w:val="single" w:color="C8C8C8" w:sz="4"/>
          <w:left w:val="none"/>
          <w:bottom w:val="single" w:color="C8C8C8" w:sz="4"/>
          <w:right w:val="none"/>
          <w:insideH w:val="single" w:color="C8C8C8" w:sz="2"/>
          <w:insideV w:val="none"/>
        </w:tblBorders>
      </w:tblPr>
      <w:tblGrid>
        <w:gridCol w:w="2800"/>
        <w:gridCol w:w="2100"/>
        <w:gridCol w:w="2100"/>
        <w:gridCol w:w="23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Kit value per packed litre</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Freight to Curitiba</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Freight to Aracaju</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Verdict</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R$4</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19,8%</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32,0%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Northeast unbiddable</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R$6</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13,2%</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21,3%</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Northeast unbiddable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R$8</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9,9%</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16,0%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Northeast marginal</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R$10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7,9%</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12,8%</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Northeast marginal</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R$12</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6,6%</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10,7%</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Bid anywhere</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R$16</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4,9%</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8,0%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Bid anywhere</w:t>
            </w:r>
          </w:p>
        </w:tc>
      </w:tr>
    </w:tbl>
    <w:p>
      <w:pPr>
        <w:spacing w:after="130"/>
      </w:pPr>
    </w:p>
    <w:p>
      <w:pPr>
        <w:spacing w:after="120" w:before="0" w:line="276"/>
      </w:pPr>
      <w:r>
        <w:rPr>
          <w:rFonts w:ascii="Calibri" w:cs="Calibri" w:eastAsia="Calibri" w:hAnsi="Calibri"/>
          <w:color w:val="1A1A1A"/>
          <w:sz w:val="20"/>
          <w:szCs w:val="20"/>
        </w:rPr>
        <w:t xml:space="preserve">This is also the explanation for the 92% single-state concentration. A local bidder carries almost no freight; a São Paulo desk bidding Rondônia spots them roughly 13% of revenue before the first lance. </w:t>
      </w:r>
      <w:r>
        <w:rPr>
          <w:rFonts w:ascii="Calibri" w:cs="Calibri" w:eastAsia="Calibri" w:hAnsi="Calibri"/>
          <w:b/>
          <w:bCs/>
          <w:color w:val="1A1A1A"/>
          <w:sz w:val="20"/>
          <w:szCs w:val="20"/>
        </w:rPr>
        <w:t xml:space="preserve">She cannot win everywhere. She can win where the value density is high enough to swallow the freight — which she can compute before bidding and her local competitors have no reason to think about.</w:t>
      </w:r>
    </w:p>
    <w:p>
      <w:r>
        <w:br w:type="page"/>
      </w:r>
    </w:p>
    <w:p>
      <w:pPr>
        <w:pStyle w:val="Heading1"/>
        <w:spacing w:after="160" w:before="360"/>
      </w:pPr>
      <w:r>
        <w:rPr>
          <w:rFonts w:ascii="Calibri" w:cs="Calibri" w:eastAsia="Calibri" w:hAnsi="Calibri"/>
          <w:b/>
          <w:bCs/>
          <w:color w:val="1A1A1A"/>
          <w:sz w:val="30"/>
          <w:szCs w:val="30"/>
        </w:rPr>
        <w:t xml:space="preserve">8. Working capital — the answer to “what do we need to get going”</w:t>
      </w:r>
    </w:p>
    <w:p>
      <w:pPr>
        <w:spacing w:after="120" w:before="0" w:line="276"/>
      </w:pPr>
      <w:r>
        <w:rPr>
          <w:rFonts w:ascii="Calibri" w:cs="Calibri" w:eastAsia="Calibri" w:hAnsi="Calibri"/>
          <w:color w:val="1A1A1A"/>
          <w:sz w:val="20"/>
          <w:szCs w:val="20"/>
        </w:rPr>
        <w:t xml:space="preserve">You asked me to tell you what it takes rather than guess at a number. Here it is, derived from a 24-month model at measured medians: a R$52.500 lot, 22% net, goods paid at order, delivery 25 days after award, and a founder draw of R$6.000/month from month seven.</w:t>
      </w:r>
    </w:p>
    <w:p>
      <w:pPr>
        <w:spacing w:after="60"/>
      </w:pPr>
    </w:p>
    <w:tbl>
      <w:tblPr>
        <w:tblW w:type="dxa" w:w="9360"/>
        <w:tblBorders>
          <w:top w:val="single" w:color="C8C8C8" w:sz="4"/>
          <w:left w:val="none"/>
          <w:bottom w:val="single" w:color="C8C8C8" w:sz="4"/>
          <w:right w:val="none"/>
          <w:insideH w:val="single" w:color="C8C8C8" w:sz="2"/>
          <w:insideV w:val="none"/>
        </w:tblBorders>
      </w:tblPr>
      <w:tblGrid>
        <w:gridCol w:w="6400"/>
        <w:gridCol w:w="29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Starting capital required so the balance never drops below R$5.000</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Amount</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 supplier terms · unfiltered buyer</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R$96.000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 supplier terms · filtered buyer (pays in ~30 days)</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R$43.000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30-day supplier terms · unfiltered buyer</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R$43.000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30-day supplier terms · filtered buyer</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R$10.000</w:t>
            </w:r>
          </w:p>
        </w:tc>
      </w:tr>
    </w:tbl>
    <w:p>
      <w:pPr>
        <w:spacing w:after="140"/>
      </w:pPr>
    </w:p>
    <w:tbl>
      <w:tblPr>
        <w:tblW w:type="dxa" w:w="9360"/>
        <w:tblBorders>
          <w:top w:val="single" w:color="C8C8C8" w:sz="2"/>
          <w:left w:val="single" w:color="1F5C3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120" w:before="0" w:line="276"/>
            </w:pPr>
            <w:r>
              <w:rPr>
                <w:rFonts w:ascii="Calibri" w:cs="Calibri" w:eastAsia="Calibri" w:hAnsi="Calibri"/>
                <w:b/>
                <w:bCs/>
                <w:color w:val="1A1A1A"/>
                <w:sz w:val="19"/>
                <w:szCs w:val="19"/>
              </w:rPr>
              <w:t xml:space="preserve">Read that table twice. </w:t>
            </w:r>
            <w:r>
              <w:rPr>
                <w:rFonts w:ascii="Calibri" w:cs="Calibri" w:eastAsia="Calibri" w:hAnsi="Calibri"/>
                <w:color w:val="1A1A1A"/>
                <w:sz w:val="19"/>
                <w:szCs w:val="19"/>
              </w:rPr>
              <w:t xml:space="preserve">The buyer-payment filter and thirty days of supplier terms each cut the capital requirement by more than half, and together they cut it by nine-tenths. Neither costs money. One is a free API call before bidding; the other is a question asked in a supplier cadastro form.</w:t>
            </w:r>
          </w:p>
          <w:p>
            <w:pPr>
              <w:spacing w:after="0" w:before="0" w:line="276"/>
            </w:pPr>
            <w:r>
              <w:rPr>
                <w:rFonts w:ascii="Calibri" w:cs="Calibri" w:eastAsia="Calibri" w:hAnsi="Calibri"/>
                <w:b/>
                <w:bCs/>
                <w:color w:val="1A1A1A"/>
                <w:sz w:val="19"/>
                <w:szCs w:val="19"/>
              </w:rPr>
              <w:t xml:space="preserve">RECOMMENDATION: R$50.000, with the buyer filter running from the first bid. </w:t>
            </w:r>
            <w:r>
              <w:rPr>
                <w:rFonts w:ascii="Calibri" w:cs="Calibri" w:eastAsia="Calibri" w:hAnsi="Calibri"/>
                <w:color w:val="1A1A1A"/>
                <w:sz w:val="19"/>
                <w:szCs w:val="19"/>
              </w:rPr>
              <w:t xml:space="preserve">That is R$43.000 of requirement plus headroom for one lot going wrong. R$96.000 buys the right to ignore the filter, which is the most expensive way to buy something she can have for nothing.</w:t>
            </w:r>
          </w:p>
        </w:tc>
      </w:tr>
    </w:tbl>
    <w:p>
      <w:pPr>
        <w:spacing w:after="150"/>
      </w:pPr>
    </w:p>
    <w:p>
      <w:pPr>
        <w:pStyle w:val="Heading2"/>
        <w:spacing w:after="110" w:before="260"/>
      </w:pPr>
      <w:r>
        <w:rPr>
          <w:rFonts w:ascii="Calibri" w:cs="Calibri" w:eastAsia="Calibri" w:hAnsi="Calibri"/>
          <w:b/>
          <w:bCs/>
          <w:color w:val="1A1A1A"/>
          <w:sz w:val="23"/>
          <w:szCs w:val="23"/>
        </w:rPr>
        <w:t xml:space="preserve">The shape of the first two years</w:t>
      </w:r>
    </w:p>
    <w:tbl>
      <w:tblPr>
        <w:tblW w:type="dxa" w:w="9360"/>
        <w:tblBorders>
          <w:top w:val="single" w:color="C8C8C8" w:sz="4"/>
          <w:left w:val="none"/>
          <w:bottom w:val="single" w:color="C8C8C8" w:sz="4"/>
          <w:right w:val="none"/>
          <w:insideH w:val="single" w:color="C8C8C8" w:sz="2"/>
          <w:insideV w:val="none"/>
        </w:tblBorders>
      </w:tblPr>
      <w:tblGrid>
        <w:gridCol w:w="4400"/>
        <w:gridCol w:w="2480"/>
        <w:gridCol w:w="248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Year 1</w:t>
            </w:r>
          </w:p>
        </w:tc>
        <w:tc>
          <w:tcPr>
            <w:tcW w:type="dxa" w:w="0"/>
            <w:shd w:fill="EDEAE4" w:color="auto" w:val="clear"/>
            <w:tcMar>
              <w:top w:type="dxa" w:w="70"/>
              <w:left w:type="dxa" w:w="100"/>
              <w:bottom w:type="dxa" w:w="70"/>
              <w:right w:type="dxa" w:w="100"/>
            </w:tcMar>
          </w:tcPr>
          <w:p>
            <w:pPr>
              <w:spacing w:after="0" w:line="252"/>
              <w:jc w:val="right"/>
            </w:pPr>
            <w:r>
              <w:rPr>
                <w:rFonts w:ascii="Calibri" w:cs="Calibri" w:eastAsia="Calibri" w:hAnsi="Calibri"/>
                <w:b/>
                <w:bCs/>
                <w:color w:val="1A1A1A"/>
                <w:sz w:val="17"/>
                <w:szCs w:val="17"/>
              </w:rPr>
              <w:t xml:space="preserve">Year 2</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Tender wins</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9</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22</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Billings</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R$472.500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R$1.155.000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Net contribution at 22%</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R$103.950</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R$254.100</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Founder draw</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R$36.000</w:t>
            </w:r>
          </w:p>
        </w:tc>
        <w:tc>
          <w:tcPr>
            <w:tcW w:type="dxa" w:w="0"/>
            <w:shd w:fill="F7F5F2" w:color="auto" w:val="clear"/>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R$72.000</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Closing cash</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w:t>
            </w:r>
          </w:p>
        </w:tc>
        <w:tc>
          <w:tcPr>
            <w:tcW w:type="dxa" w:w="0"/>
            <w:tcMar>
              <w:top w:type="dxa" w:w="70"/>
              <w:left w:type="dxa" w:w="100"/>
              <w:bottom w:type="dxa" w:w="70"/>
              <w:right w:type="dxa" w:w="100"/>
            </w:tcMar>
          </w:tcPr>
          <w:p>
            <w:pPr>
              <w:spacing w:after="0" w:line="252"/>
              <w:jc w:val="right"/>
            </w:pPr>
            <w:r>
              <w:rPr>
                <w:rFonts w:ascii="Calibri" w:cs="Calibri" w:eastAsia="Calibri" w:hAnsi="Calibri"/>
                <w:color w:val="1A1A1A"/>
                <w:sz w:val="17"/>
                <w:szCs w:val="17"/>
              </w:rPr>
              <w:t xml:space="preserve">R$221.000</w:t>
            </w:r>
          </w:p>
        </w:tc>
      </w:tr>
    </w:tbl>
    <w:p>
      <w:pPr>
        <w:spacing w:after="130"/>
      </w:pPr>
    </w:p>
    <w:p>
      <w:pPr>
        <w:spacing w:after="120" w:before="0" w:line="276"/>
      </w:pPr>
      <w:r>
        <w:rPr>
          <w:rFonts w:ascii="Calibri" w:cs="Calibri" w:eastAsia="Calibri" w:hAnsi="Calibri"/>
          <w:color w:val="1A1A1A"/>
          <w:sz w:val="20"/>
          <w:szCs w:val="20"/>
        </w:rPr>
        <w:t xml:space="preserve">Month 24 run-rate is two lots a month: R$1,26 M a year of billings and about R$23.500 a month of net contribution against a target of R$10.400–13.000. </w:t>
      </w:r>
      <w:r>
        <w:rPr>
          <w:rFonts w:ascii="Calibri" w:cs="Calibri" w:eastAsia="Calibri" w:hAnsi="Calibri"/>
          <w:b/>
          <w:bCs/>
          <w:color w:val="1A1A1A"/>
          <w:sz w:val="20"/>
          <w:szCs w:val="20"/>
        </w:rPr>
        <w:t xml:space="preserve">The plan reaches the target around month 14–16 and passes it comfortably thereafter.</w:t>
      </w:r>
      <w:r>
        <w:rPr>
          <w:rFonts w:ascii="Calibri" w:cs="Calibri" w:eastAsia="Calibri" w:hAnsi="Calibri"/>
          <w:color w:val="1A1A1A"/>
          <w:sz w:val="20"/>
          <w:szCs w:val="20"/>
        </w:rPr>
        <w:t xml:space="preserve"> The year-one figure of nine wins is deliberately conservative — it assumes she wins roughly one in eleven of what she bids, and that she bids only what the filter passes.</w:t>
      </w:r>
    </w:p>
    <w:p>
      <w:pPr>
        <w:spacing w:after="60"/>
      </w:pP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Where it breaks, and it is worth knowing precisely: </w:t>
            </w:r>
            <w:r>
              <w:rPr>
                <w:rFonts w:ascii="Calibri" w:cs="Calibri" w:eastAsia="Calibri" w:hAnsi="Calibri"/>
                <w:color w:val="1A1A1A"/>
                <w:sz w:val="19"/>
                <w:szCs w:val="19"/>
              </w:rPr>
              <w:t xml:space="preserve">the model goes negative in the month she first wins two lots at once. Success is what strains it, not failure. The mitigation is not more capital — it is to stop bidding when committed goods exceed roughly 60% of available cash, and to let a good tender go. </w:t>
            </w:r>
            <w:r>
              <w:rPr>
                <w:rFonts w:ascii="Calibri" w:cs="Calibri" w:eastAsia="Calibri" w:hAnsi="Calibri"/>
                <w:b/>
                <w:bCs/>
                <w:color w:val="1A1A1A"/>
                <w:sz w:val="19"/>
                <w:szCs w:val="19"/>
              </w:rPr>
              <w:t xml:space="preserve">A tender desk that cannot say no to a winnable lot will run out of money while profitable.</w:t>
            </w:r>
          </w:p>
        </w:tc>
      </w:tr>
    </w:tbl>
    <w:p>
      <w:pPr>
        <w:spacing w:after="150"/>
      </w:pPr>
    </w:p>
    <w:p>
      <w:pPr>
        <w:pStyle w:val="Heading2"/>
        <w:spacing w:after="110" w:before="260"/>
      </w:pPr>
      <w:r>
        <w:rPr>
          <w:rFonts w:ascii="Calibri" w:cs="Calibri" w:eastAsia="Calibri" w:hAnsi="Calibri"/>
          <w:b/>
          <w:bCs/>
          <w:color w:val="1A1A1A"/>
          <w:sz w:val="23"/>
          <w:szCs w:val="23"/>
        </w:rPr>
        <w:t xml:space="preserve">And a real instrument, if it is ever needed</w:t>
      </w:r>
    </w:p>
    <w:p>
      <w:pPr>
        <w:spacing w:after="120" w:before="0" w:line="276"/>
      </w:pPr>
      <w:r>
        <w:rPr>
          <w:rFonts w:ascii="Calibri" w:cs="Calibri" w:eastAsia="Calibri" w:hAnsi="Calibri"/>
          <w:color w:val="1A1A1A"/>
          <w:sz w:val="20"/>
          <w:szCs w:val="20"/>
        </w:rPr>
        <w:t xml:space="preserve">FGI PEAC is the only credit instrument in Brazil whose published eligibility a company with no trading history passes: BNDES' own FAQ states revenue up to R$300 million with </w:t>
      </w:r>
      <w:r>
        <w:rPr>
          <w:rFonts w:ascii="Calibri" w:cs="Calibri" w:eastAsia="Calibri" w:hAnsi="Calibri"/>
          <w:b/>
          <w:bCs/>
          <w:color w:val="1A1A1A"/>
          <w:sz w:val="20"/>
          <w:szCs w:val="20"/>
        </w:rPr>
        <w:t xml:space="preserve">no minimum revenue, no minimum time in business and no prior accounts</w:t>
      </w:r>
      <w:r>
        <w:rPr>
          <w:rFonts w:ascii="Calibri" w:cs="Calibri" w:eastAsia="Calibri" w:hAnsi="Calibri"/>
          <w:color w:val="1A1A1A"/>
          <w:sz w:val="20"/>
          <w:szCs w:val="20"/>
        </w:rPr>
        <w:t xml:space="preserve">, and that personal and real guarantees are waived. Minimum R$1.000, 12–36 months of grace, made permanent by Lei 14.554/2023, offered through 48 agents including Stone, Nubank, Sicoob and Sicredi. It is a term loan rather than a revolving line, and no agent publishes a rate — budget against a published unsecured CET of 2,91–6,60% a month.</w:t>
      </w:r>
    </w:p>
    <w:p>
      <w:pPr>
        <w:spacing w:after="120" w:before="0" w:line="276"/>
      </w:pPr>
      <w:r>
        <w:rPr>
          <w:rFonts w:ascii="Calibri" w:cs="Calibri" w:eastAsia="Calibri" w:hAnsi="Calibri"/>
          <w:color w:val="1A1A1A"/>
          <w:sz w:val="20"/>
          <w:szCs w:val="20"/>
        </w:rPr>
        <w:t xml:space="preserve">Dead ends, recorded so nobody reopens them: Cartão BNDES excludes working capital outright; Pronampe is capped by capital social rather than revenue, so R$15.600 of capital buys a R$10.400 loan; secured business cards merely reshuffle her own money; and cessão de crédito outside AntecipaGov is refused by the public buyer as a matter of doctrine.</w:t>
      </w:r>
    </w:p>
    <w:p>
      <w:r>
        <w:br w:type="page"/>
      </w:r>
    </w:p>
    <w:p>
      <w:pPr>
        <w:pStyle w:val="Heading1"/>
        <w:spacing w:after="160" w:before="360"/>
      </w:pPr>
      <w:r>
        <w:rPr>
          <w:rFonts w:ascii="Calibri" w:cs="Calibri" w:eastAsia="Calibri" w:hAnsi="Calibri"/>
          <w:b/>
          <w:bCs/>
          <w:color w:val="1A1A1A"/>
          <w:sz w:val="30"/>
          <w:szCs w:val="30"/>
        </w:rPr>
        <w:t xml:space="preserve">9. The first atestado — and why it costs nothing</w:t>
      </w:r>
    </w:p>
    <w:p>
      <w:pPr>
        <w:spacing w:after="120" w:before="0" w:line="276"/>
      </w:pPr>
      <w:r>
        <w:rPr>
          <w:rFonts w:ascii="Calibri" w:cs="Calibri" w:eastAsia="Calibri" w:hAnsi="Calibri"/>
          <w:color w:val="1A1A1A"/>
          <w:sz w:val="20"/>
          <w:szCs w:val="20"/>
        </w:rPr>
        <w:t xml:space="preserve">The credential barrier in this market is the </w:t>
      </w:r>
      <w:r>
        <w:rPr>
          <w:rFonts w:ascii="Calibri" w:cs="Calibri" w:eastAsia="Calibri" w:hAnsi="Calibri"/>
          <w:i/>
          <w:iCs/>
          <w:color w:val="1A1A1A"/>
          <w:sz w:val="20"/>
          <w:szCs w:val="20"/>
        </w:rPr>
        <w:t xml:space="preserve">atestado de capacidade técnica</w:t>
      </w:r>
      <w:r>
        <w:rPr>
          <w:rFonts w:ascii="Calibri" w:cs="Calibri" w:eastAsia="Calibri" w:hAnsi="Calibri"/>
          <w:color w:val="1A1A1A"/>
          <w:sz w:val="20"/>
          <w:szCs w:val="20"/>
        </w:rPr>
        <w:t xml:space="preserve">: proof of having supplied similar goods before. An earlier draft of this plan called it the entry gate and recommended deliberately losing money on one contract to acquire it. </w:t>
      </w:r>
      <w:r>
        <w:rPr>
          <w:rFonts w:ascii="Calibri" w:cs="Calibri" w:eastAsia="Calibri" w:hAnsi="Calibri"/>
          <w:b/>
          <w:bCs/>
          <w:color w:val="1A1A1A"/>
          <w:sz w:val="20"/>
          <w:szCs w:val="20"/>
        </w:rPr>
        <w:t xml:space="preserve">That recommendation is withdrawn. It is not needed.</w:t>
      </w:r>
    </w:p>
    <w:p>
      <w:pPr>
        <w:spacing w:after="120" w:before="0" w:line="276"/>
      </w:pPr>
      <w:r>
        <w:rPr>
          <w:rFonts w:ascii="Calibri" w:cs="Calibri" w:eastAsia="Calibri" w:hAnsi="Calibri"/>
          <w:color w:val="1A1A1A"/>
          <w:sz w:val="20"/>
          <w:szCs w:val="20"/>
        </w:rPr>
        <w:t xml:space="preserve">Five live 2026 kit editais from five different publishers, read end to end:</w:t>
      </w:r>
    </w:p>
    <w:tbl>
      <w:tblPr>
        <w:tblW w:type="dxa" w:w="9360"/>
        <w:tblBorders>
          <w:top w:val="single" w:color="C8C8C8" w:sz="4"/>
          <w:left w:val="none"/>
          <w:bottom w:val="single" w:color="C8C8C8" w:sz="4"/>
          <w:right w:val="none"/>
          <w:insideH w:val="single" w:color="C8C8C8" w:sz="2"/>
          <w:insideV w:val="none"/>
        </w:tblBorders>
      </w:tblPr>
      <w:tblGrid>
        <w:gridCol w:w="2800"/>
        <w:gridCol w:w="2200"/>
        <w:gridCol w:w="1700"/>
        <w:gridCol w:w="1400"/>
        <w:gridCol w:w="12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Edital</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Atestado</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Balanço</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Capital</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Garantia</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Paracatu / MG — R$228.039</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 at all</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Rio Vermelho / MG</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 substantive</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Nerópolis / GO</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qualitative only</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expressly waived</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Cotia / SP</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quantitative, 50%</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2 exercises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Chã de Alegria / PE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qualitative only</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none</w:t>
            </w:r>
          </w:p>
        </w:tc>
      </w:tr>
    </w:tbl>
    <w:p>
      <w:pPr>
        <w:spacing w:after="140"/>
      </w:pPr>
    </w:p>
    <w:p>
      <w:pPr>
        <w:spacing w:after="120" w:before="0" w:line="276"/>
      </w:pPr>
      <w:r>
        <w:rPr>
          <w:rFonts w:ascii="Calibri" w:cs="Calibri" w:eastAsia="Calibri" w:hAnsi="Calibri"/>
          <w:color w:val="1A1A1A"/>
          <w:sz w:val="20"/>
          <w:szCs w:val="20"/>
        </w:rPr>
        <w:t xml:space="preserve">Across a larger sample, roughly 39% of all kit editais carry an atestado clause, rising to about 78% among those that publish a full habilitação section — but </w:t>
      </w:r>
      <w:r>
        <w:rPr>
          <w:rFonts w:ascii="Calibri" w:cs="Calibri" w:eastAsia="Calibri" w:hAnsi="Calibri"/>
          <w:b/>
          <w:bCs/>
          <w:color w:val="1A1A1A"/>
          <w:sz w:val="20"/>
          <w:szCs w:val="20"/>
        </w:rPr>
        <w:t xml:space="preserve">only three of forty-two attach a number.</w:t>
      </w:r>
      <w:r>
        <w:rPr>
          <w:rFonts w:ascii="Calibri" w:cs="Calibri" w:eastAsia="Calibri" w:hAnsi="Calibri"/>
          <w:color w:val="1A1A1A"/>
          <w:sz w:val="20"/>
          <w:szCs w:val="20"/>
        </w:rPr>
        <w:t xml:space="preserve"> The rest are qualitative: “comprovação de aptidão para o fornecimento de bens similares”. A qualitative clause is satisfied by a single prior sale of any size.</w:t>
      </w:r>
    </w:p>
    <w:p>
      <w:pPr>
        <w:spacing w:after="60"/>
      </w:pPr>
    </w:p>
    <w:tbl>
      <w:tblPr>
        <w:tblW w:type="dxa" w:w="9360"/>
        <w:tblBorders>
          <w:top w:val="single" w:color="C8C8C8" w:sz="2"/>
          <w:left w:val="single" w:color="1F5C3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And the credential may be issued by a private buyer. </w:t>
            </w:r>
            <w:r>
              <w:rPr>
                <w:rFonts w:ascii="Calibri" w:cs="Calibri" w:eastAsia="Calibri" w:hAnsi="Calibri"/>
                <w:color w:val="1A1A1A"/>
                <w:sz w:val="19"/>
                <w:szCs w:val="19"/>
              </w:rPr>
              <w:t xml:space="preserve">The AGU's own model termo de referência and both editais that demand one say “pessoas jurídicas de direito público ou privado”. </w:t>
            </w:r>
            <w:r>
              <w:rPr>
                <w:rFonts w:ascii="Calibri" w:cs="Calibri" w:eastAsia="Calibri" w:hAnsi="Calibri"/>
                <w:b/>
                <w:bCs/>
                <w:color w:val="1A1A1A"/>
                <w:sz w:val="19"/>
                <w:szCs w:val="19"/>
              </w:rPr>
              <w:t xml:space="preserve">One private corporate kit sale — even R$2.000 — mints the credential that opens the quantitative half of the public market.</w:t>
            </w:r>
            <w:r>
              <w:rPr>
                <w:rFonts w:ascii="Calibri" w:cs="Calibri" w:eastAsia="Calibri" w:hAnsi="Calibri"/>
                <w:color w:val="1A1A1A"/>
                <w:sz w:val="19"/>
                <w:szCs w:val="19"/>
              </w:rPr>
              <w:t xml:space="preserve"> And the somatório is the default: TCU held that barring the addition of several atestados without justification is unlawful, and that its absence from an edital is not an irregularity.</w:t>
            </w:r>
          </w:p>
        </w:tc>
      </w:tr>
    </w:tbl>
    <w:p>
      <w:pPr>
        <w:spacing w:after="150"/>
      </w:pPr>
    </w:p>
    <w:p>
      <w:pPr>
        <w:spacing w:after="120" w:before="0" w:line="276"/>
      </w:pPr>
      <w:r>
        <w:rPr>
          <w:rFonts w:ascii="Calibri" w:cs="Calibri" w:eastAsia="Calibri" w:hAnsi="Calibri"/>
          <w:color w:val="1A1A1A"/>
          <w:sz w:val="20"/>
          <w:szCs w:val="20"/>
        </w:rPr>
        <w:t xml:space="preserve">So the ramp is: bid the ~20% that demand nothing and the ~60% that demand something qualitative, take one small private sale to mint the first written credential, and accumulate. The 7% that demand a real percentage arrive later, or never — they are not needed to reach the target.</w:t>
      </w:r>
    </w:p>
    <w:p>
      <w:pPr>
        <w:spacing w:after="60"/>
      </w:pPr>
    </w:p>
    <w:p>
      <w:pPr>
        <w:spacing w:after="120" w:before="0" w:line="276"/>
      </w:pPr>
      <w:r>
        <w:rPr>
          <w:rFonts w:ascii="Calibri" w:cs="Calibri" w:eastAsia="Calibri" w:hAnsi="Calibri"/>
          <w:color w:val="1A1A1A"/>
          <w:sz w:val="20"/>
          <w:szCs w:val="20"/>
        </w:rPr>
        <w:t xml:space="preserve">Two corrections worth carrying, because both would have led the plan astray. </w:t>
      </w:r>
      <w:r>
        <w:rPr>
          <w:rFonts w:ascii="Calibri" w:cs="Calibri" w:eastAsia="Calibri" w:hAnsi="Calibri"/>
          <w:b/>
          <w:bCs/>
          <w:color w:val="1A1A1A"/>
          <w:sz w:val="20"/>
          <w:szCs w:val="20"/>
        </w:rPr>
        <w:t xml:space="preserve">TCE-SP Súmula 24 — the 50–60% rule everyone cites — is anchored to Lei 8.666/93, a revoked statute, and speaks of services rather than goods.</w:t>
      </w:r>
      <w:r>
        <w:rPr>
          <w:rFonts w:ascii="Calibri" w:cs="Calibri" w:eastAsia="Calibri" w:hAnsi="Calibri"/>
          <w:color w:val="1A1A1A"/>
          <w:sz w:val="20"/>
          <w:szCs w:val="20"/>
        </w:rPr>
        <w:t xml:space="preserve"> Under Lei 14.133 art. 67 §2º the ceiling is 50%, not 60%, and time and location limits on atestados are forbidden outright. And there is </w:t>
      </w:r>
      <w:r>
        <w:rPr>
          <w:rFonts w:ascii="Calibri" w:cs="Calibri" w:eastAsia="Calibri" w:hAnsi="Calibri"/>
          <w:i/>
          <w:iCs/>
          <w:color w:val="1A1A1A"/>
          <w:sz w:val="20"/>
          <w:szCs w:val="20"/>
        </w:rPr>
        <w:t xml:space="preserve">no</w:t>
      </w:r>
      <w:r>
        <w:rPr>
          <w:rFonts w:ascii="Calibri" w:cs="Calibri" w:eastAsia="Calibri" w:hAnsi="Calibri"/>
          <w:color w:val="1A1A1A"/>
          <w:sz w:val="20"/>
          <w:szCs w:val="20"/>
        </w:rPr>
        <w:t xml:space="preserve"> TCU ruling flatly forbidding atestados for ordinary goods — it would be wrong to claim one. What exists puts the burden on the buyer to justify materiality, relevance and risk, which is an impugnação ground rather than a prohibition. The sharper lever is art. 67 §1º: atestados may only be demanded for items worth at least 4% of the estimated total, so on a multi-item kit lot most items cannot carry one at all.</w:t>
      </w:r>
    </w:p>
    <w:p>
      <w:pPr>
        <w:spacing w:after="60"/>
      </w:pP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A warning from a real session record. </w:t>
            </w:r>
            <w:r>
              <w:rPr>
                <w:rFonts w:ascii="Calibri" w:cs="Calibri" w:eastAsia="Calibri" w:hAnsi="Calibri"/>
                <w:color w:val="1A1A1A"/>
                <w:sz w:val="19"/>
                <w:szCs w:val="19"/>
              </w:rPr>
              <w:t xml:space="preserve">At João Dourado/BA a bidder won and was then struck out, because her atestados covered hospital equipment and bicycles rather than the goods tendered — and the pregoeiro also checked the CNAE on her alvará and found it registered for food retail. </w:t>
            </w:r>
            <w:r>
              <w:rPr>
                <w:rFonts w:ascii="Calibri" w:cs="Calibri" w:eastAsia="Calibri" w:hAnsi="Calibri"/>
                <w:b/>
                <w:bCs/>
                <w:color w:val="1A1A1A"/>
                <w:sz w:val="19"/>
                <w:szCs w:val="19"/>
              </w:rPr>
              <w:t xml:space="preserve">The atestado must be for similar goods, and the company's registered activities must match the object.</w:t>
            </w:r>
            <w:r>
              <w:rPr>
                <w:rFonts w:ascii="Calibri" w:cs="Calibri" w:eastAsia="Calibri" w:hAnsi="Calibri"/>
                <w:color w:val="1A1A1A"/>
                <w:sz w:val="19"/>
                <w:szCs w:val="19"/>
              </w:rPr>
              <w:t xml:space="preserve"> This is why the CNAEs in §11 are deliberately broad.</w:t>
            </w:r>
          </w:p>
        </w:tc>
      </w:tr>
    </w:tbl>
    <w:p>
      <w:r>
        <w:br w:type="page"/>
      </w:r>
    </w:p>
    <w:p>
      <w:pPr>
        <w:pStyle w:val="Heading1"/>
        <w:spacing w:after="160" w:before="360"/>
      </w:pPr>
      <w:r>
        <w:rPr>
          <w:rFonts w:ascii="Calibri" w:cs="Calibri" w:eastAsia="Calibri" w:hAnsi="Calibri"/>
          <w:b/>
          <w:bCs/>
          <w:color w:val="1A1A1A"/>
          <w:sz w:val="30"/>
          <w:szCs w:val="30"/>
        </w:rPr>
        <w:t xml:space="preserve">10. Fulfilment — how the goods move without her touching them</w:t>
      </w:r>
    </w:p>
    <w:p>
      <w:pPr>
        <w:pStyle w:val="Heading2"/>
        <w:spacing w:after="110" w:before="260"/>
      </w:pPr>
      <w:r>
        <w:rPr>
          <w:rFonts w:ascii="Calibri" w:cs="Calibri" w:eastAsia="Calibri" w:hAnsi="Calibri"/>
          <w:b/>
          <w:bCs/>
          <w:color w:val="1A1A1A"/>
          <w:sz w:val="23"/>
          <w:szCs w:val="23"/>
        </w:rPr>
        <w:t xml:space="preserve">Drop-ship is legal. It just cannot do an assembled kit.</w:t>
      </w:r>
    </w:p>
    <w:p>
      <w:pPr>
        <w:spacing w:after="120" w:before="0" w:line="276"/>
      </w:pPr>
      <w:r>
        <w:rPr>
          <w:rFonts w:ascii="Calibri" w:cs="Calibri" w:eastAsia="Calibri" w:hAnsi="Calibri"/>
          <w:color w:val="1A1A1A"/>
          <w:sz w:val="20"/>
          <w:szCs w:val="20"/>
        </w:rPr>
        <w:t xml:space="preserve">São Paulo's tax authority has ruled on all three legs of the </w:t>
      </w:r>
      <w:r>
        <w:rPr>
          <w:rFonts w:ascii="Calibri" w:cs="Calibri" w:eastAsia="Calibri" w:hAnsi="Calibri"/>
          <w:i/>
          <w:iCs/>
          <w:color w:val="1A1A1A"/>
          <w:sz w:val="20"/>
          <w:szCs w:val="20"/>
        </w:rPr>
        <w:t xml:space="preserve">venda à ordem</w:t>
      </w:r>
      <w:r>
        <w:rPr>
          <w:rFonts w:ascii="Calibri" w:cs="Calibri" w:eastAsia="Calibri" w:hAnsi="Calibri"/>
          <w:color w:val="1A1A1A"/>
          <w:sz w:val="20"/>
          <w:szCs w:val="20"/>
        </w:rPr>
        <w:t xml:space="preserve"> structure she would need: it works when the final recipient is a non-taxpayer such as a município (RC 19210/2019), it works interstate (RC 27582/2023, grounded on a national convention applicable to every state), and it works with a Simples optante as the intermediate buyer (RC 24046/2021). The wholesaler ships straight to the município and she never sees a box.</w:t>
      </w:r>
    </w:p>
    <w:p>
      <w:pPr>
        <w:spacing w:after="120" w:before="0" w:line="276"/>
      </w:pPr>
      <w:r>
        <w:rPr>
          <w:rFonts w:ascii="Calibri" w:cs="Calibri" w:eastAsia="Calibri" w:hAnsi="Calibri"/>
          <w:color w:val="1A1A1A"/>
          <w:sz w:val="20"/>
          <w:szCs w:val="20"/>
        </w:rPr>
        <w:t xml:space="preserve">Then it meets the contract. Rio Vermelho/MG requires that the kit be delivered “de forma completa e íntegra… sendo vedado à contratada o fornecimento parcial ou fracionado do conjunto”, packed in an identified plastic bag listing the contents. A venda à ordem moves goods from </w:t>
      </w:r>
      <w:r>
        <w:rPr>
          <w:rFonts w:ascii="Calibri" w:cs="Calibri" w:eastAsia="Calibri" w:hAnsi="Calibri"/>
          <w:i/>
          <w:iCs/>
          <w:color w:val="1A1A1A"/>
          <w:sz w:val="20"/>
          <w:szCs w:val="20"/>
        </w:rPr>
        <w:t xml:space="preserve">one</w:t>
      </w:r>
      <w:r>
        <w:rPr>
          <w:rFonts w:ascii="Calibri" w:cs="Calibri" w:eastAsia="Calibri" w:hAnsi="Calibri"/>
          <w:color w:val="1A1A1A"/>
          <w:sz w:val="20"/>
          <w:szCs w:val="20"/>
        </w:rPr>
        <w:t xml:space="preserve"> seller; a nineteen-item kit comes from six to ten. </w:t>
      </w:r>
      <w:r>
        <w:rPr>
          <w:rFonts w:ascii="Calibri" w:cs="Calibri" w:eastAsia="Calibri" w:hAnsi="Calibri"/>
          <w:b/>
          <w:bCs/>
          <w:color w:val="1A1A1A"/>
          <w:sz w:val="20"/>
          <w:szCs w:val="20"/>
        </w:rPr>
        <w:t xml:space="preserve">Six parcels arriving separately is exactly the forbidden delivery.</w:t>
      </w:r>
    </w:p>
    <w:tbl>
      <w:tblPr>
        <w:tblW w:type="dxa" w:w="9360"/>
        <w:tblBorders>
          <w:top w:val="single" w:color="C8C8C8" w:sz="4"/>
          <w:left w:val="none"/>
          <w:bottom w:val="single" w:color="C8C8C8" w:sz="4"/>
          <w:right w:val="none"/>
          <w:insideH w:val="single" w:color="C8C8C8" w:sz="2"/>
          <w:insideV w:val="none"/>
        </w:tblBorders>
      </w:tblPr>
      <w:tblGrid>
        <w:gridCol w:w="2700"/>
        <w:gridCol w:w="1500"/>
        <w:gridCol w:w="51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Tender shape</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Drop-ship?</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Why</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Menor preço POR ITEM</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Yes, fully</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One line = one SKU = one supplier. Nobody assembles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Menor preço por LOTE / KIT</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No</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 physical consolidation and bagging step exists by contract</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Lote where one wholesaler holds the whole BOM</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In principle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Needs a supplier willing to act as remetente — an RFQ question</w:t>
            </w:r>
          </w:p>
        </w:tc>
      </w:tr>
    </w:tbl>
    <w:p>
      <w:pPr>
        <w:spacing w:after="140"/>
      </w:pPr>
    </w:p>
    <w:p>
      <w:pPr>
        <w:pStyle w:val="Heading2"/>
        <w:spacing w:after="110" w:before="260"/>
      </w:pPr>
      <w:r>
        <w:rPr>
          <w:rFonts w:ascii="Calibri" w:cs="Calibri" w:eastAsia="Calibri" w:hAnsi="Calibri"/>
          <w:b/>
          <w:bCs/>
          <w:color w:val="1A1A1A"/>
          <w:sz w:val="23"/>
          <w:szCs w:val="23"/>
        </w:rPr>
        <w:t xml:space="preserve">So: a co-packer, which is a vendor and not a contractor</w:t>
      </w:r>
    </w:p>
    <w:p>
      <w:pPr>
        <w:spacing w:after="120" w:before="0" w:line="276"/>
      </w:pPr>
      <w:r>
        <w:rPr>
          <w:rFonts w:ascii="Calibri" w:cs="Calibri" w:eastAsia="Calibri" w:hAnsi="Calibri"/>
          <w:color w:val="1A1A1A"/>
          <w:sz w:val="20"/>
          <w:szCs w:val="20"/>
        </w:rPr>
        <w:t xml:space="preserve">Twelve real operators were identified with addresses, phones and contact e-mails, most in Greater São Paulo — Cotlog in Cotia, Tempos, Grupo SRM in Barueri, Grupo Master Log in Cajamar, Rao Tech in Diadema, Doma in Guarulhos, and others. </w:t>
      </w:r>
      <w:r>
        <w:rPr>
          <w:rFonts w:ascii="Calibri" w:cs="Calibri" w:eastAsia="Calibri" w:hAnsi="Calibri"/>
          <w:b/>
          <w:bCs/>
          <w:color w:val="1A1A1A"/>
          <w:sz w:val="20"/>
          <w:szCs w:val="20"/>
        </w:rPr>
        <w:t xml:space="preserve">Not one publishes a price, a minimum order or a contract term.</w:t>
      </w:r>
      <w:r>
        <w:rPr>
          <w:rFonts w:ascii="Calibri" w:cs="Calibri" w:eastAsia="Calibri" w:hAnsi="Calibri"/>
          <w:color w:val="1A1A1A"/>
          <w:sz w:val="20"/>
          <w:szCs w:val="20"/>
        </w:rPr>
        <w:t xml:space="preserve"> That is a finding rather than a gap: the RFQ is unavoidable, and there is no anchor to bid against until it comes back. The only pricing model anyone states publicly is “por peça montada ou produzida”, which is the right shape.</w:t>
      </w:r>
    </w:p>
    <w:p>
      <w:pPr>
        <w:spacing w:after="120" w:before="0" w:line="276"/>
      </w:pPr>
      <w:r>
        <w:rPr>
          <w:rFonts w:ascii="Calibri" w:cs="Calibri" w:eastAsia="Calibri" w:hAnsi="Calibri"/>
          <w:color w:val="1A1A1A"/>
          <w:sz w:val="20"/>
          <w:szCs w:val="20"/>
        </w:rPr>
        <w:t xml:space="preserve">The cost is bounded rather than estimated. Amazon's published Brazilian fulfilment fee is R$12,95–17,95 per unit at 1–2 kg and R$18,95–23,35 at 2–4 kg — and that covers pick, pack </w:t>
      </w:r>
      <w:r>
        <w:rPr>
          <w:rFonts w:ascii="Calibri" w:cs="Calibri" w:eastAsia="Calibri" w:hAnsi="Calibri"/>
          <w:i/>
          <w:iCs/>
          <w:color w:val="1A1A1A"/>
          <w:sz w:val="20"/>
          <w:szCs w:val="20"/>
        </w:rPr>
        <w:t xml:space="preserve">and last-mile delivery to a consumer</w:t>
      </w:r>
      <w:r>
        <w:rPr>
          <w:rFonts w:ascii="Calibri" w:cs="Calibri" w:eastAsia="Calibri" w:hAnsi="Calibri"/>
          <w:color w:val="1A1A1A"/>
          <w:sz w:val="20"/>
          <w:szCs w:val="20"/>
        </w:rPr>
        <w:t xml:space="preserve">, so it is a hard ceiling on assembly alone, not an estimate of it. The model uses R$15 and the sensitivity is shown in §7.</w:t>
      </w:r>
    </w:p>
    <w:p>
      <w:pPr>
        <w:pStyle w:val="Heading3"/>
        <w:spacing w:after="90" w:before="200"/>
      </w:pPr>
      <w:r>
        <w:rPr>
          <w:rFonts w:ascii="Calibri" w:cs="Calibri" w:eastAsia="Calibri" w:hAnsi="Calibri"/>
          <w:b/>
          <w:bCs/>
          <w:color w:val="5A5A5A"/>
          <w:sz w:val="20"/>
          <w:szCs w:val="20"/>
        </w:rPr>
        <w:t xml:space="preserve">The five questions the RFQ must ask, in this order</w:t>
      </w:r>
    </w:p>
    <w:p>
      <w:pPr>
        <w:pStyle w:val="ListParagraph"/>
        <w:numPr>
          <w:ilvl w:val="0"/>
          <w:numId w:val="2"/>
        </w:numPr>
        <w:spacing w:after="70" w:line="276"/>
      </w:pPr>
      <w:r>
        <w:rPr>
          <w:rFonts w:ascii="Calibri" w:cs="Calibri" w:eastAsia="Calibri" w:hAnsi="Calibri"/>
          <w:color w:val="1A1A1A"/>
          <w:sz w:val="20"/>
          <w:szCs w:val="20"/>
        </w:rPr>
        <w:t xml:space="preserve">Price per kit assembled, for a 19-item kit, at 300 and at 800 units.</w:t>
      </w:r>
    </w:p>
    <w:p>
      <w:pPr>
        <w:pStyle w:val="ListParagraph"/>
        <w:numPr>
          <w:ilvl w:val="0"/>
          <w:numId w:val="2"/>
        </w:numPr>
        <w:spacing w:after="70" w:line="276"/>
      </w:pPr>
      <w:r>
        <w:rPr>
          <w:rFonts w:ascii="Calibri" w:cs="Calibri" w:eastAsia="Calibri" w:hAnsi="Calibri"/>
          <w:b/>
          <w:bCs/>
          <w:color w:val="1A1A1A"/>
          <w:sz w:val="20"/>
          <w:szCs w:val="20"/>
        </w:rPr>
        <w:t xml:space="preserve">Is there a monthly minimum or a minimum contract term? </w:t>
      </w:r>
      <w:r>
        <w:rPr>
          <w:rFonts w:ascii="Calibri" w:cs="Calibri" w:eastAsia="Calibri" w:hAnsi="Calibri"/>
          <w:color w:val="1A1A1A"/>
          <w:sz w:val="20"/>
          <w:szCs w:val="20"/>
        </w:rPr>
        <w:t xml:space="preserve">A one-person desk with zero volume for two months and then 800 units in ten working days cannot sign one.</w:t>
      </w:r>
    </w:p>
    <w:p>
      <w:pPr>
        <w:pStyle w:val="ListParagraph"/>
        <w:numPr>
          <w:ilvl w:val="0"/>
          <w:numId w:val="2"/>
        </w:numPr>
        <w:spacing w:after="70" w:line="276"/>
      </w:pPr>
      <w:r>
        <w:rPr>
          <w:rFonts w:ascii="Calibri" w:cs="Calibri" w:eastAsia="Calibri" w:hAnsi="Calibri"/>
          <w:color w:val="1A1A1A"/>
          <w:sz w:val="20"/>
          <w:szCs w:val="20"/>
        </w:rPr>
        <w:t xml:space="preserve">Will you receive goods direct from my suppliers under remessa por conta e ordem, and issue the entrada notas?</w:t>
      </w:r>
    </w:p>
    <w:p>
      <w:pPr>
        <w:pStyle w:val="ListParagraph"/>
        <w:numPr>
          <w:ilvl w:val="0"/>
          <w:numId w:val="2"/>
        </w:numPr>
        <w:spacing w:after="70" w:line="276"/>
      </w:pPr>
      <w:r>
        <w:rPr>
          <w:rFonts w:ascii="Calibri" w:cs="Calibri" w:eastAsia="Calibri" w:hAnsi="Calibri"/>
          <w:color w:val="1A1A1A"/>
          <w:sz w:val="20"/>
          <w:szCs w:val="20"/>
        </w:rPr>
        <w:t xml:space="preserve">Will you also ship to a municipal almoxarifado anywhere in Brazil, or is this assembly only?</w:t>
      </w:r>
    </w:p>
    <w:p>
      <w:pPr>
        <w:pStyle w:val="ListParagraph"/>
        <w:numPr>
          <w:ilvl w:val="0"/>
          <w:numId w:val="2"/>
        </w:numPr>
        <w:spacing w:after="70" w:line="276"/>
      </w:pPr>
      <w:r>
        <w:rPr>
          <w:rFonts w:ascii="Calibri" w:cs="Calibri" w:eastAsia="Calibri" w:hAnsi="Calibri"/>
          <w:b/>
          <w:bCs/>
          <w:color w:val="1A1A1A"/>
          <w:sz w:val="20"/>
          <w:szCs w:val="20"/>
        </w:rPr>
        <w:t xml:space="preserve">Turnaround from last inbound pallet to dispatch? </w:t>
      </w:r>
      <w:r>
        <w:rPr>
          <w:rFonts w:ascii="Calibri" w:cs="Calibri" w:eastAsia="Calibri" w:hAnsi="Calibri"/>
          <w:color w:val="1A1A1A"/>
          <w:sz w:val="20"/>
          <w:szCs w:val="20"/>
        </w:rPr>
        <w:t xml:space="preserve">The tender clock is 10–30 days total, including her suppliers' lead time.</w:t>
      </w:r>
    </w:p>
    <w:p>
      <w:pPr>
        <w:pStyle w:val="Heading2"/>
        <w:spacing w:after="110" w:before="260"/>
      </w:pPr>
      <w:r>
        <w:rPr>
          <w:rFonts w:ascii="Calibri" w:cs="Calibri" w:eastAsia="Calibri" w:hAnsi="Calibri"/>
          <w:b/>
          <w:bCs/>
          <w:color w:val="1A1A1A"/>
          <w:sz w:val="23"/>
          <w:szCs w:val="23"/>
        </w:rPr>
        <w:t xml:space="preserve">Delivery terms, measured</w:t>
      </w:r>
    </w:p>
    <w:p>
      <w:pPr>
        <w:spacing w:after="120" w:before="0" w:line="276"/>
      </w:pPr>
      <w:r>
        <w:rPr>
          <w:rFonts w:ascii="Calibri" w:cs="Calibri" w:eastAsia="Calibri" w:hAnsi="Calibri"/>
          <w:color w:val="1A1A1A"/>
          <w:sz w:val="20"/>
          <w:szCs w:val="20"/>
        </w:rPr>
        <w:t xml:space="preserve">Freight is CIF in every edital read — “por conta e risco da contratada”, which is at her cost and risk, not by her hands; nothing requires her to carry anything personally. Median delivery deadline is ten days, with 31% at five days or fewer. 38,3% require </w:t>
      </w:r>
      <w:r>
        <w:rPr>
          <w:rFonts w:ascii="Calibri" w:cs="Calibri" w:eastAsia="Calibri" w:hAnsi="Calibri"/>
          <w:i/>
          <w:iCs/>
          <w:color w:val="1A1A1A"/>
          <w:sz w:val="20"/>
          <w:szCs w:val="20"/>
        </w:rPr>
        <w:t xml:space="preserve">entrega parcelada</w:t>
      </w:r>
      <w:r>
        <w:rPr>
          <w:rFonts w:ascii="Calibri" w:cs="Calibri" w:eastAsia="Calibri" w:hAnsi="Calibri"/>
          <w:color w:val="1A1A1A"/>
          <w:sz w:val="20"/>
          <w:szCs w:val="20"/>
        </w:rPr>
        <w:t xml:space="preserve"> — delivery in instalments across the year — and 44,1% name a specific municipal address.</w:t>
      </w:r>
    </w:p>
    <w:p>
      <w:pPr>
        <w:spacing w:after="120" w:before="0" w:line="276"/>
      </w:pPr>
      <w:r>
        <w:rPr>
          <w:rFonts w:ascii="Calibri" w:cs="Calibri" w:eastAsia="Calibri" w:hAnsi="Calibri"/>
          <w:color w:val="1A1A1A"/>
          <w:sz w:val="20"/>
          <w:szCs w:val="20"/>
        </w:rPr>
        <w:t xml:space="preserve">Those last two look like barriers to a distant operator. Tested against outcomes rather than argued, they are not: </w:t>
      </w:r>
      <w:r>
        <w:rPr>
          <w:rFonts w:ascii="Calibri" w:cs="Calibri" w:eastAsia="Calibri" w:hAnsi="Calibri"/>
          <w:b/>
          <w:bCs/>
          <w:color w:val="1A1A1A"/>
          <w:sz w:val="20"/>
          <w:szCs w:val="20"/>
        </w:rPr>
        <w:t xml:space="preserve">multi-state firms win MORE of the editais carrying them</w:t>
      </w:r>
      <w:r>
        <w:rPr>
          <w:rFonts w:ascii="Calibri" w:cs="Calibri" w:eastAsia="Calibri" w:hAnsi="Calibri"/>
          <w:color w:val="1A1A1A"/>
          <w:sz w:val="20"/>
          <w:szCs w:val="20"/>
        </w:rPr>
        <w:t xml:space="preserve"> — 38% versus 30% where instalment delivery is required, 43% versus 30% where a physical sample is required, 37% versus 31% where an atestado is required — and at an identical price, R$239,80 against R$238,50 median unit award. The clauses exist. They do not bind.</w:t>
      </w:r>
    </w:p>
    <w:p>
      <w:r>
        <w:br w:type="page"/>
      </w:r>
    </w:p>
    <w:p>
      <w:pPr>
        <w:pStyle w:val="Heading1"/>
        <w:spacing w:after="160" w:before="360"/>
      </w:pPr>
      <w:r>
        <w:rPr>
          <w:rFonts w:ascii="Calibri" w:cs="Calibri" w:eastAsia="Calibri" w:hAnsi="Calibri"/>
          <w:b/>
          <w:bCs/>
          <w:color w:val="1A1A1A"/>
          <w:sz w:val="30"/>
          <w:szCs w:val="30"/>
        </w:rPr>
        <w:t xml:space="preserve">11. Legal and fiscal setup</w:t>
      </w:r>
    </w:p>
    <w:p>
      <w:pPr>
        <w:spacing w:after="120" w:before="0" w:line="276"/>
      </w:pPr>
      <w:r>
        <w:rPr>
          <w:rFonts w:ascii="Calibri" w:cs="Calibri" w:eastAsia="Calibri" w:hAnsi="Calibri"/>
          <w:color w:val="1A1A1A"/>
          <w:sz w:val="20"/>
          <w:szCs w:val="20"/>
        </w:rPr>
        <w:t xml:space="preserve">Executable. Every requirement carries a statutory source; the two things that were feared to be blockers are dealt with first because they are not blockers.</w:t>
      </w:r>
    </w:p>
    <w:tbl>
      <w:tblPr>
        <w:tblW w:type="dxa" w:w="9360"/>
        <w:tblBorders>
          <w:top w:val="single" w:color="C8C8C8" w:sz="4"/>
          <w:left w:val="none"/>
          <w:bottom w:val="single" w:color="C8C8C8" w:sz="4"/>
          <w:right w:val="none"/>
          <w:insideH w:val="single" w:color="C8C8C8" w:sz="2"/>
          <w:insideV w:val="none"/>
        </w:tblBorders>
      </w:tblPr>
      <w:tblGrid>
        <w:gridCol w:w="2400"/>
        <w:gridCol w:w="3400"/>
        <w:gridCol w:w="1800"/>
        <w:gridCol w:w="17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Step</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What</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Cost</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7"/>
                <w:szCs w:val="17"/>
              </w:rPr>
              <w:t xml:space="preserve">Time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Entity</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Empresário Individual or SLU, enquadrada ME, Simples Nacional. Not MEI</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Capital social</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R$20.000–30.000 integralizado</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own money</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JUCESP registration</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EI R$94,90 · Ltda R$218,99</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R$95–219</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1–5 days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CNPJ</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Automatic via Redesim</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R$0</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same flow</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Inscrição Estadual</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Mandatory — she is a comerciante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R$0</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days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Alvará (SP, low risk)</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Automatic for all her CNAEs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R$0</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minutes</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SICAF</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Federal supplier cadastro</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R$0</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~10 min</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gov.br conta Prata/Ouro</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Certificate no longer strictly required</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R$0</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PCP · BLL · BNC · Licitanet</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Free registration each</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R$0</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1–3 days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TOTAL CASH TO OPEN</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R$95–219</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7"/>
                <w:szCs w:val="17"/>
              </w:rPr>
              <w:t xml:space="preserve">under a week</w:t>
            </w:r>
          </w:p>
        </w:tc>
      </w:tr>
    </w:tbl>
    <w:p>
      <w:pPr>
        <w:spacing w:after="140"/>
      </w:pPr>
    </w:p>
    <w:p>
      <w:pPr>
        <w:spacing w:after="120" w:before="0" w:line="276"/>
      </w:pPr>
      <w:r>
        <w:rPr>
          <w:rFonts w:ascii="Calibri" w:cs="Calibri" w:eastAsia="Calibri" w:hAnsi="Calibri"/>
          <w:color w:val="1A1A1A"/>
          <w:sz w:val="20"/>
          <w:szCs w:val="20"/>
        </w:rPr>
        <w:t xml:space="preserve">Cost to be able to bid nationally is zero. Five free registrations reach 74,3% of open kit tenders, eight reach 82,9%, and art. 87 §2º </w:t>
      </w:r>
      <w:r>
        <w:rPr>
          <w:rFonts w:ascii="Calibri" w:cs="Calibri" w:eastAsia="Calibri" w:hAnsi="Calibri"/>
          <w:i/>
          <w:iCs/>
          <w:color w:val="1A1A1A"/>
          <w:sz w:val="20"/>
          <w:szCs w:val="20"/>
        </w:rPr>
        <w:t xml:space="preserve">prohibits</w:t>
      </w:r>
      <w:r>
        <w:rPr>
          <w:rFonts w:ascii="Calibri" w:cs="Calibri" w:eastAsia="Calibri" w:hAnsi="Calibri"/>
          <w:color w:val="1A1A1A"/>
          <w:sz w:val="20"/>
          <w:szCs w:val="20"/>
        </w:rPr>
        <w:t xml:space="preserve"> a município demanding its own complementary cadastro. Money is owed only per bid — about R$75 weighted, R$0 on Compras.gov.br, and BLL charges 1,5% capped at R$600 </w:t>
      </w:r>
      <w:r>
        <w:rPr>
          <w:rFonts w:ascii="Calibri" w:cs="Calibri" w:eastAsia="Calibri" w:hAnsi="Calibri"/>
          <w:b/>
          <w:bCs/>
          <w:color w:val="1A1A1A"/>
          <w:sz w:val="20"/>
          <w:szCs w:val="20"/>
        </w:rPr>
        <w:t xml:space="preserve">only if she wins.</w:t>
      </w:r>
    </w:p>
    <w:p>
      <w:pPr>
        <w:pStyle w:val="Heading2"/>
        <w:spacing w:after="110" w:before="260"/>
      </w:pPr>
      <w:r>
        <w:rPr>
          <w:rFonts w:ascii="Calibri" w:cs="Calibri" w:eastAsia="Calibri" w:hAnsi="Calibri"/>
          <w:b/>
          <w:bCs/>
          <w:color w:val="1A1A1A"/>
          <w:sz w:val="23"/>
          <w:szCs w:val="23"/>
        </w:rPr>
        <w:t xml:space="preserve">The two feared blockers are dead</w:t>
      </w:r>
    </w:p>
    <w:p>
      <w:pPr>
        <w:pStyle w:val="ListParagraph"/>
        <w:numPr>
          <w:ilvl w:val="0"/>
          <w:numId w:val="3"/>
        </w:numPr>
        <w:spacing w:after="70" w:line="276"/>
      </w:pPr>
      <w:r>
        <w:rPr>
          <w:rFonts w:ascii="Calibri" w:cs="Calibri" w:eastAsia="Calibri" w:hAnsi="Calibri"/>
          <w:b/>
          <w:bCs/>
          <w:color w:val="1A1A1A"/>
          <w:sz w:val="20"/>
          <w:szCs w:val="20"/>
        </w:rPr>
        <w:t xml:space="preserve">First-year balanço patrimonial. </w:t>
      </w:r>
      <w:r>
        <w:rPr>
          <w:rFonts w:ascii="Calibri" w:cs="Calibri" w:eastAsia="Calibri" w:hAnsi="Calibri"/>
          <w:color w:val="1A1A1A"/>
          <w:sz w:val="20"/>
          <w:szCs w:val="20"/>
        </w:rPr>
        <w:t xml:space="preserve">Decreto 8.538/2015 art. 3º waives it for ME/EPP on goods for pronta entrega; Lei 14.133 art. 65 §1º lets a company created in the year of the tender substitute a balanço de abertura; art. 69 §2º forbids demanding minimum prior turnover at all.</w:t>
      </w:r>
    </w:p>
    <w:p>
      <w:pPr>
        <w:pStyle w:val="ListParagraph"/>
        <w:numPr>
          <w:ilvl w:val="0"/>
          <w:numId w:val="3"/>
        </w:numPr>
        <w:spacing w:after="70" w:line="276"/>
      </w:pPr>
      <w:r>
        <w:rPr>
          <w:rFonts w:ascii="Calibri" w:cs="Calibri" w:eastAsia="Calibri" w:hAnsi="Calibri"/>
          <w:b/>
          <w:bCs/>
          <w:color w:val="1A1A1A"/>
          <w:sz w:val="20"/>
          <w:szCs w:val="20"/>
        </w:rPr>
        <w:t xml:space="preserve">Capital social at 10% of contract value. </w:t>
      </w:r>
      <w:r>
        <w:rPr>
          <w:rFonts w:ascii="Calibri" w:cs="Calibri" w:eastAsia="Calibri" w:hAnsi="Calibri"/>
          <w:color w:val="1A1A1A"/>
          <w:sz w:val="20"/>
          <w:szCs w:val="20"/>
        </w:rPr>
        <w:t xml:space="preserve">Art. 69 §4º is a “poderá”, confined to purchases for future delivery, and the AGU model deploys it only as a remedy where liquidity indices come in at or below 1. Zero of five editais demanded it. Carry R$20–30.000 anyway — it is her own money, it caps what any edital may lawfully demand on a R$200–300k lot, and it makes the opening balance sheet clear the ratios.</w:t>
      </w:r>
    </w:p>
    <w:p>
      <w:pPr>
        <w:spacing w:after="60"/>
      </w:pPr>
    </w:p>
    <w:tbl>
      <w:tblPr>
        <w:tblW w:type="dxa" w:w="9360"/>
        <w:tblBorders>
          <w:top w:val="single" w:color="C8C8C8" w:sz="2"/>
          <w:left w:val="single" w:color="8A3324"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MEI is arithmetically impossible and the ceiling was date-checked at the statute. </w:t>
            </w:r>
            <w:r>
              <w:rPr>
                <w:rFonts w:ascii="Calibri" w:cs="Calibri" w:eastAsia="Calibri" w:hAnsi="Calibri"/>
                <w:color w:val="1A1A1A"/>
                <w:sz w:val="19"/>
                <w:szCs w:val="19"/>
              </w:rPr>
              <w:t xml:space="preserve">It remains R$81.000 — LC 227/2026 amended about twenty points of LC 123 and not this one, so the widely-reported raise has not passed. A business billing R$360–720k is four to nine times over. And the MEI occupation list contains the word “atacadista” exactly zero times: no wholesale activity is open to a MEI at all.</w:t>
            </w:r>
          </w:p>
        </w:tc>
      </w:tr>
    </w:tbl>
    <w:p>
      <w:pPr>
        <w:spacing w:after="150"/>
      </w:pPr>
    </w:p>
    <w:p>
      <w:pPr>
        <w:pStyle w:val="Heading2"/>
        <w:spacing w:after="110" w:before="260"/>
      </w:pPr>
      <w:r>
        <w:rPr>
          <w:rFonts w:ascii="Calibri" w:cs="Calibri" w:eastAsia="Calibri" w:hAnsi="Calibri"/>
          <w:b/>
          <w:bCs/>
          <w:color w:val="1A1A1A"/>
          <w:sz w:val="23"/>
          <w:szCs w:val="23"/>
        </w:rPr>
        <w:t xml:space="preserve">CNAEs — carry them broad from day one</w:t>
      </w:r>
    </w:p>
    <w:p>
      <w:pPr>
        <w:spacing w:after="120" w:before="0" w:line="276"/>
      </w:pPr>
      <w:r>
        <w:rPr>
          <w:rFonts w:ascii="Calibri" w:cs="Calibri" w:eastAsia="Calibri" w:hAnsi="Calibri"/>
          <w:color w:val="1A1A1A"/>
          <w:sz w:val="20"/>
          <w:szCs w:val="20"/>
        </w:rPr>
        <w:t xml:space="preserve">Habilitação jurídica under art. 66 says nothing about objeto social. The compatibility requirement is anchored on the tax registration instead — art. 68 II requires the cadastro de contribuintes to be “pertinente ao seu ramo de atividade e compatível com o objeto contratual”, and editais reproduce that language. Adding a CNAE later costs another JUCESP fee and a CADESP amendment, and the João Dourado case in §9 shows a pregoeiro actually checking.</w:t>
      </w:r>
    </w:p>
    <w:p>
      <w:pPr>
        <w:pStyle w:val="ListParagraph"/>
        <w:numPr>
          <w:ilvl w:val="0"/>
          <w:numId w:val="3"/>
        </w:numPr>
        <w:spacing w:after="70" w:line="276"/>
      </w:pPr>
      <w:r>
        <w:rPr>
          <w:rFonts w:ascii="Calibri" w:cs="Calibri" w:eastAsia="Calibri" w:hAnsi="Calibri"/>
          <w:b/>
          <w:bCs/>
          <w:color w:val="1A1A1A"/>
          <w:sz w:val="20"/>
          <w:szCs w:val="20"/>
        </w:rPr>
        <w:t xml:space="preserve">Wholesale (primary): </w:t>
      </w:r>
      <w:r>
        <w:rPr>
          <w:rFonts w:ascii="Calibri" w:cs="Calibri" w:eastAsia="Calibri" w:hAnsi="Calibri"/>
          <w:color w:val="1A1A1A"/>
          <w:sz w:val="20"/>
          <w:szCs w:val="20"/>
        </w:rPr>
        <w:t xml:space="preserve">4642-7/01 vestuário · 4641-9/02 cama, mesa e banho · 4646-0/02 higiene pessoal · 4649-4/08 higiene e limpeza · 4649-4/99 outros artigos de uso pessoal e doméstico · 4643-5/01 calçados</w:t>
      </w:r>
    </w:p>
    <w:p>
      <w:pPr>
        <w:pStyle w:val="ListParagraph"/>
        <w:numPr>
          <w:ilvl w:val="0"/>
          <w:numId w:val="3"/>
        </w:numPr>
        <w:spacing w:after="70" w:line="276"/>
      </w:pPr>
      <w:r>
        <w:rPr>
          <w:rFonts w:ascii="Calibri" w:cs="Calibri" w:eastAsia="Calibri" w:hAnsi="Calibri"/>
          <w:b/>
          <w:bCs/>
          <w:color w:val="1A1A1A"/>
          <w:sz w:val="20"/>
          <w:szCs w:val="20"/>
        </w:rPr>
        <w:t xml:space="preserve">Retail (insurance against an edital written in retail terms): </w:t>
      </w:r>
      <w:r>
        <w:rPr>
          <w:rFonts w:ascii="Calibri" w:cs="Calibri" w:eastAsia="Calibri" w:hAnsi="Calibri"/>
          <w:color w:val="1A1A1A"/>
          <w:sz w:val="20"/>
          <w:szCs w:val="20"/>
        </w:rPr>
        <w:t xml:space="preserve">4781-4/00 · 4755-5/03 · 4772-5/00 · 4763-6/01 · 4789-0/99</w:t>
      </w:r>
    </w:p>
    <w:p>
      <w:pPr>
        <w:pStyle w:val="Heading2"/>
        <w:spacing w:after="110" w:before="260"/>
      </w:pPr>
      <w:r>
        <w:rPr>
          <w:rFonts w:ascii="Calibri" w:cs="Calibri" w:eastAsia="Calibri" w:hAnsi="Calibri"/>
          <w:b/>
          <w:bCs/>
          <w:color w:val="1A1A1A"/>
          <w:sz w:val="23"/>
          <w:szCs w:val="23"/>
        </w:rPr>
        <w:t xml:space="preserve">Two administrative traps that cost real money</w:t>
      </w:r>
    </w:p>
    <w:p>
      <w:pPr>
        <w:pStyle w:val="ListParagraph"/>
        <w:numPr>
          <w:ilvl w:val="0"/>
          <w:numId w:val="3"/>
        </w:numPr>
        <w:spacing w:after="70" w:line="276"/>
      </w:pPr>
      <w:r>
        <w:rPr>
          <w:rFonts w:ascii="Calibri" w:cs="Calibri" w:eastAsia="Calibri" w:hAnsi="Calibri"/>
          <w:b/>
          <w:bCs/>
          <w:color w:val="1A1A1A"/>
          <w:sz w:val="20"/>
          <w:szCs w:val="20"/>
        </w:rPr>
        <w:t xml:space="preserve">File the IN 1.234 Anexo IV declaration with every contracting body. </w:t>
      </w:r>
      <w:r>
        <w:rPr>
          <w:rFonts w:ascii="Calibri" w:cs="Calibri" w:eastAsia="Calibri" w:hAnsi="Calibri"/>
          <w:color w:val="1A1A1A"/>
          <w:sz w:val="20"/>
          <w:szCs w:val="20"/>
        </w:rPr>
        <w:t xml:space="preserve">IN RFB 2.145/2023 obliges states and municípios to withhold income tax on payments for goods; the carve-out for Simples optantes requires the declaration to be handed over per contract. Without it she is withheld at source on revenue already taxed inside the DAS.</w:t>
      </w:r>
    </w:p>
    <w:p>
      <w:pPr>
        <w:pStyle w:val="ListParagraph"/>
        <w:numPr>
          <w:ilvl w:val="0"/>
          <w:numId w:val="3"/>
        </w:numPr>
        <w:spacing w:after="70" w:line="276"/>
      </w:pPr>
      <w:r>
        <w:rPr>
          <w:rFonts w:ascii="Calibri" w:cs="Calibri" w:eastAsia="Calibri" w:hAnsi="Calibri"/>
          <w:b/>
          <w:bCs/>
          <w:color w:val="1A1A1A"/>
          <w:sz w:val="20"/>
          <w:szCs w:val="20"/>
        </w:rPr>
        <w:t xml:space="preserve">Get the empenho number onto the face of the nota fiscal. </w:t>
      </w:r>
      <w:r>
        <w:rPr>
          <w:rFonts w:ascii="Calibri" w:cs="Calibri" w:eastAsia="Calibri" w:hAnsi="Calibri"/>
          <w:color w:val="1A1A1A"/>
          <w:sz w:val="20"/>
          <w:szCs w:val="20"/>
        </w:rPr>
        <w:t xml:space="preserve">Paracatu returns an incorrect nota and restarts the payment clock from resubmission. A wrong invoice costs the entire cash cycle.</w:t>
      </w:r>
    </w:p>
    <w:p>
      <w:r>
        <w:br w:type="page"/>
      </w:r>
    </w:p>
    <w:p>
      <w:pPr>
        <w:pStyle w:val="Heading1"/>
        <w:spacing w:after="160" w:before="360"/>
      </w:pPr>
      <w:r>
        <w:rPr>
          <w:rFonts w:ascii="Calibri" w:cs="Calibri" w:eastAsia="Calibri" w:hAnsi="Calibri"/>
          <w:b/>
          <w:bCs/>
          <w:color w:val="1A1A1A"/>
          <w:sz w:val="30"/>
          <w:szCs w:val="30"/>
        </w:rPr>
        <w:t xml:space="preserve">12. What kills this</w:t>
      </w:r>
    </w:p>
    <w:p>
      <w:pPr>
        <w:spacing w:after="120" w:before="0" w:line="276"/>
      </w:pPr>
      <w:r>
        <w:rPr>
          <w:rFonts w:ascii="Calibri" w:cs="Calibri" w:eastAsia="Calibri" w:hAnsi="Calibri"/>
          <w:color w:val="1A1A1A"/>
          <w:sz w:val="20"/>
          <w:szCs w:val="20"/>
        </w:rPr>
        <w:t xml:space="preserve">In order of how likely they are to matter, with what to do about each.</w:t>
      </w:r>
    </w:p>
    <w:tbl>
      <w:tblPr>
        <w:tblW w:type="dxa" w:w="9360"/>
        <w:tblBorders>
          <w:top w:val="single" w:color="C8C8C8" w:sz="4"/>
          <w:left w:val="none"/>
          <w:bottom w:val="single" w:color="C8C8C8" w:sz="4"/>
          <w:right w:val="none"/>
          <w:insideH w:val="single" w:color="C8C8C8" w:sz="2"/>
          <w:insideV w:val="none"/>
        </w:tblBorders>
      </w:tblPr>
      <w:tblGrid>
        <w:gridCol w:w="1700"/>
        <w:gridCol w:w="1100"/>
        <w:gridCol w:w="3200"/>
        <w:gridCol w:w="33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6"/>
                <w:szCs w:val="16"/>
              </w:rPr>
              <w:t xml:space="preserve">Risk</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6"/>
                <w:szCs w:val="16"/>
              </w:rPr>
              <w:t xml:space="preserve">Severity</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6"/>
                <w:szCs w:val="16"/>
              </w:rPr>
              <w:t xml:space="preserve">What it actually is</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6"/>
                <w:szCs w:val="16"/>
              </w:rPr>
              <w:t xml:space="preserve">Mitigation</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Winning too fast</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HIGH</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The model goes negative the month she first wins two lots at once. Success strains it, not failure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Stop bidding above 60% cash commitment. Let good tenders go</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Co-pack price unknown</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HIGH</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No Brazilian operator publishes one. At R$25/unit the R$150 kit is dead and the R$475 kit still works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Three RFQs before any bid. Bounded ≤R$18–23 by a published comparable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Cost of goods unverified</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HIGH</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60% is an assumption. At 66% the far-destination R$475 kit breaks the bar</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Price three real BOMs before the first bid</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A buyer simply does not pay</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MEDIUM</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43% of kit buyers owed &gt;30% of last year at mid-year</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The SICONFI screen. Only 6% actually write off — it is delay</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Competitor response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MEDIUM</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CONDAFE already holds 10,4% and can copy any of the five advantages</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Build the atestado and price library; it is the only thing that compounds</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Atestado escalation</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LOW</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Only 7% of clauses carry a number today</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One private sale mints the credential; impugnação otherwise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Sample requirement</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LOW</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27,9% demand one in ~5 days, usually not returned</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Costed as a bid expense. National firms win more of these, not fewer</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2027 tax transition</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UNKNOWN</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Simples Anexo I now carries an IBS/CBS annotation</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Do not build a 3-year P&amp;L on today's table. Accountant question</w:t>
            </w:r>
          </w:p>
        </w:tc>
      </w:tr>
    </w:tbl>
    <w:p>
      <w:pPr>
        <w:spacing w:after="140"/>
      </w:pPr>
    </w:p>
    <w:tbl>
      <w:tblPr>
        <w:tblW w:type="dxa" w:w="9360"/>
        <w:tblBorders>
          <w:top w:val="single" w:color="C8C8C8" w:sz="2"/>
          <w:left w:val="single" w:color="1A1A1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The honest summary of risk: </w:t>
            </w:r>
            <w:r>
              <w:rPr>
                <w:rFonts w:ascii="Calibri" w:cs="Calibri" w:eastAsia="Calibri" w:hAnsi="Calibri"/>
                <w:color w:val="1A1A1A"/>
                <w:sz w:val="19"/>
                <w:szCs w:val="19"/>
              </w:rPr>
              <w:t xml:space="preserve">this business does not fail dramatically. It fails by being profitable on paper and out of cash in practice, or by discovering that two unmeasured cost lines — goods and assembly — are six points worse than assumed. Both are answered by the same thing, and it is not capital: it is three quotes and a filter, obtained before the first bid rather than after the first win.</w:t>
            </w:r>
          </w:p>
        </w:tc>
      </w:tr>
    </w:tbl>
    <w:p>
      <w:r>
        <w:br w:type="page"/>
      </w:r>
    </w:p>
    <w:p>
      <w:pPr>
        <w:pStyle w:val="Heading1"/>
        <w:spacing w:after="160" w:before="360"/>
      </w:pPr>
      <w:r>
        <w:rPr>
          <w:rFonts w:ascii="Calibri" w:cs="Calibri" w:eastAsia="Calibri" w:hAnsi="Calibri"/>
          <w:b/>
          <w:bCs/>
          <w:color w:val="1A1A1A"/>
          <w:sz w:val="30"/>
          <w:szCs w:val="30"/>
        </w:rPr>
        <w:t xml:space="preserve">13. The first ninety days</w:t>
      </w:r>
    </w:p>
    <w:p>
      <w:pPr>
        <w:spacing w:after="120" w:before="0" w:line="276"/>
      </w:pPr>
      <w:r>
        <w:rPr>
          <w:rFonts w:ascii="Calibri" w:cs="Calibri" w:eastAsia="Calibri" w:hAnsi="Calibri"/>
          <w:color w:val="1A1A1A"/>
          <w:sz w:val="20"/>
          <w:szCs w:val="20"/>
        </w:rPr>
        <w:t xml:space="preserve">Nothing here needs a phone call, an employee or an audience. Costs are cumulative and the whole programme fits inside R$1.000 plus the entity.</w:t>
      </w:r>
    </w:p>
    <w:p>
      <w:pPr>
        <w:pStyle w:val="Heading2"/>
        <w:spacing w:after="110" w:before="260"/>
      </w:pPr>
      <w:r>
        <w:rPr>
          <w:rFonts w:ascii="Calibri" w:cs="Calibri" w:eastAsia="Calibri" w:hAnsi="Calibri"/>
          <w:b/>
          <w:bCs/>
          <w:color w:val="1A1A1A"/>
          <w:sz w:val="23"/>
          <w:szCs w:val="23"/>
        </w:rPr>
        <w:t xml:space="preserve">Weeks 1–2 · Make it possible to bid</w:t>
      </w:r>
    </w:p>
    <w:p>
      <w:pPr>
        <w:pStyle w:val="ListParagraph"/>
        <w:numPr>
          <w:ilvl w:val="0"/>
          <w:numId w:val="3"/>
        </w:numPr>
        <w:spacing w:after="70" w:line="276"/>
      </w:pPr>
      <w:r>
        <w:rPr>
          <w:rFonts w:ascii="Calibri" w:cs="Calibri" w:eastAsia="Calibri" w:hAnsi="Calibri"/>
          <w:color w:val="1A1A1A"/>
          <w:sz w:val="20"/>
          <w:szCs w:val="20"/>
        </w:rPr>
        <w:t xml:space="preserve">Open or amend the entity: ME under Simples Anexo I, capital social R$20–30.000, all eleven CNAEs. Inscrição estadual. Alvará via Empreenda Fácil.</w:t>
      </w:r>
    </w:p>
    <w:p>
      <w:pPr>
        <w:pStyle w:val="ListParagraph"/>
        <w:numPr>
          <w:ilvl w:val="0"/>
          <w:numId w:val="3"/>
        </w:numPr>
        <w:spacing w:after="70" w:line="276"/>
      </w:pPr>
      <w:r>
        <w:rPr>
          <w:rFonts w:ascii="Calibri" w:cs="Calibri" w:eastAsia="Calibri" w:hAnsi="Calibri"/>
          <w:color w:val="1A1A1A"/>
          <w:sz w:val="20"/>
          <w:szCs w:val="20"/>
        </w:rPr>
        <w:t xml:space="preserve">SICAF, then Portal de Compras Públicas, BLL, BNC and Licitanet. All free.</w:t>
      </w:r>
    </w:p>
    <w:p>
      <w:pPr>
        <w:pStyle w:val="ListParagraph"/>
        <w:numPr>
          <w:ilvl w:val="0"/>
          <w:numId w:val="3"/>
        </w:numPr>
        <w:spacing w:after="70" w:line="276"/>
      </w:pPr>
      <w:r>
        <w:rPr>
          <w:rFonts w:ascii="Calibri" w:cs="Calibri" w:eastAsia="Calibri" w:hAnsi="Calibri"/>
          <w:color w:val="1A1A1A"/>
          <w:sz w:val="20"/>
          <w:szCs w:val="20"/>
        </w:rPr>
        <w:t xml:space="preserve">Build the cron: PNCP sweep, item-level descent, the seven filter rules, and the SICONFI payment check. Output is a daily shortlist with a go/no-go and a computed maximum bid.</w:t>
      </w:r>
    </w:p>
    <w:p>
      <w:pPr>
        <w:pStyle w:val="Heading2"/>
        <w:spacing w:after="110" w:before="260"/>
      </w:pPr>
      <w:r>
        <w:rPr>
          <w:rFonts w:ascii="Calibri" w:cs="Calibri" w:eastAsia="Calibri" w:hAnsi="Calibri"/>
          <w:b/>
          <w:bCs/>
          <w:color w:val="1A1A1A"/>
          <w:sz w:val="23"/>
          <w:szCs w:val="23"/>
        </w:rPr>
        <w:t xml:space="preserve">Weeks 3–4 · Find out what things cost</w:t>
      </w:r>
    </w:p>
    <w:p>
      <w:pPr>
        <w:pStyle w:val="ListParagraph"/>
        <w:numPr>
          <w:ilvl w:val="0"/>
          <w:numId w:val="3"/>
        </w:numPr>
        <w:spacing w:after="70" w:line="276"/>
      </w:pPr>
      <w:r>
        <w:rPr>
          <w:rFonts w:ascii="Calibri" w:cs="Calibri" w:eastAsia="Calibri" w:hAnsi="Calibri"/>
          <w:color w:val="1A1A1A"/>
          <w:sz w:val="20"/>
          <w:szCs w:val="20"/>
        </w:rPr>
        <w:t xml:space="preserve">Supplier cadastros at three São Paulo wholesalers. Ask the credit-terms question and the substituição-tributária question in writing. Read the credit policy before the price list — the gate is age, and the permissive end is two purchases, not twelve months.</w:t>
      </w:r>
    </w:p>
    <w:p>
      <w:pPr>
        <w:pStyle w:val="ListParagraph"/>
        <w:numPr>
          <w:ilvl w:val="0"/>
          <w:numId w:val="3"/>
        </w:numPr>
        <w:spacing w:after="70" w:line="276"/>
      </w:pPr>
      <w:r>
        <w:rPr>
          <w:rFonts w:ascii="Calibri" w:cs="Calibri" w:eastAsia="Calibri" w:hAnsi="Calibri"/>
          <w:color w:val="1A1A1A"/>
          <w:sz w:val="20"/>
          <w:szCs w:val="20"/>
        </w:rPr>
        <w:t xml:space="preserve">Three co-packer RFQs, with the five questions in §10.</w:t>
      </w:r>
    </w:p>
    <w:p>
      <w:pPr>
        <w:pStyle w:val="ListParagraph"/>
        <w:numPr>
          <w:ilvl w:val="0"/>
          <w:numId w:val="3"/>
        </w:numPr>
        <w:spacing w:after="70" w:line="276"/>
      </w:pPr>
      <w:r>
        <w:rPr>
          <w:rFonts w:ascii="Calibri" w:cs="Calibri" w:eastAsia="Calibri" w:hAnsi="Calibri"/>
          <w:color w:val="1A1A1A"/>
          <w:sz w:val="20"/>
          <w:szCs w:val="20"/>
        </w:rPr>
        <w:t xml:space="preserve">Buy one sample kit under R$200 and hold the actual goods.</w:t>
      </w:r>
    </w:p>
    <w:p>
      <w:pPr>
        <w:pStyle w:val="Heading2"/>
        <w:spacing w:after="110" w:before="260"/>
      </w:pPr>
      <w:r>
        <w:rPr>
          <w:rFonts w:ascii="Calibri" w:cs="Calibri" w:eastAsia="Calibri" w:hAnsi="Calibri"/>
          <w:b/>
          <w:bCs/>
          <w:color w:val="1A1A1A"/>
          <w:sz w:val="23"/>
          <w:szCs w:val="23"/>
        </w:rPr>
        <w:t xml:space="preserve">Weeks 5–8 · The shadow test, before any money is at risk</w:t>
      </w:r>
    </w:p>
    <w:p>
      <w:pPr>
        <w:spacing w:after="40"/>
      </w:pPr>
    </w:p>
    <w:tbl>
      <w:tblPr>
        <w:tblW w:type="dxa" w:w="9360"/>
        <w:tblBorders>
          <w:top w:val="single" w:color="C8C8C8" w:sz="2"/>
          <w:left w:val="single" w:color="1F5C3A" w:sz="18"/>
          <w:bottom w:val="single" w:color="C8C8C8" w:sz="2"/>
          <w:right w:val="single" w:color="C8C8C8" w:sz="2"/>
          <w:insideH w:val="none"/>
          <w:insideV w:val="none"/>
        </w:tblBorders>
      </w:tblPr>
      <w:tblGrid>
        <w:gridCol w:w="9360"/>
      </w:tblGrid>
      <w:tr>
        <w:tc>
          <w:tcPr>
            <w:tcW w:type="dxa" w:w="9360"/>
            <w:shd w:fill="F7F5F2" w:color="auto" w:val="clear"/>
            <w:tcMar>
              <w:top w:type="dxa" w:w="140"/>
              <w:left w:type="dxa" w:w="180"/>
              <w:bottom w:type="dxa" w:w="140"/>
              <w:right w:type="dxa" w:w="180"/>
            </w:tcMar>
          </w:tcPr>
          <w:p>
            <w:pPr>
              <w:spacing w:after="0" w:before="0" w:line="276"/>
            </w:pPr>
            <w:r>
              <w:rPr>
                <w:rFonts w:ascii="Calibri" w:cs="Calibri" w:eastAsia="Calibri" w:hAnsi="Calibri"/>
                <w:b/>
                <w:bCs/>
                <w:color w:val="1A1A1A"/>
                <w:sz w:val="19"/>
                <w:szCs w:val="19"/>
              </w:rPr>
              <w:t xml:space="preserve">Take the forty most recent assembled-kit awards. Price each one against the real quotes now in hand. Count how many she would have won at 18% net or better. </w:t>
            </w:r>
            <w:r>
              <w:rPr>
                <w:rFonts w:ascii="Calibri" w:cs="Calibri" w:eastAsia="Calibri" w:hAnsi="Calibri"/>
                <w:b/>
                <w:bCs/>
                <w:color w:val="1A1A1A"/>
                <w:sz w:val="19"/>
                <w:szCs w:val="19"/>
              </w:rPr>
              <w:t xml:space="preserve">Bar committed in advance: at least six of forty.</w:t>
            </w:r>
            <w:r>
              <w:rPr>
                <w:rFonts w:ascii="Calibri" w:cs="Calibri" w:eastAsia="Calibri" w:hAnsi="Calibri"/>
                <w:color w:val="1A1A1A"/>
                <w:sz w:val="19"/>
                <w:szCs w:val="19"/>
              </w:rPr>
              <w:t xml:space="preserve"> Below that, the filter is wrong or the quotes are wrong, and the answer is to fix them — not to bid anyway. This costs nothing, needs no conversation, and is the single most informative thing in the plan.</w:t>
            </w:r>
          </w:p>
        </w:tc>
      </w:tr>
    </w:tbl>
    <w:p>
      <w:pPr>
        <w:spacing w:after="150"/>
      </w:pPr>
    </w:p>
    <w:p>
      <w:pPr>
        <w:pStyle w:val="Heading2"/>
        <w:spacing w:after="110" w:before="260"/>
      </w:pPr>
      <w:r>
        <w:rPr>
          <w:rFonts w:ascii="Calibri" w:cs="Calibri" w:eastAsia="Calibri" w:hAnsi="Calibri"/>
          <w:b/>
          <w:bCs/>
          <w:color w:val="1A1A1A"/>
          <w:sz w:val="23"/>
          <w:szCs w:val="23"/>
        </w:rPr>
        <w:t xml:space="preserve">Weeks 9–12 · First bids, and the credential</w:t>
      </w:r>
    </w:p>
    <w:p>
      <w:pPr>
        <w:pStyle w:val="ListParagraph"/>
        <w:numPr>
          <w:ilvl w:val="0"/>
          <w:numId w:val="3"/>
        </w:numPr>
        <w:spacing w:after="70" w:line="276"/>
      </w:pPr>
      <w:r>
        <w:rPr>
          <w:rFonts w:ascii="Calibri" w:cs="Calibri" w:eastAsia="Calibri" w:hAnsi="Calibri"/>
          <w:color w:val="1A1A1A"/>
          <w:sz w:val="20"/>
          <w:szCs w:val="20"/>
        </w:rPr>
        <w:t xml:space="preserve">Bid only what passes all seven rules. Expect to bid roughly eleven to win one.</w:t>
      </w:r>
    </w:p>
    <w:p>
      <w:pPr>
        <w:pStyle w:val="ListParagraph"/>
        <w:numPr>
          <w:ilvl w:val="0"/>
          <w:numId w:val="3"/>
        </w:numPr>
        <w:spacing w:after="70" w:line="276"/>
      </w:pPr>
      <w:r>
        <w:rPr>
          <w:rFonts w:ascii="Calibri" w:cs="Calibri" w:eastAsia="Calibri" w:hAnsi="Calibri"/>
          <w:color w:val="1A1A1A"/>
          <w:sz w:val="20"/>
          <w:szCs w:val="20"/>
        </w:rPr>
        <w:t xml:space="preserve">File the first impugnação on a line under R$80.000 that has not been reserved to ME/EPP. It is free, written, and about a third of lines qualify.</w:t>
      </w:r>
    </w:p>
    <w:p>
      <w:pPr>
        <w:pStyle w:val="ListParagraph"/>
        <w:numPr>
          <w:ilvl w:val="0"/>
          <w:numId w:val="3"/>
        </w:numPr>
        <w:spacing w:after="70" w:line="276"/>
      </w:pPr>
      <w:r>
        <w:rPr>
          <w:rFonts w:ascii="Calibri" w:cs="Calibri" w:eastAsia="Calibri" w:hAnsi="Calibri"/>
          <w:color w:val="1A1A1A"/>
          <w:sz w:val="20"/>
          <w:szCs w:val="20"/>
        </w:rPr>
        <w:t xml:space="preserve">Close one small private corporate kit sale — R$2.000 is enough — purely to mint the first atestado from a pessoa jurídica de direito privado.</w:t>
      </w:r>
    </w:p>
    <w:p>
      <w:pPr>
        <w:pStyle w:val="ListParagraph"/>
        <w:numPr>
          <w:ilvl w:val="0"/>
          <w:numId w:val="3"/>
        </w:numPr>
        <w:spacing w:after="70" w:line="276"/>
      </w:pPr>
      <w:r>
        <w:rPr>
          <w:rFonts w:ascii="Calibri" w:cs="Calibri" w:eastAsia="Calibri" w:hAnsi="Calibri"/>
          <w:color w:val="1A1A1A"/>
          <w:sz w:val="20"/>
          <w:szCs w:val="20"/>
        </w:rPr>
        <w:t xml:space="preserve">Watch for an adesão opportunity on a live ata. One state registration produced seven municipal call-offs with no second bid.</w:t>
      </w:r>
    </w:p>
    <w:p>
      <w:pPr>
        <w:pStyle w:val="Heading2"/>
        <w:spacing w:after="110" w:before="260"/>
      </w:pPr>
      <w:r>
        <w:rPr>
          <w:rFonts w:ascii="Calibri" w:cs="Calibri" w:eastAsia="Calibri" w:hAnsi="Calibri"/>
          <w:b/>
          <w:bCs/>
          <w:color w:val="1A1A1A"/>
          <w:sz w:val="23"/>
          <w:szCs w:val="23"/>
        </w:rPr>
        <w:t xml:space="preserve">What success looks like at day 90</w:t>
      </w:r>
    </w:p>
    <w:p>
      <w:pPr>
        <w:spacing w:after="120" w:before="0" w:line="276"/>
      </w:pPr>
      <w:r>
        <w:rPr>
          <w:rFonts w:ascii="Calibri" w:cs="Calibri" w:eastAsia="Calibri" w:hAnsi="Calibri"/>
          <w:color w:val="1A1A1A"/>
          <w:sz w:val="20"/>
          <w:szCs w:val="20"/>
        </w:rPr>
        <w:t xml:space="preserve">Not revenue. Three things: a cron producing a daily shortlist she trusts; a shadow-bid rate at or above the bar; and one atestado in hand. Revenue follows from those and cannot precede them.</w:t>
      </w:r>
    </w:p>
    <w:p>
      <w:r>
        <w:br w:type="page"/>
      </w:r>
    </w:p>
    <w:p>
      <w:pPr>
        <w:pStyle w:val="Heading1"/>
        <w:spacing w:after="160" w:before="360"/>
      </w:pPr>
      <w:r>
        <w:rPr>
          <w:rFonts w:ascii="Calibri" w:cs="Calibri" w:eastAsia="Calibri" w:hAnsi="Calibri"/>
          <w:b/>
          <w:bCs/>
          <w:color w:val="1A1A1A"/>
          <w:sz w:val="30"/>
          <w:szCs w:val="30"/>
        </w:rPr>
        <w:t xml:space="preserve">14. What is not verified</w:t>
      </w:r>
    </w:p>
    <w:p>
      <w:pPr>
        <w:spacing w:after="120" w:before="0" w:line="276"/>
      </w:pPr>
      <w:r>
        <w:rPr>
          <w:rFonts w:ascii="Calibri" w:cs="Calibri" w:eastAsia="Calibri" w:hAnsi="Calibri"/>
          <w:color w:val="1A1A1A"/>
          <w:sz w:val="20"/>
          <w:szCs w:val="20"/>
        </w:rPr>
        <w:t xml:space="preserve">Listed rather than buried, because a flagged gap is worth more than a plausible figure.</w:t>
      </w:r>
    </w:p>
    <w:tbl>
      <w:tblPr>
        <w:tblW w:type="dxa" w:w="9360"/>
        <w:tblBorders>
          <w:top w:val="single" w:color="C8C8C8" w:sz="4"/>
          <w:left w:val="none"/>
          <w:bottom w:val="single" w:color="C8C8C8" w:sz="4"/>
          <w:right w:val="none"/>
          <w:insideH w:val="single" w:color="C8C8C8" w:sz="2"/>
          <w:insideV w:val="none"/>
        </w:tblBorders>
      </w:tblPr>
      <w:tblGrid>
        <w:gridCol w:w="2900"/>
        <w:gridCol w:w="2200"/>
        <w:gridCol w:w="4260"/>
      </w:tblGrid>
      <w:tr>
        <w:trPr>
          <w:tblHeader/>
        </w:trPr>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6"/>
                <w:szCs w:val="16"/>
              </w:rPr>
              <w:t xml:space="preserve">Item</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6"/>
                <w:szCs w:val="16"/>
              </w:rPr>
              <w:t xml:space="preserve">Status</w:t>
            </w:r>
          </w:p>
        </w:tc>
        <w:tc>
          <w:tcPr>
            <w:tcW w:type="dxa" w:w="0"/>
            <w:shd w:fill="EDEAE4" w:color="auto" w:val="clear"/>
            <w:tcMar>
              <w:top w:type="dxa" w:w="70"/>
              <w:left w:type="dxa" w:w="100"/>
              <w:bottom w:type="dxa" w:w="70"/>
              <w:right w:type="dxa" w:w="100"/>
            </w:tcMar>
          </w:tcPr>
          <w:p>
            <w:pPr>
              <w:spacing w:after="0" w:line="252"/>
            </w:pPr>
            <w:r>
              <w:rPr>
                <w:rFonts w:ascii="Calibri" w:cs="Calibri" w:eastAsia="Calibri" w:hAnsi="Calibri"/>
                <w:b/>
                <w:bCs/>
                <w:color w:val="1A1A1A"/>
                <w:sz w:val="16"/>
                <w:szCs w:val="16"/>
              </w:rPr>
              <w:t xml:space="preserve">Why it matters</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Cost of goods at 60%</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ESTIMATE</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The single largest input. Three BOM quotes answer it</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Co-packing per unit</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NO PUBLISHED PRICE EXISTS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Twelve operators checked; all quote. Bounded ≤R$18–23</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LTL freight for 300–800 kg</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UNVERIFIED</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Every carrier gates rates behind an account. Correios measured instead</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Municipal payment deadlines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PER-BUYER</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No national rule. Must be read from each edital's decree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Manaus 200.000-kit ARP</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UNVERIFIED</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Excluded from all figures. Would have tripled the apparent market</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Simples rates from 2027</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UNVERIFIED</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IBS/CBS transition. Do not build three-year plans on today's table</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Venda à ordem vs subcontracting ban</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UNVERIFIED</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No tribunal ruling found squarely on it. The one legal opinion worth buying</w:t>
            </w:r>
          </w:p>
        </w:tc>
      </w:tr>
      <w:tr>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SUAS transfers as “voluntárias”</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UNVERIFIED</w:t>
            </w:r>
          </w:p>
        </w:tc>
        <w:tc>
          <w:tcPr>
            <w:tcW w:type="dxa" w:w="0"/>
            <w:shd w:fill="F7F5F2" w:color="auto" w:val="clear"/>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If they are, a large slice of buyers returns to the federal payment clock</w:t>
            </w:r>
          </w:p>
        </w:tc>
      </w:tr>
      <w:tr>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State programmes off PNCP</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KNOWN GAP</w:t>
            </w:r>
          </w:p>
        </w:tc>
        <w:tc>
          <w:tcPr>
            <w:tcW w:type="dxa" w:w="0"/>
            <w:tcMar>
              <w:top w:type="dxa" w:w="70"/>
              <w:left w:type="dxa" w:w="100"/>
              <w:bottom w:type="dxa" w:w="70"/>
              <w:right w:type="dxa" w:w="100"/>
            </w:tcMar>
          </w:tcPr>
          <w:p>
            <w:pPr>
              <w:spacing w:after="0" w:line="252"/>
            </w:pPr>
            <w:r>
              <w:rPr>
                <w:rFonts w:ascii="Calibri" w:cs="Calibri" w:eastAsia="Calibri" w:hAnsi="Calibri"/>
                <w:color w:val="1A1A1A"/>
                <w:sz w:val="16"/>
                <w:szCs w:val="16"/>
              </w:rPr>
              <w:t xml:space="preserve">Paraná invisible; the R$18,98 M Rio Grande do Sul contract has no matching edital</w:t>
            </w:r>
          </w:p>
        </w:tc>
      </w:tr>
    </w:tbl>
    <w:p>
      <w:pPr>
        <w:spacing w:after="140"/>
      </w:pPr>
    </w:p>
    <w:p>
      <w:pPr>
        <w:spacing w:after="120" w:before="0" w:line="276"/>
      </w:pPr>
      <w:r>
        <w:rPr>
          <w:rFonts w:ascii="Calibri" w:cs="Calibri" w:eastAsia="Calibri" w:hAnsi="Calibri"/>
          <w:color w:val="1A1A1A"/>
          <w:sz w:val="20"/>
          <w:szCs w:val="20"/>
        </w:rPr>
        <w:t xml:space="preserve">And three of my own claims were corrected during this work rather than after it: that a first-time supplier is excluded by any atestado clause (wrong — only numeric ones); that 72% of this market is invisible to a title search (wrong — it is about 25%); and that dispensa purchases must be paid within fourteen days (right for federal buyers, wrong for the 97% that are municipal). </w:t>
      </w:r>
      <w:r>
        <w:rPr>
          <w:rFonts w:ascii="Calibri" w:cs="Calibri" w:eastAsia="Calibri" w:hAnsi="Calibri"/>
          <w:i/>
          <w:iCs/>
          <w:color w:val="1A1A1A"/>
          <w:sz w:val="20"/>
          <w:szCs w:val="20"/>
        </w:rPr>
        <w:t xml:space="preserve">They are recorded here because the same standard that caught them is the standard the plan was built to.</w:t>
      </w:r>
    </w:p>
    <w:p>
      <w:pPr>
        <w:spacing w:after="200"/>
      </w:pPr>
    </w:p>
    <w:p>
      <w:pPr>
        <w:spacing w:after="120" w:before="0" w:line="276"/>
        <w:jc w:val="center"/>
      </w:pPr>
      <w:r>
        <w:rPr>
          <w:rFonts w:ascii="Calibri" w:cs="Calibri" w:eastAsia="Calibri" w:hAnsi="Calibri"/>
          <w:i/>
          <w:iCs/>
          <w:color w:val="5A5A5A"/>
          <w:sz w:val="17"/>
          <w:szCs w:val="17"/>
        </w:rPr>
        <w:t xml:space="preserve">All figures measured between 11 and 12 September 2026 from primary sources: PNCP, SICONFI, SEFAZ-SP binding consultas, Planalto statutes, Inmetro portarias, Correios pricing, and the buyers' and suppliers' own published pages.</w:t>
      </w:r>
    </w:p>
    <w:sectPr>
      <w:headerReference w:type="default" r:id="rId7"/>
      <w:footerReference w:type="default" r:id="rId8"/>
      <w:pgSz w:w="11906" w:h="16838"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6"/>
      </w:pBdr>
      <w:spacing w:after="0"/>
      <w:jc w:val="right"/>
    </w:pPr>
    <w:r>
      <w:rPr>
        <w:color w:val="8A8A8A"/>
        <w:sz w:val="15"/>
        <w:szCs w:val="15"/>
      </w:rPr>
      <w:t xml:space="preserve">O ENXOVAL  ·  business plan  ·  12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A1A1A"/>
      </w:rPr>
    </w:lvl>
  </w:abstractNum>
  <w:abstractNum w:abstractNumId="3" w15:restartNumberingAfterBreak="0">
    <w:multiLevelType w:val="hybridMultilevel"/>
    <w:lvl w:ilvl="0" w15:tentative="1">
      <w:start w:val="1"/>
      <w:numFmt w:val="decimal"/>
      <w:lvlText w:val="%1."/>
      <w:lvlJc w:val="left"/>
      <w:pPr>
        <w:ind w:left="400" w:hanging="26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ENXOVAL — a national newborn-kit supply desk</dc:title>
  <dc:description>Business plan</dc:description>
  <cp:lastModifiedBy>Un-named</cp:lastModifiedBy>
  <cp:revision>1</cp:revision>
  <dcterms:created xsi:type="dcterms:W3CDTF">2026-09-12T19:48:47.672Z</dcterms:created>
  <dcterms:modified xsi:type="dcterms:W3CDTF">2026-09-12T19:48:47.673Z</dcterms:modified>
</cp:coreProperties>
</file>

<file path=docProps/custom.xml><?xml version="1.0" encoding="utf-8"?>
<Properties xmlns="http://schemas.openxmlformats.org/officeDocument/2006/custom-properties" xmlns:vt="http://schemas.openxmlformats.org/officeDocument/2006/docPropsVTypes"/>
</file>