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GATELEDGER</w:t>
      </w:r>
    </w:p>
    <w:p>
      <w:pPr>
        <w:spacing w:after="40" w:before="0" w:line="23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4A6785"/>
          <w:sz w:val="19"/>
          <w:szCs w:val="19"/>
        </w:rPr>
        <w:t xml:space="preserve">The historical record of which days each US container terminal’s gate was actually open — the number every demurrage invoice legally depends on, and that terminals delete within a week.</w:t>
      </w:r>
    </w:p>
    <w:p>
      <w:pPr>
        <w:spacing w:after="90" w:before="0" w:line="232" w:lineRule="auto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A business for Sol · prepared 20 August 2026 · the survivor of 90+ candidates and ~40 derived laws · recording already underway since 19 August</w:t>
      </w:r>
    </w:p>
    <w:p>
      <w:pPr>
        <w:pBdr>
          <w:bottom w:val="single" w:color="C9D4E0" w:sz="5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THE PROBLEM — AND THE LAW THAT MAKES IT MONEY</w:t>
      </w:r>
    </w:p>
    <w:p>
      <w:pPr>
        <w:spacing w:after="70" w:before="0" w:line="232" w:lineRule="auto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When an import container overstays its free time at a US port, the ocean carrier bills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US$210–395 per container per day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(dry; reefer $490–640 — Maersk’s own published 2026 tariffs). Free time is counted 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working days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, and Maersk’s tariff defines a working day as “any day a gate is open for container pickup.” Federal rule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46 CFR 541.6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makes the free-time start and end dates mandatory contents of every invoice —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541.5 voids the obligation to pay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when required fields are missing.</w:t>
      </w:r>
    </w:p>
    <w:p>
      <w:pPr>
        <w:spacing w:after="70" w:before="0" w:line="23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So which calendar days the gate was open is the denominator of every US demurrage invoice.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Terminals publish that state and overwrite it within 1–6 days; Maersk’s own daily empty-return file 404s in ~24 hours (measured: exactly one file live at any moment).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Nobody keeps the series. GateLedger does — and once a day is missed, nobody can ever buy it back.</w:t>
      </w:r>
    </w:p>
    <w:p>
      <w:pPr>
        <w:pBdr>
          <w:bottom w:val="single" w:color="C9D4E0" w:sz="5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THE PRODUCT</w:t>
      </w:r>
    </w:p>
    <w:p>
      <w:pPr>
        <w:spacing w:after="70" w:before="0" w:line="232" w:lineRule="auto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A robot captures every terminal’s gate schedule, empty-return acceptance and (if its gate-test passes) chassis acceptance, twice daily, in the exact hours carriers’ dispute policies specify. Each day’s bundle is hashed and countersigned by four independent certificate authorities (DigiCert, Sectigo, Izenpe, FreeTSA — tested, free, seconds). Sol never opines: the record states what the screen showed, when, with what hash.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The customer does the subtraction.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C9D4E0" w:sz="4"/>
          <w:insideV w:val="none"/>
        </w:tblBorders>
      </w:tblPr>
      <w:tblGrid>
        <w:gridCol w:w="2050"/>
        <w:gridCol w:w="1300"/>
        <w:gridCol w:w="7450"/>
      </w:tblGrid>
      <w:tr>
        <w:tc>
          <w:tcPr>
            <w:tcW w:type="dxa" w:w="2050"/>
            <w:shd w:fill="EEF2F7" w:val="clear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EEF2F7" w:val="clear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7450"/>
            <w:shd w:fill="EEF2F7" w:val="clear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205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Free — last 7 days</w:t>
            </w:r>
          </w:p>
        </w:tc>
        <w:tc>
          <w:tcPr>
            <w:tcW w:type="dxa" w:w="130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745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One public page per terminal per day (~22.000 pages/yr). The dataset is its own marketing: the page a dispatcher’s “was Pier A closed Aug 22” query lands on.</w:t>
            </w:r>
          </w:p>
        </w:tc>
      </w:tr>
      <w:tr>
        <w:tc>
          <w:tcPr>
            <w:tcW w:type="dxa" w:w="205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Ledger</w:t>
            </w:r>
          </w:p>
        </w:tc>
        <w:tc>
          <w:tcPr>
            <w:tcW w:type="dxa" w:w="130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$249/mo</w:t>
            </w:r>
          </w:p>
        </w:tc>
        <w:tc>
          <w:tcPr>
            <w:tcW w:type="dxa" w:w="745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Full history, all terminals, CSV export, closure alerts.</w:t>
            </w:r>
          </w:p>
        </w:tc>
      </w:tr>
      <w:tr>
        <w:tc>
          <w:tcPr>
            <w:tcW w:type="dxa" w:w="205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Dispute Desk</w:t>
            </w:r>
          </w:p>
        </w:tc>
        <w:tc>
          <w:tcPr>
            <w:tcW w:type="dxa" w:w="130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$649/mo</w:t>
            </w:r>
          </w:p>
        </w:tc>
        <w:tc>
          <w:tcPr>
            <w:tcW w:type="dxa" w:w="745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Adds certified extracts, API feed, and 10 evidence packs a month.</w:t>
            </w:r>
          </w:p>
        </w:tc>
      </w:tr>
      <w:tr>
        <w:tc>
          <w:tcPr>
            <w:tcW w:type="dxa" w:w="205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Evidence pack</w:t>
            </w:r>
          </w:p>
        </w:tc>
        <w:tc>
          <w:tcPr>
            <w:tcW w:type="dxa" w:w="130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$95 one-off</w:t>
            </w:r>
          </w:p>
        </w:tc>
        <w:tc>
          <w:tcPr>
            <w:tcW w:type="dxa" w:w="745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Terminal + date range: raw captures, hash chain, all four RFC 3161 tokens, custodian certificate (FRE 902(13)/(14)) — self-authenticating, no expert needed.</w:t>
            </w:r>
          </w:p>
        </w:tc>
      </w:tr>
      <w:tr>
        <w:tc>
          <w:tcPr>
            <w:tcW w:type="dxa" w:w="205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White-label</w:t>
            </w:r>
          </w:p>
        </w:tc>
        <w:tc>
          <w:tcPr>
            <w:tcW w:type="dxa" w:w="130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~$1.500/mo</w:t>
            </w:r>
          </w:p>
        </w:tc>
        <w:tc>
          <w:tcPr>
            <w:tcW w:type="dxa" w:w="745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A recovery firm resells under its own brand. One security review, ever.</w:t>
            </w:r>
          </w:p>
        </w:tc>
      </w:tr>
    </w:tbl>
    <w:p>
      <w:pPr>
        <w:spacing w:after="30" w:before="0" w:line="232" w:lineRule="auto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/>
      </w:r>
    </w:p>
    <w:p>
      <w:pPr>
        <w:pBdr>
          <w:bottom w:val="single" w:color="C9D4E0" w:sz="5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THE MONEY</w:t>
      </w:r>
    </w:p>
    <w:p>
      <w:pPr>
        <w:spacing w:after="70" w:before="0" w:line="23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Target: US$11.100/month gross ≈ US$10.000 net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(Brazil taxes an exported service at 8,1%; invoiced via Wise at ~0,5%).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Path: 2 white-label ($3.000) + 8 Dispute Desk ($5.192) + 6 Ledger ($1.494) + 15 packs ($1.425) = $11.111/mo.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One wrongly-counted gate day repays a month’s subscription 3–6 times over. Running cost: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under $20/month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(Cloudflare; five years of history ≈ $0,45/mo of storage). Zero marginal hours per subscriber; total capital under $1.000 against a $2.500 ceiling.</w:t>
      </w:r>
    </w:p>
    <w:p>
      <w:pPr>
        <w:spacing w:after="0" w:before="0" w:line="23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4A6785"/>
          <w:sz w:val="19"/>
          <w:szCs w:val="19"/>
        </w:rPr>
        <w:t xml:space="preserve">Honest sensitivity: </w:t>
      </w:r>
      <w:r>
        <w:rPr>
          <w:rFonts w:ascii="Calibri" w:cs="Calibri" w:eastAsia="Calibri" w:hAnsi="Calibri"/>
          <w:i w:val="false"/>
          <w:iCs w:val="false"/>
          <w:color w:val="4A6785"/>
          <w:sz w:val="19"/>
          <w:szCs w:val="19"/>
        </w:rPr>
        <w:t xml:space="preserve">the defensible corridor for a pure data feed is $150–350/mo + $49–99 per extract. The white-label anchor is load-bearing — if it fails to land, the target slides toward 24 months or requires the motor-carrier tier to convert.</w:t>
      </w:r>
    </w:p>
    <w:p>
      <w:r>
        <w:br w:type="page"/>
      </w:r>
    </w:p>
    <w:p>
      <w:pPr>
        <w:pBdr>
          <w:bottom w:val="single" w:color="C9D4E0" w:sz="5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WHY THIS, WHY HER, WHY NOW</w:t>
      </w:r>
    </w:p>
    <w:p>
      <w:pPr>
        <w:pStyle w:val="ListParagraph"/>
        <w:numPr>
          <w:ilvl w:val="0"/>
          <w:numId w:val="2"/>
        </w:numPr>
        <w:spacing w:after="46" w:line="23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Every constraint fits by construction.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No calls in operations (cold email → invoice → automated delivery); customers send nothing and grant nothing; she is never believed — the mathematics is.</w:t>
      </w:r>
    </w:p>
    <w:p>
      <w:pPr>
        <w:pStyle w:val="ListParagraph"/>
        <w:numPr>
          <w:ilvl w:val="0"/>
          <w:numId w:val="2"/>
        </w:numPr>
        <w:spacing w:after="46" w:line="23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Uniqueness is measured, not asserted.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A census of 24 contingency-fee recovery industries found exactly one needing an input that is a transient third-party public fact nobody archives — this one. The structure: refund-side buyers + a schedule posted by one company (the terminal) feeding another company’s invoice (the carrier) + a ~17-page/day capture universe.</w:t>
      </w:r>
    </w:p>
    <w:p>
      <w:pPr>
        <w:pStyle w:val="ListParagraph"/>
        <w:numPr>
          <w:ilvl w:val="0"/>
          <w:numId w:val="2"/>
        </w:numPr>
        <w:spacing w:after="46" w:line="23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The “who are you” wall is solved structurally.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Carriers accept third-party evidence only from sources “widely recognized as reliable” — fatal to any anonymous newcomer. A CA-countersigned hash chain replaces recognition with arithmetic anyone verifies offline.</w:t>
      </w:r>
    </w:p>
    <w:p>
      <w:pPr>
        <w:pStyle w:val="ListParagraph"/>
        <w:numPr>
          <w:ilvl w:val="0"/>
          <w:numId w:val="2"/>
        </w:numPr>
        <w:spacing w:after="46" w:line="23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The asset already exists.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Day 0 captured 19 Aug 2026 (SHA-256 a0da4396…, four timestamp tokens), day 1 on 20 Aug. Every day it runs is a day no competitor — funded or not — can ever back-fill.</w:t>
      </w:r>
    </w:p>
    <w:p>
      <w:pPr>
        <w:pBdr>
          <w:bottom w:val="single" w:color="C9D4E0" w:sz="5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GO-TO-MARKET — WRITTEN-ONLY</w:t>
      </w:r>
    </w:p>
    <w:p>
      <w:pPr>
        <w:spacing w:after="70" w:before="0" w:line="23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Buyers: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D&amp;D recovery firms on 25–35% success fees — they hold the customer’s conduct evidence and cannot buy back the past; she holds the past and can never hold conduct evidence: each side is barred from the other’s half · motor carriers in UIIA arbitration (29,6% publish email — measured; the 75,2% figure is FMCSA property BROKERS, a different population) · FMC charge-complaint filers (the FMC’s own guidance names “screen captures of … gate closures”) · drayage TMS vendors, as feed licensees.</w:t>
      </w:r>
    </w:p>
    <w:p>
      <w:pPr>
        <w:spacing w:after="70" w:before="0" w:line="23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The free prospect list: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IANA’s published arbitration decisions — every case that turned on a missing terminal state names a motor carrier that lost real money for want of exactly this record.</w:t>
      </w:r>
    </w:p>
    <w:p>
      <w:pPr>
        <w:spacing w:after="70" w:before="0" w:line="23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The 6–20 setup calls, ranked: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(1) ONE white-label anchor with a recovery firm — a single conversation that converts the small-pool weakness into ~27% of target; (2) ONE TMS data-feed deal; hold the rest in reserve for buyer procurement reviews.</w:t>
      </w:r>
    </w:p>
    <w:p>
      <w:pPr>
        <w:pBdr>
          <w:bottom w:val="single" w:color="C9D4E0" w:sz="5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WHAT MUST BE TRUE — FIVE BARS, COMMITTED BEFORE BUILDING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C9D4E0" w:sz="4"/>
          <w:insideV w:val="none"/>
        </w:tblBorders>
      </w:tblPr>
      <w:tblGrid>
        <w:gridCol w:w="3560"/>
        <w:gridCol w:w="4360"/>
        <w:gridCol w:w="2880"/>
      </w:tblGrid>
      <w:tr>
        <w:tc>
          <w:tcPr>
            <w:tcW w:type="dxa" w:w="3560"/>
            <w:shd w:fill="EEF2F7" w:val="clear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Risk</w:t>
            </w:r>
          </w:p>
        </w:tc>
        <w:tc>
          <w:tcPr>
            <w:tcW w:type="dxa" w:w="4360"/>
            <w:shd w:fill="EEF2F7" w:val="clear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Test</w:t>
            </w:r>
          </w:p>
        </w:tc>
        <w:tc>
          <w:tcPr>
            <w:tcW w:type="dxa" w:w="2880"/>
            <w:shd w:fill="EEF2F7" w:val="clear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Pre-committed bar</w:t>
            </w:r>
          </w:p>
        </w:tc>
      </w:tr>
      <w:tr>
        <w:tc>
          <w:tcPr>
            <w:tcW w:type="dxa" w:w="356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Demand</w:t>
            </w: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 — never measured; the binding constraint in every prior hunt</w:t>
            </w:r>
          </w:p>
        </w:tc>
        <w:tc>
          <w:tcPr>
            <w:tcW w:type="dxa" w:w="436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30 emails: “where do you get the terminal’s state for a date three months ago, and what did that record cost you?”</w:t>
            </w:r>
          </w:p>
        </w:tc>
        <w:tc>
          <w:tcPr>
            <w:tcW w:type="dxa" w:w="288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KILL &lt;4/30 reply, or ≥⅓ name a source they already hold</w:t>
            </w:r>
          </w:p>
        </w:tc>
      </w:tr>
      <w:tr>
        <w:tc>
          <w:tcPr>
            <w:tcW w:type="dxa" w:w="356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BlueCargo</w:t>
            </w: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 already holds it (free tier lists “terminal &amp; gate schedules”)</w:t>
            </w:r>
          </w:p>
        </w:tc>
        <w:tc>
          <w:tcPr>
            <w:tcW w:type="dxa" w:w="436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Free-tier signup; try to pull gate state &gt;30 days past</w:t>
            </w:r>
          </w:p>
        </w:tc>
        <w:tc>
          <w:tcPr>
            <w:tcW w:type="dxa" w:w="288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KILL if any past-date calendar serves</w:t>
            </w:r>
          </w:p>
        </w:tc>
      </w:tr>
      <w:tr>
        <w:tc>
          <w:tcPr>
            <w:tcW w:type="dxa" w:w="356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Disputes</w:t>
            </w: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 turn on un-screenshotted days</w:t>
            </w:r>
          </w:p>
        </w:tc>
        <w:tc>
          <w:tcPr>
            <w:tcW w:type="dxa" w:w="436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Read 20 published IANA arbitration decisions</w:t>
            </w:r>
          </w:p>
        </w:tc>
        <w:tc>
          <w:tcPr>
            <w:tcW w:type="dxa" w:w="288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KILL &lt;5/20 on world-state evidence</w:t>
            </w:r>
          </w:p>
        </w:tc>
      </w:tr>
      <w:tr>
        <w:tc>
          <w:tcPr>
            <w:tcW w:type="dxa" w:w="356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Access</w:t>
            </w: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 — 8 of 20 terminals verified so far</w:t>
            </w:r>
          </w:p>
        </w:tc>
        <w:tc>
          <w:tcPr>
            <w:tcW w:type="dxa" w:w="436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Ten-day, 20-terminal, twice-daily capture from a real browser</w:t>
            </w:r>
          </w:p>
        </w:tc>
        <w:tc>
          <w:tcPr>
            <w:tcW w:type="dxa" w:w="288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KILL &lt;12/20 parseable on ≥18/20 runs</w:t>
            </w:r>
          </w:p>
        </w:tc>
      </w:tr>
      <w:tr>
        <w:tc>
          <w:tcPr>
            <w:tcW w:type="dxa" w:w="356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5. Price corridor</w:t>
            </w:r>
          </w:p>
        </w:tc>
        <w:tc>
          <w:tcPr>
            <w:tcW w:type="dxa" w:w="436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From probe replies against $150–350/mo + $49–99/extract</w:t>
            </w:r>
          </w:p>
        </w:tc>
        <w:tc>
          <w:tcPr>
            <w:tcW w:type="dxa" w:w="2880"/>
            <w:tcMar>
              <w:top w:type="dxa" w:w="26"/>
              <w:left w:type="dxa" w:w="60"/>
              <w:bottom w:type="dxa" w:w="26"/>
              <w:right w:type="dxa" w:w="60"/>
            </w:tcMar>
          </w:tcPr>
          <w:p>
            <w:pPr>
              <w:spacing w:after="0" w:line="216" w:lineRule="auto"/>
            </w:pPr>
            <w:r>
              <w:rPr>
                <w:rFonts w:ascii="Calibri" w:cs="Calibri" w:eastAsia="Calibri" w:hAnsi="Calibri"/>
                <w:i w:val="false"/>
                <w:iCs w:val="false"/>
                <w:color w:val="1A1A1A"/>
                <w:sz w:val="19"/>
                <w:szCs w:val="19"/>
              </w:rPr>
              <w:t xml:space="preserve">Corridor confirmed by ≥3 numeric replies</w:t>
            </w:r>
          </w:p>
        </w:tc>
      </w:tr>
    </w:tbl>
    <w:p>
      <w:pPr>
        <w:spacing w:after="60" w:before="0" w:line="232" w:lineRule="auto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Computed and already cleared: the free 7-day window cannibalizes nothing — invoices land 10–70 days after the dates in dispute, so ≥95% of dispute-relevant dates sit in the paid tier.</w:t>
      </w:r>
    </w:p>
    <w:p>
      <w:pPr>
        <w:pBdr>
          <w:bottom w:val="single" w:color="C9D4E0" w:sz="5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FIRST 90 DAYS — TOTAL CASH UNDER $100</w:t>
      </w:r>
    </w:p>
    <w:p>
      <w:pPr>
        <w:spacing w:after="70" w:before="0" w:line="23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Wk 1–2: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the 20-terminal capture — the test IS the build; its ten days are the first ten days of the asset. Parser v1.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Wk 2–3: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the 30-email probe, the 20-decision read, the BlueCargo check.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Wk 4–6: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free layer live (indexation is free, fast, written-only); evidence-pack generator automated.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Wk 6–8: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first paid packs to IANA-listed carriers and FMC filers.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Wk 8–12: 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setup call #1 — the white-label anchor.</w:t>
      </w:r>
    </w:p>
    <w:p>
      <w:pPr>
        <w:pBdr>
          <w:bottom w:val="single" w:color="C9D4E0" w:sz="5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THE VERDICT</w:t>
      </w:r>
    </w:p>
    <w:p>
      <w:pPr>
        <w:spacing w:after="20" w:before="0" w:line="232" w:lineRule="auto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“Every structural test this idea can pass, it has passed; the two it cannot pass on paper — that anyone will pay, and that BlueCargo hasn’t already built it — cost $20 and 30 emails to run, and nothing should be built until both return numbers.”</w:t>
      </w:r>
    </w:p>
    <w:p>
      <w:pPr>
        <w:spacing w:after="0" w:before="0" w:line="232" w:lineRule="auto"/>
      </w:pPr>
      <w:r>
        <w:rPr>
          <w:rFonts w:ascii="Calibri" w:cs="Calibri" w:eastAsia="Calibri" w:hAnsi="Calibri"/>
          <w:i w:val="false"/>
          <w:iCs w:val="false"/>
          <w:color w:val="666666"/>
          <w:sz w:val="16"/>
          <w:szCs w:val="16"/>
        </w:rPr>
        <w:t xml:space="preserve">— the adversarial counsel’s closing line, adopted unedited.</w:t>
      </w:r>
    </w:p>
    <w:sectPr>
      <w:pgSz w:w="12240" w:h="15840" w:orient="portrait"/>
      <w:pgMar w:top="60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2026-08-20T21:18:36.028Z</dcterms:created>
  <dcterms:modified xsi:type="dcterms:W3CDTF">2026-08-20T21:18:36.043Z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