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C"/>
          <w:sz w:val="40"/>
          <w:szCs w:val="40"/>
        </w:rPr>
        <w:t xml:space="preserve">THE RULE BOOK</w:t>
      </w:r>
    </w:p>
    <w:p>
      <w:pPr>
        <w:spacing w:after="22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Every constraint and derived law in play, 21 August 2026 — grouped so you can challenge them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this document exists. </w:t>
      </w:r>
      <w:r>
        <w:rPr>
          <w:rFonts w:ascii="Calibri" w:cs="Calibri" w:eastAsia="Calibri" w:hAnsi="Calibri"/>
          <w:sz w:val="19"/>
          <w:szCs w:val="19"/>
        </w:rPr>
        <w:t xml:space="preserve">After three weeks the board is thin. One likely cause is that the rule set is over-constrained — so here is every rule, in one place, with what each has actually cost.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The distinction that matters is ORIGIN.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7B2D26"/>
          <w:sz w:val="19"/>
          <w:szCs w:val="19"/>
        </w:rPr>
        <w:t xml:space="preserve">YOURS TO CHANGE — </w:t>
      </w:r>
      <w:r>
        <w:rPr>
          <w:rFonts w:ascii="Calibri" w:cs="Calibri" w:eastAsia="Calibri" w:hAnsi="Calibri"/>
          <w:sz w:val="19"/>
          <w:szCs w:val="19"/>
        </w:rPr>
        <w:t xml:space="preserve">the target, C1–C9 and the vetoes. These are Sol's choices. Nothing external enforces them, and each one has a price listed below.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4E5C"/>
          <w:sz w:val="19"/>
          <w:szCs w:val="19"/>
        </w:rPr>
        <w:t xml:space="preserve">MEASURED — </w:t>
      </w:r>
      <w:r>
        <w:rPr>
          <w:rFonts w:ascii="Calibri" w:cs="Calibri" w:eastAsia="Calibri" w:hAnsi="Calibri"/>
          <w:sz w:val="19"/>
          <w:szCs w:val="19"/>
        </w:rPr>
        <w:t xml:space="preserve">verified against a primary source. Changing your mind does not change these. They can only be overturned by better evidence.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999999"/>
          <w:sz w:val="19"/>
          <w:szCs w:val="19"/>
        </w:rPr>
        <w:t xml:space="preserve">DERIVED — </w:t>
      </w:r>
      <w:r>
        <w:rPr>
          <w:rFonts w:ascii="Calibri" w:cs="Calibri" w:eastAsia="Calibri" w:hAnsi="Calibri"/>
          <w:sz w:val="19"/>
          <w:szCs w:val="19"/>
        </w:rPr>
        <w:t xml:space="preserve">my reasoning from the above. These are the ones most likely to be WRONG. Challenge them freely.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to edit: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strike out anything you disagree with, or write RELAX / KILL next to its ID and send it back. I will re-run the live board against the amended set and tell you what reopens.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THE TARGET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US$10.000/month NET take-home within 12–18 months. </w:t>
      </w:r>
      <w:r>
        <w:rPr>
          <w:rFonts w:ascii="Calibri" w:cs="Calibri" w:eastAsia="Calibri" w:hAnsi="Calibri"/>
          <w:sz w:val="19"/>
          <w:szCs w:val="19"/>
        </w:rPr>
        <w:t xml:space="preserve">Verified gross required: US$11.100/month (R$57.800) at Brazil's 8,1% Lucro Presumido export rate.</w:t>
      </w:r>
    </w:p>
    <w:p>
      <w:pPr>
        <w:spacing w:after="120" w:before="0"/>
      </w:pPr>
      <w:r>
        <w:rPr>
          <w:rFonts w:ascii="Calibri" w:cs="Calibri" w:eastAsia="Calibri" w:hAnsi="Calibri"/>
          <w:sz w:val="19"/>
          <w:szCs w:val="19"/>
        </w:rPr>
        <w:t xml:space="preserve">Under C9 that is ~43 h/month of screen time, i.e.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US$258 per hour of her time.</w:t>
      </w:r>
      <w:r>
        <w:rPr>
          <w:rFonts w:ascii="Calibri" w:cs="Calibri" w:eastAsia="Calibri" w:hAnsi="Calibri"/>
          <w:sz w:val="19"/>
          <w:szCs w:val="19"/>
        </w:rPr>
        <w:t xml:space="preserve"> Under the old C6 it was $85. Any candidate must clear the current number.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PART 1 — HER RULES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These are choices, not facts. Each has a price.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900"/>
        <w:gridCol w:w="2500"/>
        <w:gridCol w:w="3060"/>
        <w:gridCol w:w="2900"/>
      </w:tblGrid>
      <w:tr>
        <w:trPr>
          <w:tblHeader/>
        </w:trPr>
        <w:tc>
          <w:tcPr>
            <w:tcW w:type="dxa" w:w="9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5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  <w:tc>
          <w:tcPr>
            <w:tcW w:type="dxa" w:w="306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HAS COST</w:t>
            </w:r>
          </w:p>
        </w:tc>
        <w:tc>
          <w:tcPr>
            <w:tcW w:type="dxa" w:w="2900"/>
            <w:shd w:fill="1F4E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IF YOU RELAXED IT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speaks in ongoing operations. No calls, video, meetings or voice notes. (Relaxed 19 Aug: 6–20 one-off setup calls/yr allowed.)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MOST EXPENSIVE RULE IN THE FILE. Killed: all of S6 agency · the wedding venue-keepsake (needed ~40 partners) · COROA · the funeral hands-on version (~30 partners) · the med-spa retention play · the rep route into CYCLEMARK. Also kills any pay-per-lead model, because disputes are spoken.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every CHANNEL business needing 20–40 partners — which is most made-to-order physical goods. This single rule is why 'get a channel' keeps failing.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Permanently faceless. No camera, no personal brand, no audience-building. A company/pen name is allowed.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Killed all three exits of the attention trilemma: ad sales, affiliate, and paid subscription at scale (~179.000 subs needed).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audience-led businesses — but those are slow and she has no existing name, so the gain is smaller than it looks.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C3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employees, no contractors, ever. Vendors and suppliers are fine.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Killed RUÍDOFLEET. Blocks ANVISA import (needs a Responsável Técnico) and any craft scale-up.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regulated import, and physical assembly beyond her own hands. Note: vendors are ALREADY allowed — factories and labs are not 'hiring'.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takes custody of a customer credential or standing access to their system. Work arrives as a file they send.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Killed SEATSET 72 (its API pull WAS its distribution story) · the med-spa retention/CRM play · any embedded integration.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embedded software and 'native' distribution — the frictionless kind that needs no sales team.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C5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US$500–2.500, ONE TIME. Not monthly.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 MOST EXPENSIVE. Killed CYCLEMARK ($1,0–1,5M needed — 400×) · RUÍDOFLEET · paid acquisition at any scale · buying an existing asset · a $200–300/mo agent subscription.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At $10–25k: a real acquisition test, an entity with registrations, initial inventory. This rule currently forbids SPENDING TO FIND OUT.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C6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~30 h/week.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Largely superseded by C9 below.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C7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Personal São Paulo network is not a sales channel.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Blocks local partner acquisition and any warm-intro route.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a first-partner route for a channel business. Cheapest rule to relax, and possibly the highest leverage.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C8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Domain affinity is a real screen. She'll be alone with this 3 years, so an alienating candidate fails on persistence. Her world: fashion, modelling, apparel, beauty, creative licensing.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Killed GATELEDGER outright on 21 Aug — after it had passed every structural test in the file and had 3 days of data banked.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Opens the industrial/regulatory domains where ALL the compulsion structures live. This is the single biggest trade-off on the page.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B2D26"/>
                <w:sz w:val="18"/>
                <w:szCs w:val="18"/>
              </w:rPr>
              <w:t xml:space="preserve">C9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~8–12 h/WEEK of SCREEN TIME (added 21 Aug), not 30. The machine runs itself; her hours are oversight and QA.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Triples the required rate from $85/h to $258/h. Closed the craft escape from the catalogue scissors — her hands on every unit no longer fits.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At 30 h/week the craft route reopens: ~30 units/mo at $350–500 with under an hour of her work each.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4E5C"/>
          <w:sz w:val="21"/>
          <w:szCs w:val="21"/>
        </w:rPr>
        <w:t xml:space="preserve">Vetoes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7B2D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VETO</w:t>
            </w:r>
          </w:p>
        </w:tc>
        <w:tc>
          <w:tcPr>
            <w:tcW w:type="dxa" w:w="3180"/>
            <w:shd w:fill="7B2D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HAS COST</w:t>
            </w:r>
          </w:p>
        </w:tc>
        <w:tc>
          <w:tcPr>
            <w:tcW w:type="dxa" w:w="3180"/>
            <w:shd w:fill="7B2D2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Anything requiring her to be believed as an EXPERT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Killed MoCRA/EU-RP cosmetics compliance (her own domain, genuinely compelled) · all med-spa advice · verification of any kind · safety assessment.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VERY expensive. Inside a pleasant domain, everything compelled is credentialled — this veto locks that door.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Physical goods and inventory, unless MADE-TO-ORDER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Blocks Brazilian swimwear (25-set MOQ is inventory) · all stock-holding distribution.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Made-to-order is already permitted — this is less binding than it appears.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Construction as a buyer segment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Rarely binding.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Labour-compliance document chasing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Rarely binding.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Anything built around death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LIFTED 21 Aug. Basis was her unease, and that changed.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Now open. Caution: heavy on every unit, forever.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PART 2 — THE THREE SEARCH RULES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RULE 1 — </w:t>
      </w:r>
      <w:r>
        <w:rPr>
          <w:rFonts w:ascii="Calibri" w:cs="Calibri" w:eastAsia="Calibri" w:hAnsi="Calibri"/>
          <w:sz w:val="19"/>
          <w:szCs w:val="19"/>
        </w:rPr>
        <w:t xml:space="preserve">Before proposing a candidate, name its SHAPE out loud. If it's the same shape as the last one, stop and change shape first. (S1 written work · S2 replenishment, closed · S3 continuous operation · S4 compounding dataset · S5 software/system as product · S6 matching, closed.)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RULE 2 — </w:t>
      </w:r>
      <w:r>
        <w:rPr>
          <w:rFonts w:ascii="Calibri" w:cs="Calibri" w:eastAsia="Calibri" w:hAnsi="Calibri"/>
          <w:sz w:val="19"/>
          <w:szCs w:val="19"/>
        </w:rPr>
        <w:t xml:space="preserve">Filter LAST, not first. A constraint applied early deletes the component along with the candidate, and the component was the valuable half.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RULE 3 — </w:t>
      </w:r>
      <w:r>
        <w:rPr>
          <w:rFonts w:ascii="Calibri" w:cs="Calibri" w:eastAsia="Calibri" w:hAnsi="Calibri"/>
          <w:sz w:val="19"/>
          <w:szCs w:val="19"/>
        </w:rPr>
        <w:t xml:space="preserve">When an outside model is supplied, ask what HER VERSION OF THE WHOLE MODEL is, not only what parts it donates.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EVIDENCE STANDARD — </w:t>
      </w:r>
      <w:r>
        <w:rPr>
          <w:rFonts w:ascii="Calibri" w:cs="Calibri" w:eastAsia="Calibri" w:hAnsi="Calibri"/>
          <w:sz w:val="19"/>
          <w:szCs w:val="19"/>
        </w:rPr>
        <w:t xml:space="preserve">Every number needs a primary-source URL. Write UNVERIFIED explicitly where it can't be confirmed. Never cite SEO content farms or vendor marketing as evidence a requirement exists. Observed listings beat published claims. Four fabricated statistics have been caught in this file.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A. SCREENS — run these BEFORE any structural work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split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 the party on the hook for a mandatory field the same party that generates the input? If yes, stop.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Consumption-clock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forces the SECOND purchase? If the answer is goodwill and not a rule or a clock, there is no recurrence.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Market-multiple rule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revenue target needs a reachable pool 3–5× its size. Hers: ~$450k–1,3M of real niche spend.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Burden-of-proof screen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If the DEFENDANT must prove the exculpatory fact, the claimant needs no evidence — no evidence market exists.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Free-validator screen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Whoever defines a standard usually publishes a free validator. Sell where the check is free but the RULE is scattered.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Knowledge-liability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When this finds something, does the buyer get money or a PROBLEM? If a problem, demand is suppressed.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S7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Two-dates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 the interval already bounded by two dates the buyer owns? Then there's nothing to sell.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S8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Platform-arbiter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If the arbiter is a platform that already holds the record, no third-party evidence market can exist.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S9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Speculative-capture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 archive must capture before it has a customer. Screen on the SIZE of the universe captured speculatively.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S10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Inaccessible-subject screen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keepsake machine survives only where it monetises access to a subject the customer's own phone cannot reach.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Constraint-side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savings only sell to a buyer short of hours, whose volume is set by something they don't control.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Head-start asymmetry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makes a dataset defensible (it compounds) is what makes it un-enterable. Only a CLOCK-START is level.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Buildability threshold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Hunt what was impossible for one person in 2024 and merely hard now. Buys ~one quarter, nothing more.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Three-routes check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physical product has three doors: REP, RIGHTS, OWN BRAND. Not dead until all three are.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Present-tense duty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Read the TENSE of the duty. A present-tense duty is satisfied by the free current page; the change-log has no buyer.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Ask whether a published day gets REVISED before it's erased. Window overlap tests it free.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B. CLOSED FAMILIES — do not re-propose without new facts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AI on asset marketplaces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Either banned (skill worthless) or allowed (price → 0). Closes templates, stock, fonts, presets, prompt packs.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Fiverr floor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Written deliverables price at $5–45. Sampled three times across unrelated categories.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Verification is closed to her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Needs a body in a place or a credential into a system. She can have neither.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 stores / marketplace census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4.192 paid Atlassian apps: MEDIAN 13 installs, median vendor total 8. Clean successes took 5,8–7 years.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agency scissors (S6 closed)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Where B2B orders are written, the buyer broadcasts free; where introductions matter, orders come from conversation.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catalogue scissors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 item is either in a catalogue (no margin) or custom (her hands). No third door — except a genuine machine.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K7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attention trilemma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 sales (C1), affiliate (the half she loses), paid subs (~179.000 needed). No fourth door.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K8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Matching desk = S6 in costume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Compute units × her minutes against the hours ceiling FIRST. Fastest kill in the file.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K9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Wholesale escape ≠ physical goods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It pays only where throughput is a machine. If the partner's order costs her minutes, it's a job.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K10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UKGWA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UK Government Web Archive crawls gov.uk more often than gov.uk updates. Any UK public-body bulk file is dead.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Diagnosis-is-included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Statutory independence cleaves remediation from assessment, never diagnosis. The machine-makeable half is given away.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Compelled-but-credentialled trap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a pleasant domain the compelled obligations are reserved to credentialled persons. No third cell.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Protocol-not-product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If the industry says a defect can't be fixed in editing, a post-processing product is dead. If a regulator forbids the edit, the fix IS the violation.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K14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Domain-drift diagnosis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Every structure this file prizes exists only in B2B industrial/regulatory domains. Optimising for compulsion drives the hunt there deterministically.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C. DOMAINS HUNTED TO CLOSURE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Fashion &amp; modelling (19 Aug)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75-firm ceiling on NY model agencies, phone-only register. Her modelling knowledge is DIAGNOSTIC, not commercial.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Weddings &amp; events (19–20 Aug)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 candidates, ten kills. Insurers outsource evidence to the state; deposits are recovered free by card schemes.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Memorial / funeral (21 Aug)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Barbelled: $4,90 booklets vs ~$5.000 bespoke-with-conversations. Middle occupied by Tribute Technology; Frazer's software is FREE.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 spa (21 Aug)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Fastest-growing vertical in her domain, 14,3% CAGR. Advice credentialled · reference free · retention behind C4.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Brazilian registers &amp; recovery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Brazilian state closes its own gaps: dadosabertos, LAI, automatic compensation. 16 industries, zero splits.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 recovery industries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 contingency-fee industries. The poster≠issuer structure occurred exactly ONCE.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D. MONEY, TAX AND PRICE (Brazil)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8,1% rate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Lucro Presumido on EXPORTED services. Domestic loads 13,3–16,3%. Pessoa física is worst at ~28–32%.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Tax on gross is a margin test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Fatal at 15% margin, a haircut at 50%. Compute the margin before letting tax kill anything.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Invoice, don't checkout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Wise ~0,5% and supports Brazilian EI/MEI with USD details for R$250. A Stripe card checkout is ~8% all-in.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R$1.200 ceiling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COMPLETE outsourced back office for a Brazilian SME is R$450–1.200/mo. Kills 'sell one clever thing to a Brazilian small business'.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margin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Commission tracks the PRINCIPAL'S gross margin, not effort. Physical goods with a factory: 3–6%.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E. DISTRIBUTION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two-route resolution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faceless operator has TWO distributions: COMPULSION (hunted ~51 industries, 1 hit) and CHANNEL (her world, barely hunted).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The convergence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 an S4 dataset the product and the distribution are the SAME artefact. The only structure that neutralises C2.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Retrieval, not ranking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Indexation is free, fast and written-only. RANKING stays out of reach. She loses 'which vendor'; can win 'what is the answer'.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Gate/contact anti-correlation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biggest money-gated registers publish the least contact data. Screen on EMAIL first, gate second.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Brazilian written-only segment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escritórios de contabilidade are structurally written-only. Every other Brazilian SME defaults to WhatsApp.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X6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Dispute-is-the-product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pay-per-lead, the core workload is arbitrating whether the lead was real — and that is spoken.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F. MY OWN ERROR PATTERNS — discipline on me, not on the idea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DDDDDD" w:sz="1"/>
          <w:insideV w:val="single" w:color="DDDDDD" w:sz="1"/>
        </w:tblBorders>
      </w:tblPr>
      <w:tblGrid>
        <w:gridCol w:w="620"/>
        <w:gridCol w:w="2900"/>
        <w:gridCol w:w="5840"/>
      </w:tblGrid>
      <w:tr>
        <w:trPr>
          <w:tblHeader/>
        </w:trPr>
        <w:tc>
          <w:tcPr>
            <w:tcW w:type="dxa" w:w="62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840"/>
            <w:shd w:fill="5B5B5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SAYS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 count of structures is not a check of content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Print the first row and READ it. Three confident wrong numbers in one day, incl. a cookie-policy table read as data.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 30% dangle rate is probably a schema misreading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Net every 'dangling' set against the register recording the cure. Happened three times.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 pitch's arithmetic is not self-verifying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Recompute it. SEATSET stated $146 profit; its own numbers gave $174.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E4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Vendor-urgency law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Vendors absorb compliance crises before a solo operator can sell them, and the content outlives the crisis. Date-check the REGULATOR'S page.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 monetisation is not a candidate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 outside model supplied as an idea source usually donates one. Ask what the loop ACCUMULATES.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5"/>
                <w:szCs w:val="15"/>
              </w:rPr>
              <w:t xml:space="preserve">  [DERIVED]</w:t>
            </w:r>
          </w:p>
        </w:tc>
      </w:tr>
      <w:t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E6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Selection ≠ persistence</w:t>
            </w:r>
          </w:p>
        </w:tc>
        <w:tc>
          <w:tcPr>
            <w:tcW w:type="dxa" w:w="5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She chose GateLedger on 20 Aug and rejected it on the 21st. Ask 'could you still do only this in year three?'</w:t>
            </w:r>
            <w:r>
              <w:rPr>
                <w:rFonts w:ascii="Calibri" w:cs="Calibri" w:eastAsia="Calibri" w:hAnsi="Calibri"/>
                <w:i/>
                <w:iCs/>
                <w:color w:val="1F4E5C"/>
                <w:sz w:val="15"/>
                <w:szCs w:val="15"/>
              </w:rPr>
              <w:t xml:space="preserve">  [MEASURED]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C"/>
          <w:sz w:val="26"/>
          <w:szCs w:val="26"/>
        </w:rPr>
        <w:t xml:space="preserve">THE ONE THING I WOULD CHANGE FIRST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C1 and C5 are doing most of the killing. </w:t>
      </w:r>
      <w:r>
        <w:rPr>
          <w:rFonts w:ascii="Calibri" w:cs="Calibri" w:eastAsia="Calibri" w:hAnsi="Calibri"/>
          <w:sz w:val="19"/>
          <w:szCs w:val="19"/>
        </w:rPr>
        <w:t xml:space="preserve">C1 kills every channel business that needs 20–40 partners — which is most made-to-order physical goods, and is exactly the shape you asked for. C5 forbids spending anything to find out whether a candidate works.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C7 is the cheapest to relax and may have the highest leverage: </w:t>
      </w:r>
      <w:r>
        <w:rPr>
          <w:rFonts w:ascii="Calibri" w:cs="Calibri" w:eastAsia="Calibri" w:hAnsi="Calibri"/>
          <w:sz w:val="19"/>
          <w:szCs w:val="19"/>
        </w:rPr>
        <w:t xml:space="preserve">one warm first partner would test a channel business without a sales operation.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C8 is the biggest trade-off on the page. </w:t>
      </w:r>
      <w:r>
        <w:rPr>
          <w:rFonts w:ascii="Calibri" w:cs="Calibri" w:eastAsia="Calibri" w:hAnsi="Calibri"/>
          <w:sz w:val="19"/>
          <w:szCs w:val="19"/>
        </w:rPr>
        <w:t xml:space="preserve">Every compulsion structure — the ones that actually produce defensible businesses — lives in industrial and regulatory domains. Holding C8 means giving those up permanently. That is a legitimate choice, but it should be a deliberate one.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 do NOT think is the problem: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C2, C3, C4 and the expert veto. These have killed things, but the things they killed were mostly weak on other grounds too.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2026-08-29T14:19:49.055Z</dcterms:created>
  <dcterms:modified xsi:type="dcterms:W3CDTF">2026-08-29T14:19:49.056Z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