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200"/>
        <w:jc w:val="center"/>
      </w:pPr>
      <w:r>
        <w:rPr>
          <w:b/>
          <w:bCs/>
          <w:color w:val="0B4A36"/>
          <w:sz w:val="88"/>
          <w:szCs w:val="88"/>
        </w:rPr>
        <w:t xml:space="preserve">CAIXA CHEIA</w:t>
      </w:r>
    </w:p>
    <w:p>
      <w:pPr>
        <w:spacing w:after="120"/>
        <w:jc w:val="center"/>
      </w:pPr>
      <w:r>
        <w:rPr>
          <w:color w:val="5B6B66"/>
          <w:sz w:val="30"/>
          <w:szCs w:val="30"/>
        </w:rPr>
        <w:t xml:space="preserve">Prepaid win-back campaigns for Brazil’s premium beauty businesses</w:t>
      </w:r>
    </w:p>
    <w:p>
      <w:pPr>
        <w:spacing w:after="2600"/>
        <w:jc w:val="center"/>
      </w:pPr>
      <w:r>
        <w:rPr>
          <w:color w:val="5B6B66"/>
          <w:sz w:val="24"/>
          <w:szCs w:val="24"/>
        </w:rPr>
        <w:t xml:space="preserve">Canonical Plan · v4 · The Reactivation Kernel</w:t>
      </w:r>
    </w:p>
    <w:p>
      <w:pPr>
        <w:spacing w:after="400"/>
        <w:jc w:val="center"/>
      </w:pPr>
      <w:r>
        <w:rPr>
          <w:i/>
          <w:iCs/>
          <w:color w:val="141414"/>
          <w:sz w:val="24"/>
          <w:szCs w:val="24"/>
        </w:rPr>
        <w:t xml:space="preserve">One product, one agreement, one fee, one importer, one sending mode, one PSP. She brings a salon’s lapsed clients back with a paid offer sent from the salon’s own WhatsApp — and earns 20% of only the money that actually settles through the campaign’s own checkout. Refunds reverse the fee. Nothing else.</w:t>
      </w:r>
    </w:p>
    <w:p>
      <w:pPr>
        <w:jc w:val="center"/>
      </w:pPr>
      <w:r>
        <w:rPr>
          <w:color w:val="5B6B66"/>
          <w:sz w:val="22"/>
          <w:szCs w:val="22"/>
        </w:rPr>
        <w:t xml:space="preserve">São Paulo · July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0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TLDR — the whole business on one page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What it is. </w:t>
      </w:r>
      <w:r>
        <w:rPr>
          <w:color w:val="141414"/>
        </w:rPr>
        <w:t xml:space="preserve">Premium beauty businesses lose clients to drift — she loved the place, hit friction, and quietly stopped coming. The owner has no time to chase her back. Caixa Cheia is a done-for-you campaign engine: it reads the salon’s own Trinks export, finds the genuinely lapsed clients with documented WhatsApp opt-in, sends them a warm </w:t>
      </w:r>
      <w:r>
        <w:rPr>
          <w:b/>
          <w:bCs/>
          <w:color w:val="141414"/>
        </w:rPr>
        <w:t xml:space="preserve">prepaid offer</w:t>
      </w:r>
      <w:r>
        <w:rPr>
          <w:color w:val="141414"/>
        </w:rPr>
        <w:t xml:space="preserve"> from the salon’s own number, and takes </w:t>
      </w:r>
      <w:r>
        <w:rPr>
          <w:b/>
          <w:bCs/>
          <w:color w:val="141414"/>
        </w:rPr>
        <w:t xml:space="preserve">20% of only the money that settles through the campaign’s own checkout</w:t>
      </w:r>
      <w:r>
        <w:rPr>
          <w:color w:val="141414"/>
        </w:rPr>
        <w:t xml:space="preserve">. If a payment is refunded, the fee reverses with it. No monthly fee, no custody, no invoices to chase.</w:t>
      </w:r>
    </w:p>
    <w:p>
      <w:pPr>
        <w:spacing w:after="60"/>
      </w:pP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</w:t>
            </w:r>
          </w:p>
        </w:tc>
        <w:tc>
          <w:tcPr>
            <w:tcW w:type="dxa" w:w="74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Launch decision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Product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Prepaid win-back campaigns for genuinely lapsed clients (90–365 days)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Customer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Non-medical premium beauty businesses on Trinks; core ICP: multi-unit groups / high-volume salons with 500+ eligible lapsed contacts, ticket ≥R$250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Free door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Eligibility scan: send the Trinks CSV, get back “612 clientes sumidas elegíveis · potencial R$X” in an hour — same importer as the product, zero extra machinery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Fee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20% of Asaas netValue actually settled through the campaign checkout · refunds reverse the fee · first 3 clients at 15% for testimonials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Attribution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Only money paid through the campaign link. A R$100 deposit on a R$500 service earns fee on R$100. No agenda reconciliation, no bypass invoices, ever.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Sending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One mode: WhatsApp Cloud API with Business-App coexistence, on the salon’s own number. One approved template family per salon, written in her tone, deterministic variables.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Consent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The opt-in evidence gate: no documented marketing opt-in (value + captured_at + source) = no send. No exceptions.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Approval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The owner approves the exact final send manifest (recipients, copy, links); manifest + approver + timestamp + hash stored. Nothing changes after approval.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Payment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Salon-owned Asaas account; automatic split routes the 20% at settlement. She never holds a centavo of anyone else’s money. NFS-e still issued for every fee.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Revenue shape</w:t>
            </w:r>
          </w:p>
        </w:tc>
        <w:tc>
          <w:tcPr>
            <w:tcW w:type="dxa" w:w="74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 campaign factory — backlog harvest, then quarterly/seasonal re-runs. Not MRR, and never pretended to be.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none"/>
          <w:left w:val="single" w:color="1D6B4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0" w:line="360"/>
            </w:pPr>
            <w:r>
              <w:rPr>
                <w:b/>
                <w:bCs/>
                <w:color w:val="0B4A36"/>
              </w:rPr>
              <w:t xml:space="preserve">The spine, in three sentences. </w:t>
            </w:r>
            <w:r>
              <w:rPr>
                <w:color w:val="141414"/>
              </w:rPr>
              <w:t xml:space="preserve">“Eu trago suas clientes de volta — com oferta paga, não com promessa.” · “Você paga 20% só do que entrar pelo link da campanha.” · “Estornou? Nossa taxa volta junto.”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Why v4 is more collectible than everything before it: </w:t>
      </w:r>
      <w:r>
        <w:rPr>
          <w:color w:val="141414"/>
        </w:rPr>
        <w:t xml:space="preserve">100% of fee events are on-rail by definition. There is no invoice a salon can refuse, no attribution to argue, no evidence tribunal to run. The fee splits itself at the PSP the moment the client pays — and when it doesn’t, there is no fee.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I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What changed and why — the honest ledger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 · v2 → v4: two errors and sixteen cuts</w:t>
      </w:r>
    </w:p>
    <w:p>
      <w:pPr>
        <w:spacing w:after="160" w:line="360"/>
      </w:pPr>
      <w:r>
        <w:rPr>
          <w:color w:val="141414"/>
        </w:rPr>
        <w:t xml:space="preserve">v2 was four businesses disguised as one: a review-audit agency, a debt-collection company, a reactivation service, and a payments rail. Independent diligence caught two errors that change the design, and v4 owns both: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The accounting error (CPC 47). </w:t>
      </w:r>
      <w:r>
        <w:rPr>
          <w:color w:val="141414"/>
        </w:rPr>
        <w:t xml:space="preserve">An unused prepaid package is not money owed TO the salon — the salon was already paid and owes the client </w:t>
      </w:r>
      <w:r>
        <w:rPr>
          <w:b/>
          <w:bCs/>
          <w:color w:val="141414"/>
        </w:rPr>
        <w:t xml:space="preserve">service</w:t>
      </w:r>
      <w:r>
        <w:rPr>
          <w:color w:val="141414"/>
        </w:rPr>
        <w:t xml:space="preserve"> (a contract liability). Charging a “recovery fee” when that client redeems a session would be charging the salon a fee on money it received months ago. Dead on arrival at the first accountant. The bucket dies as a fee event forever; dormant package clients survive as reactivation </w:t>
      </w:r>
      <w:r>
        <w:rPr>
          <w:b/>
          <w:bCs/>
          <w:color w:val="141414"/>
        </w:rPr>
        <w:t xml:space="preserve">targets</w:t>
      </w:r>
      <w:r>
        <w:rPr>
          <w:color w:val="141414"/>
        </w:rPr>
        <w:t xml:space="preserve"> — the fee applies only to NEW prepaid money they spend through the campaign checkout.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The consent error (Meta opt-in). </w:t>
      </w:r>
      <w:r>
        <w:rPr>
          <w:color w:val="141414"/>
        </w:rPr>
        <w:t xml:space="preserve">Business-initiated WhatsApp marketing requires evidenced opt-in, and most salons’ historical lists don’t have it. “Reception sends manually” was a workaround that hides the exposure instead of removing it. v4 replaces it with the opt-in evidence gate — and honestly kills cold WhatsApp prospecting from CNPJ lists along with it.</w:t>
      </w:r>
    </w:p>
    <w:p>
      <w:pPr>
        <w:spacing w:after="60"/>
      </w:pP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Cut from v2 (and why)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Cut</w:t>
            </w:r>
          </w:p>
        </w:tc>
        <w:tc>
          <w:tcPr>
            <w:tcW w:type="dxa" w:w="51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Auditoria de Voz factory + paid R$490 Raio-X</w:t>
            </w:r>
          </w:p>
        </w:tc>
        <w:tc>
          <w:tcPr>
            <w:tcW w:type="dxa" w:w="5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 second business; LGPD gray on public-data reuse; the free eligibility scan is a better door using code that must exist anyway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Debt collection at launch</w:t>
            </w:r>
          </w:p>
        </w:tc>
        <w:tc>
          <w:tcPr>
            <w:tcW w:type="dxa" w:w="5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Meta policy puts debt collection in restricted territory; a third-party success-fee collector running debt campaigns risks the salon’s number. Phase-2 gate, not a launch feature.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Fee on unused-package redemptions</w:t>
            </w:r>
          </w:p>
        </w:tc>
        <w:tc>
          <w:tcPr>
            <w:tcW w:type="dxa" w:w="5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CPC 47 — the salon owes the client, not the reverse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Monthly bypass reconciliation + off-rail invoices</w:t>
            </w:r>
          </w:p>
        </w:tc>
        <w:tc>
          <w:tcPr>
            <w:tcW w:type="dxa" w:w="5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An evidence tribunal that turns her into a collections company against her own customers. On-rail only; leakage is a cost, priced in.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Manual sending Mode 1 + graduation logic</w:t>
            </w:r>
          </w:p>
        </w:tc>
        <w:tc>
          <w:tcPr>
            <w:tcW w:type="dxa" w:w="5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Doesn’t escape Meta policy, just hides it. One mode: Cloud API + coexistence.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Per-client AI prose (“every message uniquely in her voice”)</w:t>
            </w:r>
          </w:p>
        </w:tc>
        <w:tc>
          <w:tcPr>
            <w:tcW w:type="dxa" w:w="5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Incompatible with approved templates. The salon’s voice lives at the template-family level — one warm template, owner-approved, deterministic variables.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The 2,9% general deposit rail as a product</w:t>
            </w:r>
          </w:p>
        </w:tc>
        <w:tc>
          <w:tcPr>
            <w:tcW w:type="dxa" w:w="5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 fourth business. Deposits survive as an OFFER TYPE inside campaigns — same checkout, fee on what settles.</w:t>
            </w:r>
          </w:p>
        </w:tc>
      </w:tr>
      <w:tr>
        <w:trPr>
          <w:tblHeader w:val="false"/>
        </w:trPr>
        <w:tc>
          <w:tcPr>
            <w:tcW w:type="dxa" w:w="4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Hash-chained ledger, cross-salon row-level dataset, multi-system importers, backup PSP, invented pacing heuristics (“20/day, 5% replies”)</w:t>
            </w:r>
          </w:p>
        </w:tc>
        <w:tc>
          <w:tcPr>
            <w:tcW w:type="dxa" w:w="5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Complexity without evidence. Postgres outbox + idempotent webhooks is the right-sized integrity story; aggregate stats only; Trinks-only at launch; Meta publishes no such safety thresholds.</w:t>
            </w:r>
          </w:p>
        </w:tc>
      </w:tr>
    </w:tbl>
    <w:p>
      <w:pPr>
        <w:spacing w:after="60"/>
      </w:pP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Staged back in (deliberately, with gates)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First-party payment reminders (phase 2): </w:t>
      </w:r>
      <w:r>
        <w:rPr>
          <w:color w:val="141414"/>
        </w:rPr>
        <w:t xml:space="preserve">a salon reminding its own client about its own transaction is standard utility-template practice across Brazilian billing. Gate: written BSP/Meta guidance first, separate template category, never “collections” branding. A decision gate, not a roadmap promise.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Active-base campaigns (phase 2): </w:t>
      </w:r>
      <w:r>
        <w:rPr>
          <w:color w:val="141414"/>
        </w:rPr>
        <w:t xml:space="preserve">renewals, upsells and seasonal offers to the salon’s ACTIVE clients — identical machinery, much bigger pool. The natural expansion once win-back telemetry exists.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Belasis/Avec importers: </w:t>
      </w:r>
      <w:r>
        <w:rPr>
          <w:color w:val="141414"/>
        </w:rPr>
        <w:t xml:space="preserve">built the first time a real signed prospect demands one — never speculatively.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§2 · The field, honestly — and the wedge that remains</w:t>
      </w:r>
    </w:p>
    <w:p>
      <w:pPr>
        <w:spacing w:after="160" w:line="360"/>
      </w:pPr>
      <w:r>
        <w:rPr>
          <w:color w:val="141414"/>
        </w:rPr>
        <w:t xml:space="preserve">The lane is NOT empty. Retorne.app integrates with Trinks for reactivation; Retornax and Reativa Clientes sell win-back; Avec ships native AI reactivation; DIY WhatsApp CRM tools abound. What remains uncommon is the </w:t>
      </w:r>
      <w:r>
        <w:rPr>
          <w:b/>
          <w:bCs/>
          <w:color w:val="141414"/>
        </w:rPr>
        <w:t xml:space="preserve">wrapper</w:t>
      </w:r>
      <w:r>
        <w:rPr>
          <w:color w:val="141414"/>
        </w:rPr>
        <w:t xml:space="preserve">: done-for-you execution + a fee charged only on money that actually settled + owner-approved manifests. Uncommon pricing is not a moat — so the honest moats are operational: campaign craft measured in her own results data, referrals inside a dense owner community, and the discipline incumbents’ DIY tools can’t force on a busy owner. The core argument survives contact with the competition: </w:t>
      </w:r>
      <w:r>
        <w:rPr>
          <w:b/>
          <w:bCs/>
          <w:color w:val="141414"/>
        </w:rPr>
        <w:t xml:space="preserve">owners already have reactivation buttons and don’t press them</w:t>
      </w:r>
      <w:r>
        <w:rPr>
          <w:color w:val="141414"/>
        </w:rPr>
        <w:t xml:space="preserve">. She is the pressed button.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§3 · Why beauty, restated correctly</w:t>
      </w:r>
    </w:p>
    <w:p>
      <w:pPr>
        <w:spacing w:after="160" w:line="360"/>
      </w:pPr>
      <w:r>
        <w:rPr>
          <w:color w:val="141414"/>
        </w:rPr>
        <w:t xml:space="preserve">v2 claimed “money owed by construction.” v4 claims what diligence left standing: beauty wins </w:t>
      </w:r>
      <w:r>
        <w:rPr>
          <w:b/>
          <w:bCs/>
          <w:color w:val="141414"/>
        </w:rPr>
        <w:t xml:space="preserve">for reactivation</w:t>
      </w:r>
      <w:r>
        <w:rPr>
          <w:color w:val="141414"/>
        </w:rPr>
        <w:t xml:space="preserve"> — visit cadence makes lapse computable from data alone (no survey, no guess); the lapsed client is not an adversary but a fan who hit friction, already replying to the salon’s WhatsApp; tickets (color, blonding, extensions, lashes, spa rituals) are high enough that one returned client pays for a whole campaign; records are exportable today (Trinks ships a “clients who did not return” report natively); and there is no health data in scope. Fitness has dunning incumbents and biometric drag; education has minors and regulated collections; pet has low tickets. </w:t>
      </w:r>
      <w:r>
        <w:rPr>
          <w:b/>
          <w:bCs/>
          <w:color w:val="141414"/>
        </w:rPr>
        <w:t xml:space="preserve">ICP, sharpened by the economics: </w:t>
      </w:r>
      <w:r>
        <w:rPr>
          <w:color w:val="141414"/>
        </w:rPr>
        <w:t xml:space="preserve">recurring premium maintenance businesses with spare capacity — multi-unit groups and high-volume salons with 500+ eligible lapsed contacts and ticket ≥R$250. Ordinary single salons are welcome fair-won volume, not the core. Excluded: anything medical/health-adjacent, bridal-only (no cadence), low-ticket general salons, and any owner without digital records.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II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The product — door, campaign, money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§4 · The free door — the eligibility scan</w:t>
      </w:r>
    </w:p>
    <w:p>
      <w:pPr>
        <w:spacing w:after="160" w:line="360"/>
      </w:pPr>
      <w:r>
        <w:rPr>
          <w:color w:val="141414"/>
        </w:rPr>
        <w:t xml:space="preserve">No audits, no PDFs, no theater. The door is the product’s own first step, given free: the owner exports her Trinks client file (two clicks), sends it over, and within the hour gets back one message: </w:t>
      </w:r>
    </w:p>
    <w:tbl>
      <w:tblPr>
        <w:tblW w:type="dxa" w:w="9360"/>
        <w:tblBorders>
          <w:top w:val="none"/>
          <w:left w:val="single" w:color="1D6B4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0" w:line="360"/>
            </w:pPr>
            <w:r>
              <w:rPr>
                <w:i/>
                <w:iCs/>
                <w:color w:val="0A6E4C"/>
              </w:rPr>
              <w:t xml:space="preserve">"Você tem 612 clientes sumidas há mais de 90 dias que a gente pode contatar direitinho (com opt-in comprovado: 214). Ticket médio delas: R$310. Uma campanha típica converte 8–15%. Quer rodar a primeira? Você só paga 20% do que efetivamente entrar pelo link."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color w:val="141414"/>
        </w:rPr>
        <w:t xml:space="preserve">The scan runs the same importer, eligibility engine and opt-in gate the product uses — zero extra machinery, and it doubles as qualification: it reveals the real contactable pool (the opt-in number) before anyone commits to anything. Small pool → honest advice and a POS opt-in kit, not a campaign. This is also the live demo for the Beauty Fair: scan a prospect’s file at the stand, show her the number.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§5 · The campaign — one loop, owner in command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Audience: </w:t>
      </w:r>
      <w:r>
        <w:rPr>
          <w:color w:val="141414"/>
        </w:rPr>
        <w:t xml:space="preserve">lapsed 90–365 days · documented WhatsApp marketing opt-in · no active booking · no open dispute · no outstanding debt · no unused prepaid sessions (those clients get nothing sold to them until their credit is honored — the CPC 47 lesson, applied as ethics).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Offer: </w:t>
      </w:r>
      <w:r>
        <w:rPr>
          <w:color w:val="141414"/>
        </w:rPr>
        <w:t xml:space="preserve">a concrete prepaid deal chosen with the owner — a discounted return package, a “volta com a gente” bundle, or a booking-with-deposit. All formats settle through the same campaign checkout. The deposit format doubles as the salon’s no-show protection — an offer type, not a separate product.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Copy: </w:t>
      </w:r>
      <w:r>
        <w:rPr>
          <w:color w:val="141414"/>
        </w:rPr>
        <w:t xml:space="preserve">ONE approved marketing-template family per salon, drafted once in the salon’s tone and approved by the owner, with deterministic variables ({{nome}}, {{oferta}}, {{link}}). No per-client AI prose, no customer row ever sent to an LLM.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The manifest gate: </w:t>
      </w:r>
      <w:r>
        <w:rPr>
          <w:color w:val="141414"/>
        </w:rPr>
        <w:t xml:space="preserve">before sending, the owner sees the exact final payload — every recipient, the exact rendered copy, every link — and approves. Manifest + approver + timestamp + hash stored immutably. What was sent is never in dispute; what the salon authorized is never in dispute.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Sending: </w:t>
      </w:r>
      <w:r>
        <w:rPr>
          <w:color w:val="141414"/>
        </w:rPr>
        <w:t xml:space="preserve">the salon’s own number via WhatsApp Cloud API with Business-App coexistence — reception keeps answering in the app she already uses; campaigns go out through the API with approved templates. Sends respect Meta’s published messaging limits and quality signals (monitored per number), not invented thresholds. Opt-outs suppress instantly and forever.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The client’s experience: </w:t>
      </w:r>
      <w:r>
        <w:rPr>
          <w:color w:val="141414"/>
        </w:rPr>
        <w:t xml:space="preserve">one warm message from the salon she already loves, a real offer, a Pix checkout, ten seconds. Caixa Cheia is invisible to her, always.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§6 · The money — split at the source, or no fee at all</w:t>
      </w:r>
    </w:p>
    <w:p>
      <w:pPr>
        <w:spacing w:after="160" w:line="360"/>
      </w:pPr>
      <w:r>
        <w:rPr>
          <w:color w:val="141414"/>
        </w:rPr>
        <w:t xml:space="preserve">Every salon owns its own Asaas account (its CNPJ, its KYC, its money). At onboarding it issues a dedicated API key into encrypted storage. Campaign charges are created inside the salon’s account; an automatic split routes </w:t>
      </w:r>
      <w:r>
        <w:rPr>
          <w:b/>
          <w:bCs/>
          <w:color w:val="141414"/>
        </w:rPr>
        <w:t xml:space="preserve">20% of netValue</w:t>
      </w:r>
      <w:r>
        <w:rPr>
          <w:color w:val="141414"/>
        </w:rPr>
        <w:t xml:space="preserve"> (after PSP fees) to Caixa Cheia at settlement. Refunds and chargebacks reverse both portions symmetrically. Revenue is recognized only when payment AND split report DONE. Cancellation = the API key is disabled — clean exit, no hostages. She still issues an NFS-e for every fee earned: the split kills payment-chasing, not fiscal obligations.</w:t>
      </w:r>
    </w:p>
    <w:p>
      <w:pPr>
        <w:spacing w:after="160" w:line="360"/>
      </w:pPr>
      <w:r>
        <w:rPr>
          <w:b/>
          <w:bCs/>
          <w:color w:val="141414"/>
        </w:rPr>
        <w:t xml:space="preserve">The attribution rule that ends all arguments: </w:t>
      </w:r>
      <w:r>
        <w:rPr>
          <w:color w:val="141414"/>
        </w:rPr>
        <w:t xml:space="preserve">only money settled through the campaign checkout counts. A nudged client who books nothing but shows up and pays cash next week? No fee. The plan accepts that leakage as a cost of simplicity — if telemetry later shows it is material, the response is changing one price number, never building a reconciliation tribunal. Post-termination: fees apply only to campaign charges created before termination that settle afterward.</w:t>
      </w:r>
    </w:p>
    <w:p>
      <w:pPr>
        <w:spacing w:after="160" w:line="360"/>
      </w:pPr>
      <w:r>
        <w:rPr>
          <w:b/>
          <w:bCs/>
          <w:color w:val="141414"/>
        </w:rPr>
        <w:t xml:space="preserve">Launch-blocking proofs (before the fair): </w:t>
      </w:r>
      <w:r>
        <w:rPr>
          <w:color w:val="141414"/>
        </w:rPr>
        <w:t xml:space="preserve">(1) one real charge + refund through a salon-owned account with the split, in production, plus Asaas’s written classification of the topology; (2) coexistence onboarding working on one real salon number. Both start day 1 — provider approvals run parallel to the build.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III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The machine — one transaction engine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§7 · Architecture</w:t>
      </w:r>
    </w:p>
    <w:p>
      <w:pPr>
        <w:spacing w:after="160" w:line="360"/>
      </w:pPr>
      <w:r>
        <w:rPr>
          <w:color w:val="141414"/>
        </w:rPr>
        <w:t xml:space="preserve">One repo, one FastAPI service, one Postgres, one server. WhatsApp Cloud API + Asaas + a dashboard, and nothing else without deleting something first. Built and maintained entirely by Claude Code from written specs; she operates it from two screens (hers, and the owner’s approval view).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67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Job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Importer (Trinks CSV only)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Fixed field allow-list: internal ID, phone, visit dates, coarse service category, payment status, consent evidence. Forbidden columns (notes, free text, attachments) are discarded on ingest. Raw files deleted after normalization.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Eligibility + opt-in engine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Computes lapse (90–365d), applies exclusions (active booking, dispute, debt, unused prepaid sessions), enforces the opt-in evidence gate: opt_in + captured_at + source, or no send.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Campaign engine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Offer setup, recipient selection, template rendering with deterministic variables, the manifest approval gate, outbox-driven sending with retry + idempotency, opt-out suppression.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Money engine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Asaas charge creation in the salon’s account, split rule, payment/refund/chargeback webhooks (idempotent, replay-safe), revenue ledger, salon statement, NFS-e export.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Dashboard</w:t>
            </w:r>
          </w:p>
        </w:tc>
        <w:tc>
          <w:tcPr>
            <w:tcW w:type="dxa" w:w="67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Hers: pipeline, campaigns, settled GMV, fee revenue, refund rate, number quality. Owner’s: eligible pool, manifest approval, delivered/paid, her net — always net, always positive.</w:t>
            </w:r>
          </w:p>
        </w:tc>
      </w:tr>
    </w:tbl>
    <w:p>
      <w:pPr>
        <w:spacing w:after="60"/>
      </w:pPr>
    </w:p>
    <w:p>
      <w:pPr>
        <w:pStyle w:val="Heading3"/>
        <w:spacing w:after="120" w:before="220"/>
      </w:pPr>
      <w:r>
        <w:rPr>
          <w:b/>
          <w:bCs/>
          <w:color w:val="141414"/>
        </w:rPr>
        <w:t xml:space="preserve">The three rules (v4 edition)</w:t>
      </w:r>
    </w:p>
    <w:tbl>
      <w:tblPr>
        <w:tblW w:type="dxa" w:w="9360"/>
        <w:tblBorders>
          <w:top w:val="none"/>
          <w:left w:val="single" w:color="1D6B4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0" w:line="360"/>
            </w:pPr>
            <w:r>
              <w:rPr>
                <w:b/>
                <w:bCs/>
                <w:color w:val="141414"/>
              </w:rPr>
              <w:t xml:space="preserve">1 — Numbers from code only. </w:t>
            </w:r>
            <w:r>
              <w:rPr>
                <w:color w:val="141414"/>
              </w:rPr>
              <w:t xml:space="preserve">Every figure a client sees comes from deterministic computation. The AI drafts template copy and nothing else.</w:t>
            </w:r>
          </w:p>
          <w:p>
            <w:pPr>
              <w:spacing w:after="160" w:line="360"/>
            </w:pPr>
            <w:r>
              <w:rPr>
                <w:b/>
                <w:bCs/>
                <w:color w:val="141414"/>
              </w:rPr>
              <w:t xml:space="preserve">2 — No customer row ever reaches an LLM. </w:t>
            </w:r>
            <w:r>
              <w:rPr>
                <w:color w:val="141414"/>
              </w:rPr>
              <w:t xml:space="preserve">Not names, not hashes, not histories. Templates are generic; variables merge locally.</w:t>
            </w:r>
          </w:p>
          <w:p>
            <w:pPr>
              <w:spacing w:after="160" w:line="360"/>
            </w:pPr>
            <w:r>
              <w:rPr>
                <w:b/>
                <w:bCs/>
                <w:color w:val="141414"/>
              </w:rPr>
              <w:t xml:space="preserve">3 — Nothing external fires without a stored human approval. </w:t>
            </w:r>
            <w:r>
              <w:rPr>
                <w:color w:val="141414"/>
              </w:rPr>
              <w:t xml:space="preserve">The owner approves the exact manifest; she reviews each account’s first campaign. Automation does labour, never accountability.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§8 · LGPD posture — narrow by construction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color w:val="141414"/>
        </w:rPr>
        <w:t xml:space="preserve">Salon = controladora (decides purpose, audience, offer, approves the manifest); Caixa Cheia = operadora under a written DPA; she is controladora only of her own billing and aggregate statistics.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color w:val="141414"/>
        </w:rPr>
        <w:t xml:space="preserve">Data minimization is architectural, not aspirational: the allow-list importer cannot ingest what it cannot see. Tenant isolation, encrypted secrets and backups, MFA, no PII in logs.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color w:val="141414"/>
        </w:rPr>
        <w:t xml:space="preserve">Cross-salon learning only as irreversible aggregates (conversion by offer type/segment) — never row-level pooling.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color w:val="141414"/>
        </w:rPr>
        <w:t xml:space="preserve">Small-agent simplifications (ANPD Res. 2/2022) apply; she names herself as the privacy contact and publishes a salon-branded privacy notice. Deletion controls: raw exports post-normalization; full tenant data on termination, with written confirmation.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IV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The money — honest numbers, honest horizon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§9 · Per-account economics, corrected</w:t>
      </w:r>
    </w:p>
    <w:p>
      <w:pPr>
        <w:spacing w:after="160" w:line="360"/>
      </w:pPr>
      <w:r>
        <w:rPr>
          <w:color w:val="141414"/>
        </w:rPr>
        <w:t xml:space="preserve">The v2 forecast repeated the exact mistake this project was born to avoid: extrapolating a one-time backlog into permanent monthly recovery. The corrected picture: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3300"/>
        <w:gridCol w:w="2900"/>
        <w:gridCol w:w="3160"/>
      </w:tblGrid>
      <w:tr>
        <w:trPr>
          <w:tblHeader/>
        </w:trPr>
        <w:tc>
          <w:tcPr>
            <w:tcW w:type="dxa" w:w="33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Account type</w:t>
            </w:r>
          </w:p>
        </w:tc>
        <w:tc>
          <w:tcPr>
            <w:tcW w:type="dxa" w:w="29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Backlog campaign (once)</w:t>
            </w:r>
          </w:p>
        </w:tc>
        <w:tc>
          <w:tcPr>
            <w:tcW w:type="dxa" w:w="31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Steady state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Ordinary premium salon (~800 clients/yr, ticket R$300)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~R$11–12k settled → ~R$2.3k fee</w:t>
            </w:r>
          </w:p>
        </w:tc>
        <w:tc>
          <w:tcPr>
            <w:tcW w:type="dxa" w:w="3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New-lapse cohorts ≈ R$150–250/month fee; quarterly seasonal re-runs can roughly double that</w:t>
            </w:r>
          </w:p>
        </w:tc>
      </w:tr>
      <w:tr>
        <w:trPr>
          <w:tblHeader w:val="false"/>
        </w:trPr>
        <w:tc>
          <w:tcPr>
            <w:tcW w:type="dxa" w:w="3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Core ICP: multi-unit group / high-volume salon (500+ eligible)</w:t>
            </w:r>
          </w:p>
        </w:tc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R$25–60k settled → R$5–12k fee</w:t>
            </w:r>
          </w:p>
        </w:tc>
        <w:tc>
          <w:tcPr>
            <w:tcW w:type="dxa" w:w="31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R$1–2.5k/month blended, sustained by re-runs across units and seasons</w:t>
            </w:r>
          </w:p>
        </w:tc>
      </w:tr>
    </w:tbl>
    <w:p>
      <w:pPr>
        <w:spacing w:after="60"/>
      </w:pPr>
    </w:p>
    <w:p>
      <w:pPr>
        <w:spacing w:after="160" w:line="360"/>
      </w:pPr>
      <w:r>
        <w:rPr>
          <w:b/>
          <w:bCs/>
          <w:color w:val="141414"/>
        </w:rPr>
        <w:t xml:space="preserve">The consequence, stated plainly: </w:t>
      </w:r>
      <w:r>
        <w:rPr>
          <w:color w:val="141414"/>
        </w:rPr>
        <w:t xml:space="preserve">ordinary single salons are marginal on their own — good fair-won volume, good testimonials, not the core. The business is a </w:t>
      </w:r>
      <w:r>
        <w:rPr>
          <w:b/>
          <w:bCs/>
          <w:color w:val="141414"/>
        </w:rPr>
        <w:t xml:space="preserve">campaign factory over a portfolio</w:t>
      </w:r>
      <w:r>
        <w:rPr>
          <w:color w:val="141414"/>
        </w:rPr>
        <w:t xml:space="preserve"> whose center of gravity is multi-unit groups. Rough shapes of the destination: R$240k/month of fee revenue = R$1.2M/month of settled win-back GMV = 100 multi-unit groups averaging R$12k settled/month, or 200 mixed accounts at R$6k.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§10 · Taxes and the target, without flattering herself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color w:val="141414"/>
        </w:rPr>
        <w:t xml:space="preserve">Simples Anexo III starts near 6% but is progressive: at R$2.4–2.8M annualized, the effective rate approaches ~16% — and holding Fator R at 28% of revenue would demand an unrealistic payroll at scale. Model with Anexo V / effective ~15–17% beyond the first bands and let the contador optimize, not the plan.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color w:val="141414"/>
        </w:rPr>
        <w:t xml:space="preserve">From 2026, dividends above R$50k/month from one company face 10% withholding — company profit is not personal cash 1:1.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color w:val="141414"/>
        </w:rPr>
        <w:t xml:space="preserve">Fixed costs stay tiny (contador, tools, infra, WhatsApp conversation fees, Asaas per-charge costs ≈ R$1.5–3k/month solo). The cost that scales is campaign operations — offer design, owner hand-holding, quality monitoring — which is why telemetry from the first ten campaigns, not this table, sets the hiring plan.</w:t>
      </w:r>
    </w:p>
    <w:tbl>
      <w:tblPr>
        <w:tblW w:type="dxa" w:w="9360"/>
        <w:tblBorders>
          <w:top w:val="none"/>
          <w:left w:val="single" w:color="8A4B0B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5EFE6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0" w:line="360"/>
            </w:pPr>
            <w:r>
              <w:rPr>
                <w:b/>
                <w:bCs/>
                <w:color w:val="0B4A36"/>
              </w:rPr>
              <w:t xml:space="preserve">The honest restatement of the goal: </w:t>
            </w:r>
            <w:r>
              <w:rPr>
                <w:color w:val="141414"/>
              </w:rPr>
              <w:t xml:space="preserve">R$150k/month personal net is the ambition, not the month-24 default. The evidence-backed path runs through ~R$240k/month fee revenue on a portfolio heavy in multi-unit groups — realistically a month-30+ outcome, faster only if large groups land early. Month-12 in a good-but-normal scenario: R$25–45k/month revenue. The first ten campaigns replace every number on this page with telemetry; that is production data, not a validation exercise.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V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Launch — four weeks to production, then the fair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§11 · The build (production product, not an MVP)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1300"/>
        <w:gridCol w:w="5060"/>
        <w:gridCol w:w="3000"/>
      </w:tblGrid>
      <w:tr>
        <w:trPr>
          <w:tblHeader/>
        </w:trPr>
        <w:tc>
          <w:tcPr>
            <w:tcW w:type="dxa" w:w="13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50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Ships</w:t>
            </w:r>
          </w:p>
        </w:tc>
        <w:tc>
          <w:tcPr>
            <w:tcW w:type="dxa" w:w="30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Proof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1 · Aug 1–8</w:t>
            </w:r>
          </w:p>
        </w:tc>
        <w:tc>
          <w:tcPr>
            <w:tcW w:type="dxa" w:w="5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Entity + contador + contracts to lawyer · FastAPI/Postgres, tenants, auth · Trinks importer with allow-list · eligibility + opt-in engine · START Asaas + Meta production approvals (longest pole, day 1)</w:t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 real Trinks export is accepted; forbidden columns provably discarded; a non-opted-in row cannot enter a wave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2 · Aug 9–16</w:t>
            </w:r>
          </w:p>
        </w:tc>
        <w:tc>
          <w:tcPr>
            <w:tcW w:type="dxa" w:w="5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Campaign engine: template family, Cloud API coexistence onboarding, Postgres outbox with retry/idempotency, opt-out suppression, manifest approval</w:t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Coexistence live on one real salon number; owner approves an exact manifest; opt-out suppresses instantly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3 · Aug 17–24</w:t>
            </w:r>
          </w:p>
        </w:tc>
        <w:tc>
          <w:tcPr>
            <w:tcW w:type="dxa" w:w="5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Money: salon-owned Asaas connection, campaign checkout, 20% netValue split, payment/refund/chargeback webhooks, revenue ledger, salon statement, NFS-e export</w:t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 real Pix settles between two CNPJ accounts; split reaches both wallets; a real refund reverses both portions; webhook replay does not double-count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4 · Aug 25–31</w:t>
            </w:r>
          </w:p>
        </w:tc>
        <w:tc>
          <w:tcPr>
            <w:tcW w:type="dxa" w:w="5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Hardening: tenant isolation, encrypted secrets, privacy notice + deletion controls, both dashboards · first real campaign end-to-end</w:t>
            </w:r>
          </w:p>
        </w:tc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One real lapsed client pays through a campaign link. The product is the proof.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§12 · The 90 days</w:t>
      </w:r>
    </w:p>
    <w:tbl>
      <w:tblPr>
        <w:tblW w:type="dxa" w:w="9360"/>
        <w:tblBorders>
          <w:top w:val="single" w:color="1D6B4F" w:sz="8"/>
          <w:left w:val="none"/>
          <w:bottom w:val="single" w:color="1D6B4F" w:sz="8"/>
          <w:right w:val="none"/>
          <w:insideH w:val="single" w:color="C9D6D0" w:sz="4"/>
          <w:insideV w:val="single" w:color="C9D6D0" w:sz="4"/>
        </w:tblBorders>
      </w:tblPr>
      <w:tblGrid>
        <w:gridCol w:w="2100"/>
        <w:gridCol w:w="5060"/>
        <w:gridCol w:w="2200"/>
      </w:tblGrid>
      <w:tr>
        <w:trPr>
          <w:tblHeader/>
        </w:trPr>
        <w:tc>
          <w:tcPr>
            <w:tcW w:type="dxa" w:w="21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Window</w:t>
            </w:r>
          </w:p>
        </w:tc>
        <w:tc>
          <w:tcPr>
            <w:tcW w:type="dxa" w:w="506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Do</w:t>
            </w:r>
          </w:p>
        </w:tc>
        <w:tc>
          <w:tcPr>
            <w:tcW w:type="dxa" w:w="2200"/>
            <w:shd w:fill="0B4A36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Exit with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Weeks 1–4 · Aug</w:t>
            </w:r>
          </w:p>
        </w:tc>
        <w:tc>
          <w:tcPr>
            <w:tcW w:type="dxa" w:w="5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Build (above) · recruit 2–3 friendly salons for the first real campaigns (15% case-study fee, testimonial in writing) · Beauty Fair prep: live eligibility-scan demo on a tablet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Working product + first settled campaign + 2 case studies in motion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Sep 5–8 · BEAUTY FAIR (Expo Center Norte, SP)</w:t>
            </w:r>
          </w:p>
        </w:tc>
        <w:tc>
          <w:tcPr>
            <w:tcW w:type="dxa" w:w="5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No booth. Live scans at the stand: “manda seu CSV, te digo agora quantas clientes dá pra trazer de volta.” 10 distributor relationships. Close campaign #1 for 5–10 salons on the spot.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A pipeline of scanned, quantified prospects — each already holding their own number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Sep 9 – Oct 23</w:t>
            </w:r>
          </w:p>
        </w:tc>
        <w:tc>
          <w:tcPr>
            <w:tcW w:type="dxa" w:w="50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48h follow-up on every scan · run campaigns weekly · publish first measured results (with permission) · referral ask built into every winning statement · POS opt-in kit for every client (grows the eligible pool every month)</w:t>
            </w:r>
          </w:p>
        </w:tc>
        <w:tc>
          <w:tcPr>
            <w:tcW w:type="dxa" w:w="2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300"/>
            </w:pPr>
            <w:r>
              <w:rPr>
                <w:color w:val="141414"/>
                <w:sz w:val="22"/>
                <w:szCs w:val="22"/>
              </w:rPr>
              <w:t xml:space="preserve">15–25 accounts run at least one campaign · real conversion/refund/settled-GMV telemetry · the M12 plan rewritten from data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§13 · Operating it KISS</w:t>
      </w:r>
    </w:p>
    <w:p>
      <w:pPr>
        <w:spacing w:after="160" w:line="360"/>
      </w:pPr>
      <w:r>
        <w:rPr>
          <w:b/>
          <w:bCs/>
          <w:color w:val="141414"/>
        </w:rPr>
        <w:t xml:space="preserve">Five numbers run the company: </w:t>
      </w:r>
      <w:r>
        <w:rPr>
          <w:color w:val="141414"/>
        </w:rPr>
        <w:t xml:space="preserve">eligible opt-in pool (all accounts) · campaigns sent this month · settled GMV · fee revenue · refund rate. </w:t>
      </w:r>
      <w:r>
        <w:rPr>
          <w:b/>
          <w:bCs/>
          <w:color w:val="141414"/>
        </w:rPr>
        <w:t xml:space="preserve">Three rituals: </w:t>
      </w:r>
      <w:r>
        <w:rPr>
          <w:color w:val="141414"/>
        </w:rPr>
        <w:t xml:space="preserve">Monday 30-min pipeline; daily 2-hour growth block (mornings, untouchable); Friday close — read every salon statement, log the five numbers. </w:t>
      </w:r>
      <w:r>
        <w:rPr>
          <w:b/>
          <w:bCs/>
          <w:color w:val="141414"/>
        </w:rPr>
        <w:t xml:space="preserve">Rule of one: </w:t>
      </w:r>
      <w:r>
        <w:rPr>
          <w:color w:val="141414"/>
        </w:rPr>
        <w:t xml:space="preserve">one ICP, one fee, one template family per salon, one channel priority per quarter; new complexity must delete old.</w:t>
      </w:r>
    </w:p>
    <w:p>
      <w:pPr>
        <w:spacing w:after="160" w:line="360"/>
      </w:pPr>
      <w:r>
        <w:rPr>
          <w:b/>
          <w:bCs/>
          <w:color w:val="141414"/>
        </w:rPr>
        <w:t xml:space="preserve">Tripwires, responses pre-written: </w:t>
      </w:r>
      <w:r>
        <w:rPr>
          <w:color w:val="141414"/>
        </w:rPr>
        <w:t xml:space="preserve">number quality rating drops → pause that account’s sends, review the template and audience. Refund rate &gt;5% → redesign the offer, not the copy. Campaign conversion &lt;5% twice → change the offer economics with the owner. Opt-in pool stagnant → push the POS capture kit before selling anything else. Every tripwire is visible on the dashboard before any client feels it.</w:t>
      </w:r>
    </w:p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B4A36" w:val="clear"/>
            <w:tcMar>
              <w:top w:type="dxa" w:w="260"/>
              <w:left w:type="dxa" w:w="300"/>
              <w:bottom w:type="dxa" w:w="260"/>
              <w:right w:type="dxa" w:w="300"/>
            </w:tcMar>
          </w:tcPr>
          <w:p>
            <w:pPr>
              <w:spacing w:after="80"/>
            </w:pPr>
            <w:r>
              <w:rPr>
                <w:b/>
                <w:bCs/>
                <w:caps/>
                <w:color w:val="BFE3D3"/>
                <w:sz w:val="22"/>
                <w:szCs w:val="22"/>
              </w:rPr>
              <w:t xml:space="preserve">Part VI</w:t>
            </w:r>
          </w:p>
          <w:p>
            <w:pPr>
              <w:spacing w:after="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After launch — expansion gates and the endgame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§14 · Phase-2 gates (opened by evidence, never by calendar)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Gate A — first-party payment reminders: </w:t>
      </w:r>
      <w:r>
        <w:rPr>
          <w:color w:val="141414"/>
        </w:rPr>
        <w:t xml:space="preserve">opens only with written BSP/Meta guidance that a salon reminding its own client of its own transaction, via utility template, is compliant at this operating scale. Then: same manifest gate, same rails, principal only, never “collections” branding.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Gate B — active-base campaigns: </w:t>
      </w:r>
      <w:r>
        <w:rPr>
          <w:color w:val="141414"/>
        </w:rPr>
        <w:t xml:space="preserve">renewals, upsells, seasonal pushes to active clients. Opens when win-back telemetry proves the template/checkout machine on 20+ accounts. Same machinery, bigger pool — this is where per-account revenue stops depending on lapse alone.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Gate C — second importer (Belasis or Avec): </w:t>
      </w:r>
      <w:r>
        <w:rPr>
          <w:color w:val="141414"/>
        </w:rPr>
        <w:t xml:space="preserve">opens the first time a signed prospect requires it.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b/>
          <w:bCs/>
          <w:color w:val="141414"/>
        </w:rPr>
        <w:t xml:space="preserve">Gate D — the ops hire: </w:t>
      </w:r>
      <w:r>
        <w:rPr>
          <w:color w:val="141414"/>
        </w:rPr>
        <w:t xml:space="preserve">opens when campaign operations consume &gt;60% of her week for a month — an ex-receptionist inheriting a written manual, CLT, exactly as the folder-is-the-manual pattern prescribes.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b/>
          <w:bCs/>
          <w:color w:val="0B4A36"/>
        </w:rPr>
        <w:t xml:space="preserve">§15 · The endgame asset</w:t>
      </w:r>
    </w:p>
    <w:p>
      <w:pPr>
        <w:spacing w:after="160" w:line="360"/>
      </w:pPr>
      <w:r>
        <w:rPr>
          <w:color w:val="141414"/>
        </w:rPr>
        <w:t xml:space="preserve">After 24 months of campaigns she owns the only dataset of its kind: measured win-back conversion by offer type, segment, ticket and season across hundreds of Brazilian beauty businesses — plus the trust position of the operator who only ever charged for money that landed. That funds the expansions (active-base campaigns, adjacent verticals with the same cadence shape) from a position of evidence, not hope. The moat was never the code; it is the results ledger and the name.</w:t>
      </w:r>
    </w:p>
    <w:p>
      <w:pPr>
        <w:spacing w:after="60"/>
      </w:pPr>
    </w:p>
    <w:tbl>
      <w:tblPr>
        <w:tblW w:type="dxa" w:w="9360"/>
        <w:tblBorders>
          <w:top w:val="none"/>
          <w:left w:val="single" w:color="1D6B4F" w:sz="24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5F1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60" w:line="360"/>
            </w:pPr>
            <w:r>
              <w:rPr>
                <w:b/>
                <w:bCs/>
                <w:color w:val="0B4A36"/>
              </w:rPr>
              <w:t xml:space="preserve">The three sentences, final form. </w:t>
            </w:r>
          </w:p>
          <w:p>
            <w:pPr>
              <w:spacing w:after="160" w:line="360"/>
            </w:pPr>
            <w:r>
              <w:rPr>
                <w:color w:val="141414"/>
              </w:rPr>
              <w:t xml:space="preserve">“Eu trago suas clientes de volta — com oferta paga, não com promessa.”</w:t>
            </w:r>
          </w:p>
          <w:p>
            <w:pPr>
              <w:spacing w:after="160" w:line="360"/>
            </w:pPr>
            <w:r>
              <w:rPr>
                <w:color w:val="141414"/>
              </w:rPr>
              <w:t xml:space="preserve">“Você paga 20% só do que entrar pelo link da campanha.”</w:t>
            </w:r>
          </w:p>
          <w:p>
            <w:pPr>
              <w:spacing w:after="160" w:line="360"/>
            </w:pPr>
            <w:r>
              <w:rPr>
                <w:color w:val="141414"/>
              </w:rPr>
              <w:t xml:space="preserve">“Estornou? Nossa taxa volta junto.”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66"/>
        <w:sz w:val="18"/>
        <w:szCs w:val="18"/>
      </w:rPr>
      <w:t xml:space="preserve">Caixa Cheia · Canonical Plan v4 · </w:t>
    </w:r>
    <w:r>
      <w:rPr>
        <w:color w:val="5B6B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4"/>
        <w:sz w:val="26"/>
        <w:szCs w:val="26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B4A36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0A6E4C"/>
      <w:sz w:val="30"/>
      <w:szCs w:val="30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41414"/>
      <w:sz w:val="27"/>
      <w:szCs w:val="27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2026-07-24T19:10:38.919Z</dcterms:created>
  <dcterms:modified xsi:type="dcterms:W3CDTF">2026-07-24T19:10:38.940Z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