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300"/>
      </w:pPr>
      <w:r>
        <w:rPr>
          <w:b/>
          <w:bCs/>
          <w:color w:val="0B4A36"/>
          <w:sz w:val="150"/>
          <w:szCs w:val="150"/>
        </w:rPr>
        <w:t xml:space="preserve">VOLTA</w:t>
      </w:r>
    </w:p>
    <w:p>
      <w:pPr>
        <w:spacing w:after="60" w:before="40"/>
      </w:pPr>
      <w:r>
        <w:rPr>
          <w:b/>
          <w:bCs/>
          <w:color w:val="141414"/>
          <w:sz w:val="40"/>
          <w:szCs w:val="40"/>
        </w:rPr>
        <w:t xml:space="preserve">Business Plan &amp; Technology Overview</w:t>
      </w:r>
    </w:p>
    <w:p>
      <w:pPr>
        <w:spacing w:after="240"/>
      </w:pPr>
      <w:r>
        <w:rPr>
          <w:b/>
          <w:bCs/>
          <w:color w:val="0A6E4C"/>
          <w:sz w:val="26"/>
          <w:szCs w:val="26"/>
        </w:rPr>
        <w:t xml:space="preserve">Version 2  ·  </w:t>
      </w:r>
      <w:r>
        <w:rPr>
          <w:color w:val="5B6B66"/>
          <w:sz w:val="26"/>
          <w:szCs w:val="26"/>
        </w:rPr>
        <w:t xml:space="preserve">ground-up rebuild — dashboard-run, automated, Brazil-focused, tight &amp; KISS</w:t>
      </w:r>
    </w:p>
    <w:p>
      <w:pPr>
        <w:spacing w:after="120"/>
      </w:pPr>
      <w:r>
        <w:rPr>
          <w:color w:val="5B6B66"/>
          <w:sz w:val="28"/>
          <w:szCs w:val="28"/>
        </w:rPr>
        <w:t xml:space="preserve">Managed financial recovery for professional Mercado Livre </w:t>
      </w:r>
      <w:r>
        <w:rPr>
          <w:b/>
          <w:bCs/>
          <w:color w:val="5B6B66"/>
          <w:sz w:val="28"/>
          <w:szCs w:val="28"/>
        </w:rPr>
        <w:t xml:space="preserve">Full</w:t>
      </w:r>
      <w:r>
        <w:rPr>
          <w:color w:val="5B6B66"/>
          <w:sz w:val="28"/>
          <w:szCs w:val="28"/>
        </w:rPr>
        <w:t xml:space="preserve"> sellers in Brazil.</w:t>
      </w:r>
    </w:p>
    <w:p>
      <w:pPr>
        <w:pBdr>
          <w:top w:val="single" w:color="C9D6D0" w:sz="8" w:space="6"/>
          <w:bottom w:val="single" w:color="C9D6D0" w:sz="8" w:space="6"/>
        </w:pBdr>
        <w:spacing w:after="40"/>
      </w:pPr>
      <w:r>
        <w:rPr>
          <w:i/>
          <w:iCs/>
          <w:color w:val="0A6E4C"/>
          <w:sz w:val="26"/>
          <w:szCs w:val="26"/>
        </w:rPr>
        <w:t xml:space="preserve">“Encontramos valores elegíveis que não voltaram para a sua operação, montamos a prova e acompanhamos o caso até o crédito. Você só paga sobre o que efetivamente receber.”</w:t>
      </w:r>
    </w:p>
    <w:p>
      <w:pPr>
        <w:spacing w:after="360"/>
      </w:pPr>
      <w:r>
        <w:t xml:space="preserve"/>
      </w:r>
    </w:p>
    <w:p>
      <w:pPr>
        <w:spacing w:after="260" w:line="360"/>
      </w:pPr>
      <w:r>
        <w:rPr>
          <w:b/>
          <w:bCs/>
          <w:color w:val="141414"/>
          <w:sz w:val="26"/>
          <w:szCs w:val="26"/>
        </w:rPr>
        <w:t xml:space="preserve">The thesis.  </w:t>
      </w:r>
      <w:r>
        <w:rPr>
          <w:color w:val="141414"/>
          <w:sz w:val="26"/>
          <w:szCs w:val="26"/>
        </w:rPr>
        <w:t xml:space="preserve">Build the workbench, not the chatbot. One append-only event spine feeds three things and nothing else: the operator workbench, the dashboards the business is run from, and the automation that does the repetitive work. Code computes every centavo; a human approves every external action; the seller pays only on money that lands.</w:t>
      </w:r>
    </w:p>
    <w:p>
      <w:pPr>
        <w:spacing w:after="320"/>
      </w:pPr>
      <w:r>
        <w:t xml:space="preserve"/>
      </w:r>
    </w:p>
    <w:p>
      <w:r>
        <w:rPr>
          <w:b/>
          <w:bCs/>
          <w:color w:val="5B6B66"/>
          <w:sz w:val="24"/>
          <w:szCs w:val="24"/>
        </w:rPr>
        <w:t xml:space="preserve">Prepared: </w:t>
      </w:r>
      <w:r>
        <w:rPr>
          <w:color w:val="5B6B66"/>
          <w:sz w:val="24"/>
          <w:szCs w:val="24"/>
        </w:rPr>
        <w:t xml:space="preserve">23 July 2026  ·  Confidential working draft for the founder.</w:t>
      </w:r>
    </w:p>
    <w:p>
      <w:pPr>
        <w:spacing w:line="340"/>
      </w:pPr>
      <w:r>
        <w:rPr>
          <w:b/>
          <w:bCs/>
          <w:color w:val="5B6B66"/>
          <w:sz w:val="24"/>
          <w:szCs w:val="24"/>
        </w:rPr>
        <w:t xml:space="preserve">What v2 changes: </w:t>
      </w:r>
      <w:r>
        <w:rPr>
          <w:color w:val="5B6B66"/>
          <w:sz w:val="24"/>
          <w:szCs w:val="24"/>
        </w:rPr>
        <w:t xml:space="preserve">dashboards and business automation are now first-class; the architecture is retightened to one spine / three consumers; the scope is Brazil-only by choice; and the whole design is trimmed to the fewest moving parts that scale without breaking.</w:t>
      </w:r>
    </w:p>
    <w:p>
      <w:r>
        <w:br w:type="page"/>
      </w:r>
    </w:p>
    <w:p>
      <w:pPr>
        <w:spacing w:after="160"/>
      </w:pPr>
      <w:r>
        <w:rPr>
          <w:b/>
          <w:bCs/>
          <w:color w:val="0B4A36"/>
          <w:sz w:val="40"/>
          <w:szCs w:val="40"/>
        </w:rPr>
        <w:t xml:space="preserve">Contents</w:t>
      </w:r>
    </w:p>
    <w:sdt>
      <w:sdtPr>
        <w:alias w:val="Contents"/>
      </w:sdtPr>
      <w:sdtContent>
        <w:p>
          <w:r>
            <w:fldChar w:fldCharType="begin" w:dirty="true"/>
            <w:instrText xml:space="preserve">TOC \h \o "1-1"</w:instrText>
            <w:fldChar w:fldCharType="separate"/>
          </w:r>
        </w:p>
        <w:p>
          <w:r>
            <w:fldChar w:fldCharType="end"/>
          </w:r>
        </w:p>
      </w:sdtContent>
    </w:sdt>
    <w:p>
      <w:r>
        <w:br w:type="page"/>
      </w:r>
    </w:p>
    <w:p>
      <w:pPr>
        <w:spacing w:after="40" w:before="200"/>
      </w:pPr>
      <w:r>
        <w:rPr>
          <w:b/>
          <w:bCs/>
          <w:caps/>
          <w:color w:val="0A6E4C"/>
          <w:sz w:val="22"/>
          <w:szCs w:val="22"/>
        </w:rPr>
        <w:t xml:space="preserve">Part I</w:t>
      </w:r>
    </w:p>
    <w:p>
      <w:pPr>
        <w:pBdr>
          <w:bottom w:val="single" w:color="0B4A36" w:sz="18" w:space="4"/>
        </w:pBdr>
        <w:spacing w:after="60"/>
      </w:pPr>
      <w:r>
        <w:rPr>
          <w:b/>
          <w:bCs/>
          <w:color w:val="0B4A36"/>
          <w:sz w:val="46"/>
          <w:szCs w:val="46"/>
        </w:rPr>
        <w:t xml:space="preserve">The Business</w:t>
      </w:r>
    </w:p>
    <w:p>
      <w:pPr>
        <w:spacing w:after="120"/>
      </w:pPr>
      <w:r>
        <w:t xml:space="preserve"/>
      </w:r>
    </w:p>
    <w:p>
      <w:pPr>
        <w:pStyle w:val="Heading1"/>
      </w:pPr>
      <w:r>
        <w:t xml:space="preserve">1.  Executive Summary</w:t>
      </w:r>
    </w:p>
    <w:p>
      <w:r>
        <w:t xml:space="preserve">VOLTA is a managed, success-fee recovery service for professional Mercado Livre “Full” (fulfilment) sellers in Brazil. It connects read-only to a seller’s Mercado Livre and Mercado Pago accounts, reconciles what happened operationally (Full inventory movements, inbound receiving, orders, returns, claims) against what happened financially (Mercado Pago releases, credits, fees), and surfaces money the seller is owed but never received. VOLTA assembles the evidence, pursues each case through permitted channels, and reconciles the credit when it lands. The seller pays only when a VOLTA-managed case produces a confirmed credit in their own records.</w:t>
      </w:r>
    </w:p>
    <w:p>
      <w:r>
        <w:t xml:space="preserve">This is the Amazon FBA reimbursement-recovery playbook — a proven US industry — brought to Mercado Livre, plus a second recoverable pool (Mercado Pago payments) the Amazon tools do not have. What is unproven is not the model but whether the recoverable value on Mercado Livre is large, recurring, and causally attributable. A 45-day pilot answers that cheaply, before any platform is built.</w:t>
      </w:r>
    </w:p>
    <w:p>
      <w:r>
        <w:t xml:space="preserve">Version 2 is a ground-up rebuild around a single conviction the founder is right about: this business lives and dies by its dashboards and its automation. The whole company is designed to be run from glass by a very small team, with software doing everything repetitive and humans doing only what a dashboard flags.</w:t>
      </w:r>
    </w:p>
    <w:tbl>
      <w:tblPr>
        <w:tblW w:type="dxa" w:w="9360"/>
        <w:tblBorders>
          <w:top w:val="single" w:color="BCD8CC" w:sz="6"/>
          <w:left w:val="single" w:color="0A6E4C" w:sz="24"/>
          <w:bottom w:val="single" w:color="BCD8CC" w:sz="6"/>
          <w:right w:val="single" w:color="BCD8CC" w:sz="6"/>
          <w:insideH w:val="none"/>
          <w:insideV w:val="none"/>
        </w:tblBorders>
      </w:tblPr>
      <w:tblGrid>
        <w:gridCol w:w="9360"/>
      </w:tblGrid>
      <w:tr>
        <w:tc>
          <w:tcPr>
            <w:tcW w:type="dxa" w:w="9360"/>
            <w:shd w:fill="E9F2ED" w:color="auto" w:val="clear"/>
            <w:tcMar>
              <w:top w:type="dxa" w:w="130"/>
              <w:left w:type="dxa" w:w="180"/>
              <w:bottom w:type="dxa" w:w="130"/>
              <w:right w:type="dxa" w:w="180"/>
            </w:tcMar>
          </w:tcPr>
          <w:p>
            <w:r>
              <w:rPr>
                <w:b/>
                <w:bCs/>
                <w:color w:val="0B4A36"/>
              </w:rPr>
              <w:t xml:space="preserve">The shape of the whole system.  </w:t>
            </w:r>
            <w:r>
              <w:t xml:space="preserve">One append-only, hash-chained event spine in one Postgres feeds exactly three consumers: (1) the operator Workbench, (2) the Dashboards/metrics layer, (3) the Automation layer. Nothing else is a “system.” Two invariants hold everywhere: code computes every centavo, and a named human authorizes every external action. That is the entire architecture — and the entire reason it stays simple as it grows.</w:t>
            </w:r>
          </w:p>
        </w:tc>
      </w:tr>
    </w:tbl>
    <w:p>
      <w:pPr>
        <w:spacing w:after="60"/>
      </w:pPr>
      <w:r>
        <w:t xml:space="preserve"/>
      </w:r>
    </w:p>
    <w:p>
      <w:pPr>
        <w:pStyle w:val="Heading3"/>
      </w:pPr>
      <w:r>
        <w:t xml:space="preserve">Snapshot</w:t>
      </w:r>
    </w:p>
    <w:tbl>
      <w:tblPr>
        <w:tblW w:type="dxa" w:w="9360"/>
        <w:tblBorders>
          <w:top w:val="single" w:color="C9D6D0" w:sz="4"/>
          <w:left w:val="single" w:color="C9D6D0" w:sz="4"/>
          <w:bottom w:val="single" w:color="C9D6D0" w:sz="4"/>
          <w:right w:val="single" w:color="C9D6D0" w:sz="4"/>
          <w:insideH w:val="single" w:color="C9D6D0" w:sz="4"/>
          <w:insideV w:val="single" w:color="C9D6D0" w:sz="4"/>
        </w:tblBorders>
      </w:tblPr>
      <w:tblGrid>
        <w:gridCol w:w="2400"/>
        <w:gridCol w:w="6960"/>
      </w:tblGrid>
      <w:tr>
        <w:trPr>
          <w:tblHeader/>
        </w:trPr>
        <w:tc>
          <w:tcPr>
            <w:tcW w:type="dxa" w:w="2400"/>
            <w:shd w:fill="0B4A36" w:color="auto" w:val="clear"/>
            <w:tcMar>
              <w:top w:type="dxa" w:w="80"/>
              <w:left w:type="dxa" w:w="120"/>
              <w:bottom w:type="dxa" w:w="80"/>
              <w:right w:type="dxa" w:w="120"/>
            </w:tcMar>
          </w:tcPr>
          <w:p>
            <w:pPr>
              <w:spacing w:after="0" w:line="260"/>
            </w:pPr>
            <w:r>
              <w:rPr>
                <w:b/>
                <w:bCs/>
                <w:color w:val="FFFFFF"/>
                <w:sz w:val="22"/>
                <w:szCs w:val="22"/>
              </w:rPr>
              <w:t xml:space="preserve">Dimension</w:t>
            </w:r>
          </w:p>
        </w:tc>
        <w:tc>
          <w:tcPr>
            <w:tcW w:type="dxa" w:w="6960"/>
            <w:shd w:fill="0B4A36" w:color="auto" w:val="clear"/>
            <w:tcMar>
              <w:top w:type="dxa" w:w="80"/>
              <w:left w:type="dxa" w:w="120"/>
              <w:bottom w:type="dxa" w:w="80"/>
              <w:right w:type="dxa" w:w="120"/>
            </w:tcMar>
          </w:tcPr>
          <w:p>
            <w:pPr>
              <w:spacing w:after="0" w:line="260"/>
            </w:pPr>
            <w:r>
              <w:rPr>
                <w:b/>
                <w:bCs/>
                <w:color w:val="FFFFFF"/>
                <w:sz w:val="22"/>
                <w:szCs w:val="22"/>
              </w:rPr>
              <w:t xml:space="preserve">Position</w:t>
            </w:r>
          </w:p>
        </w:tc>
      </w:tr>
      <w:tr>
        <w:tc>
          <w:tcPr>
            <w:tcW w:type="dxa" w:w="2400"/>
            <w:tcMar>
              <w:top w:type="dxa" w:w="80"/>
              <w:left w:type="dxa" w:w="120"/>
              <w:bottom w:type="dxa" w:w="80"/>
              <w:right w:type="dxa" w:w="120"/>
            </w:tcMar>
          </w:tcPr>
          <w:p>
            <w:pPr>
              <w:spacing w:after="0" w:line="264"/>
            </w:pPr>
            <w:r>
              <w:rPr>
                <w:color w:val="141414"/>
                <w:sz w:val="22"/>
                <w:szCs w:val="22"/>
              </w:rPr>
              <w:t xml:space="preserve">What it is</w:t>
            </w:r>
          </w:p>
        </w:tc>
        <w:tc>
          <w:tcPr>
            <w:tcW w:type="dxa" w:w="6960"/>
            <w:tcMar>
              <w:top w:type="dxa" w:w="80"/>
              <w:left w:type="dxa" w:w="120"/>
              <w:bottom w:type="dxa" w:w="80"/>
              <w:right w:type="dxa" w:w="120"/>
            </w:tcMar>
          </w:tcPr>
          <w:p>
            <w:pPr>
              <w:spacing w:after="0" w:line="264"/>
            </w:pPr>
            <w:r>
              <w:rPr>
                <w:color w:val="141414"/>
                <w:sz w:val="22"/>
                <w:szCs w:val="22"/>
              </w:rPr>
              <w:t xml:space="preserve">Managed, success-fee recovery of money Mercado Livre / Mercado Pago owe a Full seller — run from dashboards, executed with automation.</w:t>
            </w:r>
          </w:p>
        </w:tc>
      </w:tr>
      <w:tr>
        <w:tc>
          <w:tcPr>
            <w:tcW w:type="dxa" w:w="2400"/>
            <w:shd w:fill="F2F6F4" w:color="auto" w:val="clear"/>
            <w:tcMar>
              <w:top w:type="dxa" w:w="80"/>
              <w:left w:type="dxa" w:w="120"/>
              <w:bottom w:type="dxa" w:w="80"/>
              <w:right w:type="dxa" w:w="120"/>
            </w:tcMar>
          </w:tcPr>
          <w:p>
            <w:pPr>
              <w:spacing w:after="0" w:line="264"/>
            </w:pPr>
            <w:r>
              <w:rPr>
                <w:color w:val="141414"/>
                <w:sz w:val="22"/>
                <w:szCs w:val="22"/>
              </w:rPr>
              <w:t xml:space="preserve">Target customer</w:t>
            </w:r>
          </w:p>
        </w:tc>
        <w:tc>
          <w:tcPr>
            <w:tcW w:type="dxa" w:w="6960"/>
            <w:shd w:fill="F2F6F4" w:color="auto" w:val="clear"/>
            <w:tcMar>
              <w:top w:type="dxa" w:w="80"/>
              <w:left w:type="dxa" w:w="120"/>
              <w:bottom w:type="dxa" w:w="80"/>
              <w:right w:type="dxa" w:w="120"/>
            </w:tcMar>
          </w:tcPr>
          <w:p>
            <w:pPr>
              <w:spacing w:after="0" w:line="264"/>
            </w:pPr>
            <w:r>
              <w:rPr>
                <w:color w:val="141414"/>
                <w:sz w:val="22"/>
                <w:szCs w:val="22"/>
              </w:rPr>
              <w:t xml:space="preserve">Established Brazilian sellers on Full with real GMV, who keep NF-e XML and are not Model-6.</w:t>
            </w:r>
          </w:p>
        </w:tc>
      </w:tr>
      <w:tr>
        <w:tc>
          <w:tcPr>
            <w:tcW w:type="dxa" w:w="2400"/>
            <w:tcMar>
              <w:top w:type="dxa" w:w="80"/>
              <w:left w:type="dxa" w:w="120"/>
              <w:bottom w:type="dxa" w:w="80"/>
              <w:right w:type="dxa" w:w="120"/>
            </w:tcMar>
          </w:tcPr>
          <w:p>
            <w:pPr>
              <w:spacing w:after="0" w:line="264"/>
            </w:pPr>
            <w:r>
              <w:rPr>
                <w:color w:val="141414"/>
                <w:sz w:val="22"/>
                <w:szCs w:val="22"/>
              </w:rPr>
              <w:t xml:space="preserve">Pricing</w:t>
            </w:r>
          </w:p>
        </w:tc>
        <w:tc>
          <w:tcPr>
            <w:tcW w:type="dxa" w:w="6960"/>
            <w:tcMar>
              <w:top w:type="dxa" w:w="80"/>
              <w:left w:type="dxa" w:w="120"/>
              <w:bottom w:type="dxa" w:w="80"/>
              <w:right w:type="dxa" w:w="120"/>
            </w:tcMar>
          </w:tcPr>
          <w:p>
            <w:pPr>
              <w:spacing w:after="0" w:line="264"/>
            </w:pPr>
            <w:r>
              <w:rPr>
                <w:color w:val="141414"/>
                <w:sz w:val="22"/>
                <w:szCs w:val="22"/>
              </w:rPr>
              <w:t xml:space="preserve">Founding 25% success-only; Continuous Protection R$1,490/mo + 15%; white-label revenue share.</w:t>
            </w:r>
          </w:p>
        </w:tc>
      </w:tr>
      <w:tr>
        <w:tc>
          <w:tcPr>
            <w:tcW w:type="dxa" w:w="2400"/>
            <w:shd w:fill="F2F6F4" w:color="auto" w:val="clear"/>
            <w:tcMar>
              <w:top w:type="dxa" w:w="80"/>
              <w:left w:type="dxa" w:w="120"/>
              <w:bottom w:type="dxa" w:w="80"/>
              <w:right w:type="dxa" w:w="120"/>
            </w:tcMar>
          </w:tcPr>
          <w:p>
            <w:pPr>
              <w:spacing w:after="0" w:line="264"/>
            </w:pPr>
            <w:r>
              <w:rPr>
                <w:color w:val="141414"/>
                <w:sz w:val="22"/>
                <w:szCs w:val="22"/>
              </w:rPr>
              <w:t xml:space="preserve">Scope</w:t>
            </w:r>
          </w:p>
        </w:tc>
        <w:tc>
          <w:tcPr>
            <w:tcW w:type="dxa" w:w="6960"/>
            <w:shd w:fill="F2F6F4" w:color="auto" w:val="clear"/>
            <w:tcMar>
              <w:top w:type="dxa" w:w="80"/>
              <w:left w:type="dxa" w:w="120"/>
              <w:bottom w:type="dxa" w:w="80"/>
              <w:right w:type="dxa" w:w="120"/>
            </w:tcMar>
          </w:tcPr>
          <w:p>
            <w:pPr>
              <w:spacing w:after="0" w:line="264"/>
            </w:pPr>
            <w:r>
              <w:rPr>
                <w:color w:val="141414"/>
                <w:sz w:val="22"/>
                <w:szCs w:val="22"/>
              </w:rPr>
            </w:r>
            <w:r>
              <w:rPr>
                <w:color w:val="141414"/>
                <w:sz w:val="22"/>
                <w:szCs w:val="22"/>
              </w:rPr>
            </w:r>
          </w:p>
        </w:tc>
      </w:tr>
      <w:tr>
        <w:tc>
          <w:tcPr>
            <w:tcW w:type="dxa" w:w="2400"/>
            <w:tcMar>
              <w:top w:type="dxa" w:w="80"/>
              <w:left w:type="dxa" w:w="120"/>
              <w:bottom w:type="dxa" w:w="80"/>
              <w:right w:type="dxa" w:w="120"/>
            </w:tcMar>
          </w:tcPr>
          <w:p>
            <w:pPr>
              <w:spacing w:after="0" w:line="264"/>
            </w:pPr>
            <w:r>
              <w:rPr>
                <w:color w:val="141414"/>
                <w:sz w:val="22"/>
                <w:szCs w:val="22"/>
              </w:rPr>
              <w:t xml:space="preserve">North-star metric</w:t>
            </w:r>
          </w:p>
        </w:tc>
        <w:tc>
          <w:tcPr>
            <w:tcW w:type="dxa" w:w="6960"/>
            <w:tcMar>
              <w:top w:type="dxa" w:w="80"/>
              <w:left w:type="dxa" w:w="120"/>
              <w:bottom w:type="dxa" w:w="80"/>
              <w:right w:type="dxa" w:w="120"/>
            </w:tcMar>
          </w:tcPr>
          <w:p>
            <w:pPr>
              <w:spacing w:after="0" w:line="264"/>
            </w:pPr>
            <w:r>
              <w:rPr>
                <w:color w:val="141414"/>
                <w:sz w:val="22"/>
                <w:szCs w:val="22"/>
              </w:rPr>
            </w:r>
          </w:p>
        </w:tc>
      </w:tr>
      <w:tr>
        <w:tc>
          <w:tcPr>
            <w:tcW w:type="dxa" w:w="2400"/>
            <w:shd w:fill="F2F6F4" w:color="auto" w:val="clear"/>
            <w:tcMar>
              <w:top w:type="dxa" w:w="80"/>
              <w:left w:type="dxa" w:w="120"/>
              <w:bottom w:type="dxa" w:w="80"/>
              <w:right w:type="dxa" w:w="120"/>
            </w:tcMar>
          </w:tcPr>
          <w:p>
            <w:pPr>
              <w:spacing w:after="0" w:line="264"/>
            </w:pPr>
            <w:r>
              <w:rPr>
                <w:color w:val="141414"/>
                <w:sz w:val="22"/>
                <w:szCs w:val="22"/>
              </w:rPr>
              <w:t xml:space="preserve">Scale prize</w:t>
            </w:r>
          </w:p>
        </w:tc>
        <w:tc>
          <w:tcPr>
            <w:tcW w:type="dxa" w:w="6960"/>
            <w:shd w:fill="F2F6F4" w:color="auto" w:val="clear"/>
            <w:tcMar>
              <w:top w:type="dxa" w:w="80"/>
              <w:left w:type="dxa" w:w="120"/>
              <w:bottom w:type="dxa" w:w="80"/>
              <w:right w:type="dxa" w:w="120"/>
            </w:tcMar>
          </w:tcPr>
          <w:p>
            <w:pPr>
              <w:spacing w:after="0" w:line="264"/>
            </w:pPr>
            <w:r>
              <w:rPr>
                <w:color w:val="141414"/>
                <w:sz w:val="22"/>
                <w:szCs w:val="22"/>
              </w:rPr>
              <w:t xml:space="preserve">~300 well-served Brazilian sellers is already ~R$1M/month; one operator can serve 400–500 sellers because the marginal case is automated.</w:t>
            </w:r>
          </w:p>
        </w:tc>
      </w:tr>
      <w:tr>
        <w:tc>
          <w:tcPr>
            <w:tcW w:type="dxa" w:w="2400"/>
            <w:tcMar>
              <w:top w:type="dxa" w:w="80"/>
              <w:left w:type="dxa" w:w="120"/>
              <w:bottom w:type="dxa" w:w="80"/>
              <w:right w:type="dxa" w:w="120"/>
            </w:tcMar>
          </w:tcPr>
          <w:p>
            <w:pPr>
              <w:spacing w:after="0" w:line="264"/>
            </w:pPr>
            <w:r>
              <w:rPr>
                <w:color w:val="141414"/>
                <w:sz w:val="22"/>
                <w:szCs w:val="22"/>
              </w:rPr>
              <w:t xml:space="preserve">The go / no-go</w:t>
            </w:r>
          </w:p>
        </w:tc>
        <w:tc>
          <w:tcPr>
            <w:tcW w:type="dxa" w:w="6960"/>
            <w:tcMar>
              <w:top w:type="dxa" w:w="80"/>
              <w:left w:type="dxa" w:w="120"/>
              <w:bottom w:type="dxa" w:w="80"/>
              <w:right w:type="dxa" w:w="120"/>
            </w:tcMar>
          </w:tcPr>
          <w:p>
            <w:pPr>
              <w:spacing w:after="0" w:line="264"/>
            </w:pPr>
            <w:r>
              <w:rPr>
                <w:color w:val="141414"/>
                <w:sz w:val="22"/>
                <w:szCs w:val="22"/>
              </w:rPr>
              <w:t xml:space="preserve">A controlled submit-vs-hold A/B across 5 pilot sellers. If held cases pay out on their own at similar rates, there is no business.</w:t>
            </w:r>
          </w:p>
        </w:tc>
      </w:tr>
    </w:tbl>
    <w:p>
      <w:pPr>
        <w:pStyle w:val="Heading1"/>
      </w:pPr>
      <w:r>
        <w:t xml:space="preserve">2.  The Problem VOLTA Solves</w:t>
      </w:r>
    </w:p>
    <w:p>
      <w:r>
        <w:t xml:space="preserve">A large Full seller generates thousands of operational and financial events every month. Each is visible somewhere on the platform, but knowing whether the seller received the correct financial treatment requires reconciling several data sources the platform never joins for them. No busy operations team does this by hand, so the losses — individually small, constant, easy to ignore — quietly stay with the platform.</w:t>
      </w:r>
    </w:p>
    <w:p>
      <w:r>
        <w:t xml:space="preserve">The questions a seller cannot answer at scale: Was damaged Full inventory credited, and at the right value? Did a negative stock adjustment ever get reimbursed? Was an approved claim actually deposited, in full? Was a returned item received in the condition claimed? Is there still an available seller action before a deadline closes the claim in the platform’s favour? Does a Mercado Pago credit actually match the event that should have generated it? VOLTA turns these disconnected records into one controlled recovery workflow and gives the seller their money back.</w:t>
      </w:r>
    </w:p>
    <w:p>
      <w:pPr>
        <w:pStyle w:val="Heading1"/>
      </w:pPr>
      <w:r>
        <w:t xml:space="preserve">3.  The Customer &amp; Market — Brazil</w:t>
      </w:r>
    </w:p>
    <w:p>
      <w:r>
        <w:t xml:space="preserve">The customer is an established Brazilian seller with substantial Mercado Livre sales, meaningful inventory in Mercado Envios Full, hundreds-to-thousands of orders a month, supplier invoices (NF-e) on file, regular returns and claims, and no internal recovery function. A practical opening filter is at least R$300,000/month GMV or at least R$250,000 of inventory in Full.</w:t>
      </w:r>
    </w:p>
    <w:p>
      <w:r>
        <w:t xml:space="preserve">Mercado Livre dominates Brazilian e-commerce, so raw demand is not the constraint. The serviceable market is narrower than the headline, and honestly so: it excludes sellers without NF-e XML (no evidence), sellers below the value threshold (recoveries too small), and Model-6 sellers, who receive HTTP 403 on the claims and returns endpoints VOLTA depends on. Sizing that serviceable slice is done in Section 8.</w:t>
      </w:r>
    </w:p>
    <w:p>
      <w:pPr>
        <w:pStyle w:val="Heading1"/>
      </w:pPr>
      <w:r>
        <w:t xml:space="preserve">4.  Why Now — A Proven Analog</w:t>
      </w:r>
    </w:p>
    <w:p>
      <w:r>
        <w:t xml:space="preserve">Marketplace reimbursement-recovery is a mature US industry. The “we only get paid when you get paid” structure is why it converts and why it exists.</w:t>
      </w:r>
    </w:p>
    <w:tbl>
      <w:tblPr>
        <w:tblW w:type="dxa" w:w="9360"/>
        <w:tblBorders>
          <w:top w:val="single" w:color="C9D6D0" w:sz="4"/>
          <w:left w:val="single" w:color="C9D6D0" w:sz="4"/>
          <w:bottom w:val="single" w:color="C9D6D0" w:sz="4"/>
          <w:right w:val="single" w:color="C9D6D0" w:sz="4"/>
          <w:insideH w:val="single" w:color="C9D6D0" w:sz="4"/>
          <w:insideV w:val="single" w:color="C9D6D0" w:sz="4"/>
        </w:tblBorders>
      </w:tblPr>
      <w:tblGrid>
        <w:gridCol w:w="2500"/>
        <w:gridCol w:w="2900"/>
        <w:gridCol w:w="1760"/>
        <w:gridCol w:w="2200"/>
      </w:tblGrid>
      <w:tr>
        <w:trPr>
          <w:tblHeader/>
        </w:trPr>
        <w:tc>
          <w:tcPr>
            <w:tcW w:type="dxa" w:w="2500"/>
            <w:shd w:fill="0B4A36" w:color="auto" w:val="clear"/>
            <w:tcMar>
              <w:top w:type="dxa" w:w="80"/>
              <w:left w:type="dxa" w:w="120"/>
              <w:bottom w:type="dxa" w:w="80"/>
              <w:right w:type="dxa" w:w="120"/>
            </w:tcMar>
          </w:tcPr>
          <w:p>
            <w:pPr>
              <w:spacing w:after="0" w:line="260"/>
            </w:pPr>
            <w:r>
              <w:rPr>
                <w:b/>
                <w:bCs/>
                <w:color w:val="FFFFFF"/>
                <w:sz w:val="22"/>
                <w:szCs w:val="22"/>
              </w:rPr>
              <w:t xml:space="preserve">Player (US / Amazon FBA)</w:t>
            </w:r>
          </w:p>
        </w:tc>
        <w:tc>
          <w:tcPr>
            <w:tcW w:type="dxa" w:w="2900"/>
            <w:shd w:fill="0B4A36" w:color="auto" w:val="clear"/>
            <w:tcMar>
              <w:top w:type="dxa" w:w="80"/>
              <w:left w:type="dxa" w:w="120"/>
              <w:bottom w:type="dxa" w:w="80"/>
              <w:right w:type="dxa" w:w="120"/>
            </w:tcMar>
          </w:tcPr>
          <w:p>
            <w:pPr>
              <w:spacing w:after="0" w:line="260"/>
            </w:pPr>
            <w:r>
              <w:rPr>
                <w:b/>
                <w:bCs/>
                <w:color w:val="FFFFFF"/>
                <w:sz w:val="22"/>
                <w:szCs w:val="22"/>
              </w:rPr>
              <w:t xml:space="preserve">Model</w:t>
            </w:r>
          </w:p>
        </w:tc>
        <w:tc>
          <w:tcPr>
            <w:tcW w:type="dxa" w:w="1760"/>
            <w:shd w:fill="0B4A36" w:color="auto" w:val="clear"/>
            <w:tcMar>
              <w:top w:type="dxa" w:w="80"/>
              <w:left w:type="dxa" w:w="120"/>
              <w:bottom w:type="dxa" w:w="80"/>
              <w:right w:type="dxa" w:w="120"/>
            </w:tcMar>
          </w:tcPr>
          <w:p>
            <w:pPr>
              <w:spacing w:after="0" w:line="260"/>
            </w:pPr>
            <w:r>
              <w:rPr>
                <w:b/>
                <w:bCs/>
                <w:color w:val="FFFFFF"/>
                <w:sz w:val="22"/>
                <w:szCs w:val="22"/>
              </w:rPr>
              <w:t xml:space="preserve">Fee</w:t>
            </w:r>
          </w:p>
        </w:tc>
        <w:tc>
          <w:tcPr>
            <w:tcW w:type="dxa" w:w="2200"/>
            <w:shd w:fill="0B4A36" w:color="auto" w:val="clear"/>
            <w:tcMar>
              <w:top w:type="dxa" w:w="80"/>
              <w:left w:type="dxa" w:w="120"/>
              <w:bottom w:type="dxa" w:w="80"/>
              <w:right w:type="dxa" w:w="120"/>
            </w:tcMar>
          </w:tcPr>
          <w:p>
            <w:pPr>
              <w:spacing w:after="0" w:line="260"/>
            </w:pPr>
            <w:r>
              <w:rPr>
                <w:b/>
                <w:bCs/>
                <w:color w:val="FFFFFF"/>
                <w:sz w:val="22"/>
                <w:szCs w:val="22"/>
              </w:rPr>
              <w:t xml:space="preserve">Proof point</w:t>
            </w:r>
          </w:p>
        </w:tc>
      </w:tr>
      <w:tr>
        <w:tc>
          <w:tcPr>
            <w:tcW w:type="dxa" w:w="2500"/>
            <w:tcMar>
              <w:top w:type="dxa" w:w="80"/>
              <w:left w:type="dxa" w:w="120"/>
              <w:bottom w:type="dxa" w:w="80"/>
              <w:right w:type="dxa" w:w="120"/>
            </w:tcMar>
          </w:tcPr>
          <w:p>
            <w:pPr>
              <w:spacing w:after="0" w:line="264"/>
            </w:pPr>
            <w:r>
              <w:rPr>
                <w:b w:val="false"/>
                <w:bCs w:val="false"/>
                <w:i w:val="false"/>
                <w:iCs w:val="false"/>
                <w:color w:val="141414"/>
                <w:sz w:val="22"/>
                <w:szCs w:val="22"/>
              </w:rPr>
              <w:t xml:space="preserve">GETIDA (category leader)</w:t>
            </w:r>
          </w:p>
        </w:tc>
        <w:tc>
          <w:tcPr>
            <w:tcW w:type="dxa" w:w="2900"/>
            <w:tcMar>
              <w:top w:type="dxa" w:w="80"/>
              <w:left w:type="dxa" w:w="120"/>
              <w:bottom w:type="dxa" w:w="80"/>
              <w:right w:type="dxa" w:w="120"/>
            </w:tcMar>
          </w:tcPr>
          <w:p>
            <w:pPr>
              <w:spacing w:after="0" w:line="264"/>
            </w:pPr>
            <w:r>
              <w:rPr>
                <w:color w:val="141414"/>
                <w:sz w:val="22"/>
                <w:szCs w:val="22"/>
              </w:rPr>
              <w:t xml:space="preserve">Automated audit + human case managers</w:t>
            </w:r>
          </w:p>
        </w:tc>
        <w:tc>
          <w:tcPr>
            <w:tcW w:type="dxa" w:w="1760"/>
            <w:tcMar>
              <w:top w:type="dxa" w:w="80"/>
              <w:left w:type="dxa" w:w="120"/>
              <w:bottom w:type="dxa" w:w="80"/>
              <w:right w:type="dxa" w:w="120"/>
            </w:tcMar>
          </w:tcPr>
          <w:p>
            <w:pPr>
              <w:spacing w:after="0" w:line="264"/>
            </w:pPr>
            <w:r>
              <w:rPr>
                <w:color w:val="141414"/>
                <w:sz w:val="22"/>
                <w:szCs w:val="22"/>
              </w:rPr>
              <w:t xml:space="preserve">25%; first $400 free</w:t>
            </w:r>
          </w:p>
        </w:tc>
        <w:tc>
          <w:tcPr>
            <w:tcW w:type="dxa" w:w="2200"/>
            <w:tcMar>
              <w:top w:type="dxa" w:w="80"/>
              <w:left w:type="dxa" w:w="120"/>
              <w:bottom w:type="dxa" w:w="80"/>
              <w:right w:type="dxa" w:w="120"/>
            </w:tcMar>
          </w:tcPr>
          <w:p>
            <w:pPr>
              <w:spacing w:after="0" w:line="264"/>
            </w:pPr>
            <w:r>
              <w:rPr>
                <w:color w:val="141414"/>
                <w:sz w:val="22"/>
                <w:szCs w:val="22"/>
              </w:rPr>
              <w:t xml:space="preserve">$1B+ recovered; ~90% win</w:t>
            </w:r>
          </w:p>
        </w:tc>
      </w:tr>
      <w:tr>
        <w:tc>
          <w:tcPr>
            <w:tcW w:type="dxa" w:w="2500"/>
            <w:shd w:fill="F2F6F4" w:color="auto" w:val="clear"/>
            <w:tcMar>
              <w:top w:type="dxa" w:w="80"/>
              <w:left w:type="dxa" w:w="120"/>
              <w:bottom w:type="dxa" w:w="80"/>
              <w:right w:type="dxa" w:w="120"/>
            </w:tcMar>
          </w:tcPr>
          <w:p>
            <w:pPr>
              <w:spacing w:after="0" w:line="264"/>
            </w:pPr>
            <w:r>
              <w:rPr>
                <w:b w:val="false"/>
                <w:bCs w:val="false"/>
                <w:i w:val="false"/>
                <w:iCs w:val="false"/>
                <w:color w:val="141414"/>
                <w:sz w:val="22"/>
                <w:szCs w:val="22"/>
              </w:rPr>
              <w:t xml:space="preserve">Seller Investigators</w:t>
            </w:r>
          </w:p>
        </w:tc>
        <w:tc>
          <w:tcPr>
            <w:tcW w:type="dxa" w:w="2900"/>
            <w:shd w:fill="F2F6F4" w:color="auto" w:val="clear"/>
            <w:tcMar>
              <w:top w:type="dxa" w:w="80"/>
              <w:left w:type="dxa" w:w="120"/>
              <w:bottom w:type="dxa" w:w="80"/>
              <w:right w:type="dxa" w:w="120"/>
            </w:tcMar>
          </w:tcPr>
          <w:p>
            <w:pPr>
              <w:spacing w:after="0" w:line="264"/>
            </w:pPr>
            <w:r>
              <w:rPr>
                <w:color w:val="141414"/>
                <w:sz w:val="22"/>
                <w:szCs w:val="22"/>
              </w:rPr>
              <w:t xml:space="preserve">Human-led weekly review</w:t>
            </w:r>
          </w:p>
        </w:tc>
        <w:tc>
          <w:tcPr>
            <w:tcW w:type="dxa" w:w="1760"/>
            <w:shd w:fill="F2F6F4" w:color="auto" w:val="clear"/>
            <w:tcMar>
              <w:top w:type="dxa" w:w="80"/>
              <w:left w:type="dxa" w:w="120"/>
              <w:bottom w:type="dxa" w:w="80"/>
              <w:right w:type="dxa" w:w="120"/>
            </w:tcMar>
          </w:tcPr>
          <w:p>
            <w:pPr>
              <w:spacing w:after="0" w:line="264"/>
            </w:pPr>
            <w:r>
              <w:rPr>
                <w:color w:val="141414"/>
                <w:sz w:val="22"/>
                <w:szCs w:val="22"/>
              </w:rPr>
              <w:t xml:space="preserve">25%; no setup fee</w:t>
            </w:r>
          </w:p>
        </w:tc>
        <w:tc>
          <w:tcPr>
            <w:tcW w:type="dxa" w:w="2200"/>
            <w:shd w:fill="F2F6F4" w:color="auto" w:val="clear"/>
            <w:tcMar>
              <w:top w:type="dxa" w:w="80"/>
              <w:left w:type="dxa" w:w="120"/>
              <w:bottom w:type="dxa" w:w="80"/>
              <w:right w:type="dxa" w:w="120"/>
            </w:tcMar>
          </w:tcPr>
          <w:p>
            <w:pPr>
              <w:spacing w:after="0" w:line="264"/>
            </w:pPr>
            <w:r>
              <w:rPr>
                <w:color w:val="141414"/>
                <w:sz w:val="22"/>
                <w:szCs w:val="22"/>
              </w:rPr>
              <w:t xml:space="preserve">~95.9% success</w:t>
            </w:r>
          </w:p>
        </w:tc>
      </w:tr>
      <w:tr>
        <w:tc>
          <w:tcPr>
            <w:tcW w:type="dxa" w:w="2500"/>
            <w:tcMar>
              <w:top w:type="dxa" w:w="80"/>
              <w:left w:type="dxa" w:w="120"/>
              <w:bottom w:type="dxa" w:w="80"/>
              <w:right w:type="dxa" w:w="120"/>
            </w:tcMar>
          </w:tcPr>
          <w:p>
            <w:pPr>
              <w:spacing w:after="0" w:line="264"/>
            </w:pPr>
            <w:r>
              <w:rPr>
                <w:b w:val="false"/>
                <w:bCs w:val="false"/>
                <w:i w:val="false"/>
                <w:iCs w:val="false"/>
                <w:color w:val="141414"/>
                <w:sz w:val="22"/>
                <w:szCs w:val="22"/>
              </w:rPr>
              <w:t xml:space="preserve">Refully</w:t>
            </w:r>
          </w:p>
        </w:tc>
        <w:tc>
          <w:tcPr>
            <w:tcW w:type="dxa" w:w="2900"/>
            <w:tcMar>
              <w:top w:type="dxa" w:w="80"/>
              <w:left w:type="dxa" w:w="120"/>
              <w:bottom w:type="dxa" w:w="80"/>
              <w:right w:type="dxa" w:w="120"/>
            </w:tcMar>
          </w:tcPr>
          <w:p>
            <w:pPr>
              <w:spacing w:after="0" w:line="264"/>
            </w:pPr>
            <w:r>
              <w:rPr>
                <w:color w:val="141414"/>
                <w:sz w:val="22"/>
                <w:szCs w:val="22"/>
              </w:rPr>
              <w:t xml:space="preserve">Automated + dashboard</w:t>
            </w:r>
          </w:p>
        </w:tc>
        <w:tc>
          <w:tcPr>
            <w:tcW w:type="dxa" w:w="1760"/>
            <w:tcMar>
              <w:top w:type="dxa" w:w="80"/>
              <w:left w:type="dxa" w:w="120"/>
              <w:bottom w:type="dxa" w:w="80"/>
              <w:right w:type="dxa" w:w="120"/>
            </w:tcMar>
          </w:tcPr>
          <w:p>
            <w:pPr>
              <w:spacing w:after="0" w:line="264"/>
            </w:pPr>
            <w:r>
              <w:rPr>
                <w:color w:val="141414"/>
                <w:sz w:val="22"/>
                <w:szCs w:val="22"/>
              </w:rPr>
              <w:t xml:space="preserve">18%; first $1,000 free</w:t>
            </w:r>
          </w:p>
        </w:tc>
        <w:tc>
          <w:tcPr>
            <w:tcW w:type="dxa" w:w="2200"/>
            <w:tcMar>
              <w:top w:type="dxa" w:w="80"/>
              <w:left w:type="dxa" w:w="120"/>
              <w:bottom w:type="dxa" w:w="80"/>
              <w:right w:type="dxa" w:w="120"/>
            </w:tcMar>
          </w:tcPr>
          <w:p>
            <w:pPr>
              <w:spacing w:after="0" w:line="264"/>
            </w:pPr>
            <w:r>
              <w:rPr>
                <w:color w:val="141414"/>
                <w:sz w:val="22"/>
                <w:szCs w:val="22"/>
              </w:rPr>
              <w:t xml:space="preserve">Software-first</w:t>
            </w:r>
          </w:p>
        </w:tc>
      </w:tr>
    </w:tbl>
    <w:p>
      <w:pPr>
        <w:spacing w:after="60"/>
      </w:pPr>
      <w:r>
        <w:t xml:space="preserve"/>
      </w:r>
    </w:p>
    <w:p>
      <w:r>
        <w:t xml:space="preserve">Pricing converges on a 15–25% success fee with no upfront cost, and roughly 1–3% of fulfilment revenue tends to be recoverable. A timing tailwind favours software: as platforms shorten claim windows, auto-reimburse more, and pay at lower reference values, the value of a fast, always-on detector that also audits whether the payout was correct only rises. Mercado Livre trends the same way, and has no credible automated recovery player today.</w:t>
      </w:r>
    </w:p>
    <w:p>
      <w:r>
        <w:t xml:space="preserve">Translation: the Full layer maps directly to the FBA analog (lost / damaged inventory, inbound shortfalls, returns never restocked, cubagem overcharges); the Mercado Pago layer (chargebacks wrongly debited, commission overcharges, held funds) is a second recoverable pool with no Amazon equivalent.</w:t>
      </w:r>
    </w:p>
    <w:tbl>
      <w:tblPr>
        <w:tblW w:type="dxa" w:w="9360"/>
        <w:tblBorders>
          <w:top w:val="single" w:color="BCD8CC" w:sz="6"/>
          <w:left w:val="single" w:color="0A6E4C" w:sz="24"/>
          <w:bottom w:val="single" w:color="BCD8CC" w:sz="6"/>
          <w:right w:val="single" w:color="BCD8CC" w:sz="6"/>
          <w:insideH w:val="none"/>
          <w:insideV w:val="none"/>
        </w:tblBorders>
      </w:tblPr>
      <w:tblGrid>
        <w:gridCol w:w="9360"/>
      </w:tblGrid>
      <w:tr>
        <w:tc>
          <w:tcPr>
            <w:tcW w:type="dxa" w:w="9360"/>
            <w:shd w:fill="F7EFE0" w:color="auto" w:val="clear"/>
            <w:tcMar>
              <w:top w:type="dxa" w:w="130"/>
              <w:left w:type="dxa" w:w="180"/>
              <w:bottom w:type="dxa" w:w="130"/>
              <w:right w:type="dxa" w:w="180"/>
            </w:tcMar>
          </w:tcPr>
          <w:p>
            <w:r>
              <w:rPr>
                <w:b/>
                <w:bCs/>
                <w:color w:val="8A4B0B"/>
              </w:rPr>
              <w:t xml:space="preserve">Verify before relying on it.  </w:t>
            </w:r>
            <w:r>
              <w:t xml:space="preserve">The 1–3% recoverable figure is transplanted from US Amazon data and is unverified for Mercado Livre. It underpins every projection here and is the single most important number the pilot must measure.</w:t>
            </w:r>
          </w:p>
        </w:tc>
      </w:tr>
    </w:tbl>
    <w:p>
      <w:pPr>
        <w:pStyle w:val="Heading1"/>
      </w:pPr>
      <w:r>
        <w:t xml:space="preserve">5.  The Product</w:t>
      </w:r>
    </w:p>
    <w:p>
      <w:r>
        <w:t xml:space="preserve">Four connected offerings, sequenced from a low-risk entry to a distribution platform:</w:t>
      </w:r>
    </w:p>
    <w:p>
      <w:pPr>
        <w:spacing w:after="110" w:line="340"/>
        <w:ind w:left="360" w:hanging="360"/>
      </w:pPr>
      <w:r>
        <w:rPr>
          <w:b/>
          <w:bCs/>
          <w:color w:val="0A6E4C"/>
        </w:rPr>
        <w:t xml:space="preserve">A.  </w:t>
      </w:r>
      <w:r>
        <w:rPr>
          <w:b/>
          <w:bCs/>
        </w:rPr>
        <w:t xml:space="preserve">Historical Recovery Audit — </w:t>
      </w:r>
      <w:r>
        <w:t xml:space="preserve">a 90–180 day retrospective producing candidate cases with linked evidence and estimated value. The start of an engagement, not a report.</w:t>
      </w:r>
    </w:p>
    <w:p>
      <w:pPr>
        <w:spacing w:after="110" w:line="340"/>
        <w:ind w:left="360" w:hanging="360"/>
      </w:pPr>
      <w:r>
        <w:rPr>
          <w:b/>
          <w:bCs/>
          <w:color w:val="0A6E4C"/>
        </w:rPr>
        <w:t xml:space="preserve">B.  </w:t>
      </w:r>
      <w:r>
        <w:rPr>
          <w:b/>
          <w:bCs/>
        </w:rPr>
        <w:t xml:space="preserve">Managed Recovery — </w:t>
      </w:r>
      <w:r>
        <w:t xml:space="preserve">complete the evidence, prepare the administrative explanation, submit the permitted action, monitor, reconcile the final credit, invoice only on confirmed credit.</w:t>
      </w:r>
    </w:p>
    <w:p>
      <w:pPr>
        <w:spacing w:after="110" w:line="340"/>
        <w:ind w:left="360" w:hanging="360"/>
      </w:pPr>
      <w:r>
        <w:rPr>
          <w:b/>
          <w:bCs/>
          <w:color w:val="0A6E4C"/>
        </w:rPr>
        <w:t xml:space="preserve">C.  </w:t>
      </w:r>
      <w:r>
        <w:rPr>
          <w:b/>
          <w:bCs/>
        </w:rPr>
        <w:t xml:space="preserve">Continuous Protection — </w:t>
      </w:r>
      <w:r>
        <w:t xml:space="preserve">always-on ingestion, detection, deadline monitoring, managed submissions, monthly statements. R$1,490/month + 15%.</w:t>
      </w:r>
    </w:p>
    <w:p>
      <w:pPr>
        <w:spacing w:after="110" w:line="340"/>
        <w:ind w:left="360" w:hanging="360"/>
      </w:pPr>
      <w:r>
        <w:rPr>
          <w:b/>
          <w:bCs/>
          <w:color w:val="0A6E4C"/>
        </w:rPr>
        <w:t xml:space="preserve">D.  </w:t>
      </w:r>
      <w:r>
        <w:rPr>
          <w:b/>
          <w:bCs/>
        </w:rPr>
        <w:t xml:space="preserve">White-Label Partner Service — </w:t>
      </w:r>
      <w:r>
        <w:t xml:space="preserve">VOLTA runs the recovery infrastructure behind agencies, ERPs, accountants, and 3PLs; the partner owns the client and shares revenue.</w:t>
      </w:r>
    </w:p>
    <w:p>
      <w:r>
        <w:t xml:space="preserve">The experience the seller feels: connect read-only in one click; see a hard recoverable number within minutes (“The Number”); watch a live “dinheiro recuperado” ticker climb as confirmed credits land; and never lift a finger except to answer the occasional document request. Everything else is on a dashboard or handled by automation.</w:t>
      </w:r>
    </w:p>
    <w:p>
      <w:pPr>
        <w:pStyle w:val="Heading1"/>
      </w:pPr>
      <w:r>
        <w:t xml:space="preserve">6.  Business Model &amp; Pricing</w:t>
      </w:r>
    </w:p>
    <w:tbl>
      <w:tblPr>
        <w:tblW w:type="dxa" w:w="9360"/>
        <w:tblBorders>
          <w:top w:val="single" w:color="C9D6D0" w:sz="4"/>
          <w:left w:val="single" w:color="C9D6D0" w:sz="4"/>
          <w:bottom w:val="single" w:color="C9D6D0" w:sz="4"/>
          <w:right w:val="single" w:color="C9D6D0" w:sz="4"/>
          <w:insideH w:val="single" w:color="C9D6D0" w:sz="4"/>
          <w:insideV w:val="single" w:color="C9D6D0" w:sz="4"/>
        </w:tblBorders>
      </w:tblPr>
      <w:tblGrid>
        <w:gridCol w:w="2100"/>
        <w:gridCol w:w="2100"/>
        <w:gridCol w:w="2760"/>
        <w:gridCol w:w="2400"/>
      </w:tblGrid>
      <w:tr>
        <w:trPr>
          <w:tblHeader/>
        </w:trPr>
        <w:tc>
          <w:tcPr>
            <w:tcW w:type="dxa" w:w="2100"/>
            <w:shd w:fill="0B4A36" w:color="auto" w:val="clear"/>
            <w:tcMar>
              <w:top w:type="dxa" w:w="80"/>
              <w:left w:type="dxa" w:w="120"/>
              <w:bottom w:type="dxa" w:w="80"/>
              <w:right w:type="dxa" w:w="120"/>
            </w:tcMar>
          </w:tcPr>
          <w:p>
            <w:pPr>
              <w:spacing w:after="0" w:line="260"/>
            </w:pPr>
            <w:r>
              <w:rPr>
                <w:b/>
                <w:bCs/>
                <w:color w:val="FFFFFF"/>
                <w:sz w:val="22"/>
                <w:szCs w:val="22"/>
              </w:rPr>
              <w:t xml:space="preserve">Tier</w:t>
            </w:r>
          </w:p>
        </w:tc>
        <w:tc>
          <w:tcPr>
            <w:tcW w:type="dxa" w:w="2100"/>
            <w:shd w:fill="0B4A36" w:color="auto" w:val="clear"/>
            <w:tcMar>
              <w:top w:type="dxa" w:w="80"/>
              <w:left w:type="dxa" w:w="120"/>
              <w:bottom w:type="dxa" w:w="80"/>
              <w:right w:type="dxa" w:w="120"/>
            </w:tcMar>
          </w:tcPr>
          <w:p>
            <w:pPr>
              <w:spacing w:after="0" w:line="260"/>
            </w:pPr>
            <w:r>
              <w:rPr>
                <w:b/>
                <w:bCs/>
                <w:color w:val="FFFFFF"/>
                <w:sz w:val="22"/>
                <w:szCs w:val="22"/>
              </w:rPr>
              <w:t xml:space="preserve">Price</w:t>
            </w:r>
          </w:p>
        </w:tc>
        <w:tc>
          <w:tcPr>
            <w:tcW w:type="dxa" w:w="2760"/>
            <w:shd w:fill="0B4A36" w:color="auto" w:val="clear"/>
            <w:tcMar>
              <w:top w:type="dxa" w:w="80"/>
              <w:left w:type="dxa" w:w="120"/>
              <w:bottom w:type="dxa" w:w="80"/>
              <w:right w:type="dxa" w:w="120"/>
            </w:tcMar>
          </w:tcPr>
          <w:p>
            <w:pPr>
              <w:spacing w:after="0" w:line="260"/>
            </w:pPr>
            <w:r>
              <w:rPr>
                <w:b/>
                <w:bCs/>
                <w:color w:val="FFFFFF"/>
                <w:sz w:val="22"/>
                <w:szCs w:val="22"/>
              </w:rPr>
              <w:t xml:space="preserve">When it applies</w:t>
            </w:r>
          </w:p>
        </w:tc>
        <w:tc>
          <w:tcPr>
            <w:tcW w:type="dxa" w:w="2400"/>
            <w:shd w:fill="0B4A36" w:color="auto" w:val="clear"/>
            <w:tcMar>
              <w:top w:type="dxa" w:w="80"/>
              <w:left w:type="dxa" w:w="120"/>
              <w:bottom w:type="dxa" w:w="80"/>
              <w:right w:type="dxa" w:w="120"/>
            </w:tcMar>
          </w:tcPr>
          <w:p>
            <w:pPr>
              <w:spacing w:after="0" w:line="260"/>
            </w:pPr>
            <w:r>
              <w:rPr>
                <w:b/>
                <w:bCs/>
                <w:color w:val="FFFFFF"/>
                <w:sz w:val="22"/>
                <w:szCs w:val="22"/>
              </w:rPr>
              <w:t xml:space="preserve">Why</w:t>
            </w:r>
          </w:p>
        </w:tc>
      </w:tr>
      <w:tr>
        <w:tc>
          <w:tcPr>
            <w:tcW w:type="dxa" w:w="2100"/>
            <w:tcMar>
              <w:top w:type="dxa" w:w="80"/>
              <w:left w:type="dxa" w:w="120"/>
              <w:bottom w:type="dxa" w:w="80"/>
              <w:right w:type="dxa" w:w="120"/>
            </w:tcMar>
          </w:tcPr>
          <w:p>
            <w:pPr>
              <w:spacing w:after="0" w:line="264"/>
            </w:pPr>
            <w:r>
              <w:rPr>
                <w:b/>
                <w:bCs/>
                <w:i w:val="false"/>
                <w:iCs w:val="false"/>
                <w:color w:val="141414"/>
                <w:sz w:val="22"/>
                <w:szCs w:val="22"/>
              </w:rPr>
              <w:t xml:space="preserve">Founding</w:t>
            </w:r>
          </w:p>
        </w:tc>
        <w:tc>
          <w:tcPr>
            <w:tcW w:type="dxa" w:w="2100"/>
            <w:tcMar>
              <w:top w:type="dxa" w:w="80"/>
              <w:left w:type="dxa" w:w="120"/>
              <w:bottom w:type="dxa" w:w="80"/>
              <w:right w:type="dxa" w:w="120"/>
            </w:tcMar>
          </w:tcPr>
          <w:p>
            <w:pPr>
              <w:spacing w:after="0" w:line="264"/>
            </w:pPr>
            <w:r>
              <w:rPr>
                <w:color w:val="141414"/>
                <w:sz w:val="22"/>
                <w:szCs w:val="22"/>
              </w:rPr>
              <w:t xml:space="preserve">25% success-only</w:t>
            </w:r>
          </w:p>
        </w:tc>
        <w:tc>
          <w:tcPr>
            <w:tcW w:type="dxa" w:w="2760"/>
            <w:tcMar>
              <w:top w:type="dxa" w:w="80"/>
              <w:left w:type="dxa" w:w="120"/>
              <w:bottom w:type="dxa" w:w="80"/>
              <w:right w:type="dxa" w:w="120"/>
            </w:tcMar>
          </w:tcPr>
          <w:p>
            <w:pPr>
              <w:spacing w:after="0" w:line="264"/>
            </w:pPr>
            <w:r>
              <w:rPr>
                <w:color w:val="141414"/>
                <w:sz w:val="22"/>
                <w:szCs w:val="22"/>
              </w:rPr>
              <w:t xml:space="preserve">First ~15 pilot sellers</w:t>
            </w:r>
          </w:p>
        </w:tc>
        <w:tc>
          <w:tcPr>
            <w:tcW w:type="dxa" w:w="2400"/>
            <w:tcMar>
              <w:top w:type="dxa" w:w="80"/>
              <w:left w:type="dxa" w:w="120"/>
              <w:bottom w:type="dxa" w:w="80"/>
              <w:right w:type="dxa" w:w="120"/>
            </w:tcMar>
          </w:tcPr>
          <w:p>
            <w:pPr>
              <w:spacing w:after="0" w:line="264"/>
            </w:pPr>
            <w:r>
              <w:rPr>
                <w:color w:val="141414"/>
                <w:sz w:val="22"/>
                <w:szCs w:val="22"/>
              </w:rPr>
              <w:t xml:space="preserve">Zero-downside; buys proof and testimonials</w:t>
            </w:r>
          </w:p>
        </w:tc>
      </w:tr>
      <w:tr>
        <w:tc>
          <w:tcPr>
            <w:tcW w:type="dxa" w:w="2100"/>
            <w:shd w:fill="F2F6F4" w:color="auto" w:val="clear"/>
            <w:tcMar>
              <w:top w:type="dxa" w:w="80"/>
              <w:left w:type="dxa" w:w="120"/>
              <w:bottom w:type="dxa" w:w="80"/>
              <w:right w:type="dxa" w:w="120"/>
            </w:tcMar>
          </w:tcPr>
          <w:p>
            <w:pPr>
              <w:spacing w:after="0" w:line="264"/>
            </w:pPr>
            <w:r>
              <w:rPr>
                <w:b/>
                <w:bCs/>
                <w:i w:val="false"/>
                <w:iCs w:val="false"/>
                <w:color w:val="141414"/>
                <w:sz w:val="22"/>
                <w:szCs w:val="22"/>
              </w:rPr>
              <w:t xml:space="preserve">Historical Audit</w:t>
            </w:r>
          </w:p>
        </w:tc>
        <w:tc>
          <w:tcPr>
            <w:tcW w:type="dxa" w:w="2100"/>
            <w:shd w:fill="F2F6F4" w:color="auto" w:val="clear"/>
            <w:tcMar>
              <w:top w:type="dxa" w:w="80"/>
              <w:left w:type="dxa" w:w="120"/>
              <w:bottom w:type="dxa" w:w="80"/>
              <w:right w:type="dxa" w:w="120"/>
            </w:tcMar>
          </w:tcPr>
          <w:p>
            <w:pPr>
              <w:spacing w:after="0" w:line="264"/>
            </w:pPr>
            <w:r>
              <w:rPr>
                <w:color w:val="141414"/>
                <w:sz w:val="22"/>
                <w:szCs w:val="22"/>
              </w:rPr>
              <w:t xml:space="preserve">20–25% of confirmed</w:t>
            </w:r>
          </w:p>
        </w:tc>
        <w:tc>
          <w:tcPr>
            <w:tcW w:type="dxa" w:w="2760"/>
            <w:shd w:fill="F2F6F4" w:color="auto" w:val="clear"/>
            <w:tcMar>
              <w:top w:type="dxa" w:w="80"/>
              <w:left w:type="dxa" w:w="120"/>
              <w:bottom w:type="dxa" w:w="80"/>
              <w:right w:type="dxa" w:w="120"/>
            </w:tcMar>
          </w:tcPr>
          <w:p>
            <w:pPr>
              <w:spacing w:after="0" w:line="264"/>
            </w:pPr>
            <w:r>
              <w:rPr>
                <w:color w:val="141414"/>
                <w:sz w:val="22"/>
                <w:szCs w:val="22"/>
              </w:rPr>
              <w:t xml:space="preserve">Standard entry engagement</w:t>
            </w:r>
          </w:p>
        </w:tc>
        <w:tc>
          <w:tcPr>
            <w:tcW w:type="dxa" w:w="2400"/>
            <w:shd w:fill="F2F6F4" w:color="auto" w:val="clear"/>
            <w:tcMar>
              <w:top w:type="dxa" w:w="80"/>
              <w:left w:type="dxa" w:w="120"/>
              <w:bottom w:type="dxa" w:w="80"/>
              <w:right w:type="dxa" w:w="120"/>
            </w:tcMar>
          </w:tcPr>
          <w:p>
            <w:pPr>
              <w:spacing w:after="0" w:line="264"/>
            </w:pPr>
            <w:r>
              <w:rPr>
                <w:color w:val="141414"/>
                <w:sz w:val="22"/>
                <w:szCs w:val="22"/>
              </w:rPr>
              <w:t xml:space="preserve">Higher %: manual, high-value lump</w:t>
            </w:r>
          </w:p>
        </w:tc>
      </w:tr>
      <w:tr>
        <w:tc>
          <w:tcPr>
            <w:tcW w:type="dxa" w:w="2100"/>
            <w:tcMar>
              <w:top w:type="dxa" w:w="80"/>
              <w:left w:type="dxa" w:w="120"/>
              <w:bottom w:type="dxa" w:w="80"/>
              <w:right w:type="dxa" w:w="120"/>
            </w:tcMar>
          </w:tcPr>
          <w:p>
            <w:pPr>
              <w:spacing w:after="0" w:line="264"/>
            </w:pPr>
            <w:r>
              <w:rPr>
                <w:b/>
                <w:bCs/>
                <w:i w:val="false"/>
                <w:iCs w:val="false"/>
                <w:color w:val="141414"/>
                <w:sz w:val="22"/>
                <w:szCs w:val="22"/>
              </w:rPr>
              <w:t xml:space="preserve">Continuous Protection</w:t>
            </w:r>
          </w:p>
        </w:tc>
        <w:tc>
          <w:tcPr>
            <w:tcW w:type="dxa" w:w="2100"/>
            <w:tcMar>
              <w:top w:type="dxa" w:w="80"/>
              <w:left w:type="dxa" w:w="120"/>
              <w:bottom w:type="dxa" w:w="80"/>
              <w:right w:type="dxa" w:w="120"/>
            </w:tcMar>
          </w:tcPr>
          <w:p>
            <w:pPr>
              <w:spacing w:after="0" w:line="264"/>
            </w:pPr>
            <w:r>
              <w:rPr>
                <w:color w:val="141414"/>
                <w:sz w:val="22"/>
                <w:szCs w:val="22"/>
              </w:rPr>
              <w:t xml:space="preserve">R$1,490/mo + 15%</w:t>
            </w:r>
          </w:p>
        </w:tc>
        <w:tc>
          <w:tcPr>
            <w:tcW w:type="dxa" w:w="2760"/>
            <w:tcMar>
              <w:top w:type="dxa" w:w="80"/>
              <w:left w:type="dxa" w:w="120"/>
              <w:bottom w:type="dxa" w:w="80"/>
              <w:right w:type="dxa" w:w="120"/>
            </w:tcMar>
          </w:tcPr>
          <w:p>
            <w:pPr>
              <w:spacing w:after="0" w:line="264"/>
            </w:pPr>
            <w:r>
              <w:rPr>
                <w:color w:val="141414"/>
                <w:sz w:val="22"/>
                <w:szCs w:val="22"/>
              </w:rPr>
              <w:t xml:space="preserve">Post-audit conversion</w:t>
            </w:r>
          </w:p>
        </w:tc>
        <w:tc>
          <w:tcPr>
            <w:tcW w:type="dxa" w:w="2400"/>
            <w:tcMar>
              <w:top w:type="dxa" w:w="80"/>
              <w:left w:type="dxa" w:w="120"/>
              <w:bottom w:type="dxa" w:w="80"/>
              <w:right w:type="dxa" w:w="120"/>
            </w:tcMar>
          </w:tcPr>
          <w:p>
            <w:pPr>
              <w:spacing w:after="0" w:line="264"/>
            </w:pPr>
            <w:r>
              <w:rPr>
                <w:color w:val="141414"/>
                <w:sz w:val="22"/>
                <w:szCs w:val="22"/>
              </w:rPr>
              <w:t xml:space="preserve">Base covers the cost floor; low % as volume automates</w:t>
            </w:r>
          </w:p>
        </w:tc>
      </w:tr>
      <w:tr>
        <w:tc>
          <w:tcPr>
            <w:tcW w:type="dxa" w:w="2100"/>
            <w:shd w:fill="F2F6F4" w:color="auto" w:val="clear"/>
            <w:tcMar>
              <w:top w:type="dxa" w:w="80"/>
              <w:left w:type="dxa" w:w="120"/>
              <w:bottom w:type="dxa" w:w="80"/>
              <w:right w:type="dxa" w:w="120"/>
            </w:tcMar>
          </w:tcPr>
          <w:p>
            <w:pPr>
              <w:spacing w:after="0" w:line="264"/>
            </w:pPr>
            <w:r>
              <w:rPr>
                <w:b/>
                <w:bCs/>
                <w:i w:val="false"/>
                <w:iCs w:val="false"/>
                <w:color w:val="141414"/>
                <w:sz w:val="22"/>
                <w:szCs w:val="22"/>
              </w:rPr>
              <w:t xml:space="preserve">White-Label</w:t>
            </w:r>
          </w:p>
        </w:tc>
        <w:tc>
          <w:tcPr>
            <w:tcW w:type="dxa" w:w="2100"/>
            <w:shd w:fill="F2F6F4" w:color="auto" w:val="clear"/>
            <w:tcMar>
              <w:top w:type="dxa" w:w="80"/>
              <w:left w:type="dxa" w:w="120"/>
              <w:bottom w:type="dxa" w:w="80"/>
              <w:right w:type="dxa" w:w="120"/>
            </w:tcMar>
          </w:tcPr>
          <w:p>
            <w:pPr>
              <w:spacing w:after="0" w:line="264"/>
            </w:pPr>
            <w:r>
              <w:rPr>
                <w:color w:val="141414"/>
                <w:sz w:val="22"/>
                <w:szCs w:val="22"/>
              </w:rPr>
              <w:t xml:space="preserve">8–14% net to VOLTA</w:t>
            </w:r>
          </w:p>
        </w:tc>
        <w:tc>
          <w:tcPr>
            <w:tcW w:type="dxa" w:w="2760"/>
            <w:shd w:fill="F2F6F4" w:color="auto" w:val="clear"/>
            <w:tcMar>
              <w:top w:type="dxa" w:w="80"/>
              <w:left w:type="dxa" w:w="120"/>
              <w:bottom w:type="dxa" w:w="80"/>
              <w:right w:type="dxa" w:w="120"/>
            </w:tcMar>
          </w:tcPr>
          <w:p>
            <w:pPr>
              <w:spacing w:after="0" w:line="264"/>
            </w:pPr>
            <w:r>
              <w:rPr>
                <w:color w:val="141414"/>
                <w:sz w:val="22"/>
                <w:szCs w:val="22"/>
              </w:rPr>
              <w:t xml:space="preserve">Partner portfolios</w:t>
            </w:r>
          </w:p>
        </w:tc>
        <w:tc>
          <w:tcPr>
            <w:tcW w:type="dxa" w:w="2400"/>
            <w:shd w:fill="F2F6F4" w:color="auto" w:val="clear"/>
            <w:tcMar>
              <w:top w:type="dxa" w:w="80"/>
              <w:left w:type="dxa" w:w="120"/>
              <w:bottom w:type="dxa" w:w="80"/>
              <w:right w:type="dxa" w:w="120"/>
            </w:tcMar>
          </w:tcPr>
          <w:p>
            <w:pPr>
              <w:spacing w:after="0" w:line="264"/>
            </w:pPr>
            <w:r>
              <w:rPr>
                <w:color w:val="141414"/>
                <w:sz w:val="22"/>
                <w:szCs w:val="22"/>
              </w:rPr>
              <w:t xml:space="preserve">Partner owns the client; near-zero acquisition cost</w:t>
            </w:r>
          </w:p>
        </w:tc>
      </w:tr>
    </w:tbl>
    <w:p>
      <w:pPr>
        <w:spacing w:after="60"/>
      </w:pPr>
      <w:r>
        <w:t xml:space="preserve"/>
      </w:r>
    </w:p>
    <w:p>
      <w:r>
        <w:t xml:space="preserve">No setup fee, no charge for value merely identified, no fee on rejected or abandoned cases, no fee for credits approved before VOLTA’s involvement, and no fee until the credit appears in the seller’s records. Every agreement fixes attribution: a case ID, a baseline date, the submitted amount, the confirmed credit, and the fee.</w:t>
      </w:r>
    </w:p>
    <w:p>
      <w:pPr>
        <w:pStyle w:val="Heading1"/>
      </w:pPr>
      <w:r>
        <w:t xml:space="preserve">7.  How VOLTA Gets Paid</w:t>
      </w:r>
    </w:p>
    <w:p>
      <w:r>
        <w:t xml:space="preserve">VOLTA never touches the recovered money — the credit lands in the seller’s Mercado Pago account. So “getting paid” is two problems: making the fee undeniably owed (attribution), and collecting it (collection).</w:t>
      </w:r>
    </w:p>
    <w:p>
      <w:pPr>
        <w:pStyle w:val="Heading3"/>
      </w:pPr>
      <w:r>
        <w:t xml:space="preserve">Attribution</w:t>
      </w:r>
    </w:p>
    <w:p>
      <w:pPr>
        <w:pStyle w:val="ListParagraph"/>
        <w:numPr>
          <w:ilvl w:val="0"/>
          <w:numId w:val="1"/>
        </w:numPr>
        <w:spacing w:after="90" w:line="340"/>
      </w:pPr>
      <w:r>
        <w:rPr>
          <w:b/>
          <w:bCs/>
        </w:rPr>
        <w:t xml:space="preserve">Baseline snapshot at case creation </w:t>
      </w:r>
      <w:r>
        <w:t xml:space="preserve">records every credit already in flight — VOLTA never bills for money that was already coming.</w:t>
      </w:r>
    </w:p>
    <w:p>
      <w:pPr>
        <w:pStyle w:val="ListParagraph"/>
        <w:numPr>
          <w:ilvl w:val="0"/>
          <w:numId w:val="1"/>
        </w:numPr>
        <w:spacing w:after="90" w:line="340"/>
      </w:pPr>
      <w:r>
        <w:rPr>
          <w:b/>
          <w:bCs/>
        </w:rPr>
        <w:t xml:space="preserve">Only VOLTA-submitted cases </w:t>
      </w:r>
      <w:r>
        <w:t xml:space="preserve">that posted after the baseline, matched on the claim reference, are billable.</w:t>
      </w:r>
    </w:p>
    <w:p>
      <w:pPr>
        <w:pStyle w:val="ListParagraph"/>
        <w:numPr>
          <w:ilvl w:val="0"/>
          <w:numId w:val="1"/>
        </w:numPr>
        <w:spacing w:after="90" w:line="340"/>
      </w:pPr>
      <w:r>
        <w:rPr>
          <w:b/>
          <w:bCs/>
        </w:rPr>
        <w:t xml:space="preserve">Confirmation against the seller’s own Mercado Pago report </w:t>
      </w:r>
      <w:r>
        <w:t xml:space="preserve">is objective, shared truth — the seller cannot credibly deny a credit in their own statement.</w:t>
      </w:r>
    </w:p>
    <w:p>
      <w:pPr>
        <w:pStyle w:val="Heading3"/>
      </w:pPr>
      <w:r>
        <w:t xml:space="preserve">Collection</w:t>
      </w:r>
    </w:p>
    <w:tbl>
      <w:tblPr>
        <w:tblW w:type="dxa" w:w="9360"/>
        <w:tblBorders>
          <w:top w:val="single" w:color="BCD8CC" w:sz="6"/>
          <w:left w:val="single" w:color="0A6E4C" w:sz="24"/>
          <w:bottom w:val="single" w:color="BCD8CC" w:sz="6"/>
          <w:right w:val="single" w:color="BCD8CC" w:sz="6"/>
          <w:insideH w:val="none"/>
          <w:insideV w:val="none"/>
        </w:tblBorders>
      </w:tblPr>
      <w:tblGrid>
        <w:gridCol w:w="9360"/>
      </w:tblGrid>
      <w:tr>
        <w:tc>
          <w:tcPr>
            <w:tcW w:type="dxa" w:w="9360"/>
            <w:shd w:fill="E9F2ED" w:color="auto" w:val="clear"/>
            <w:tcMar>
              <w:top w:type="dxa" w:w="130"/>
              <w:left w:type="dxa" w:w="180"/>
              <w:bottom w:type="dxa" w:w="130"/>
              <w:right w:type="dxa" w:w="180"/>
            </w:tcMar>
          </w:tcPr>
          <w:p>
            <w:r>
              <w:rPr>
                <w:b/>
                <w:bCs/>
                <w:color w:val="0B4A36"/>
              </w:rPr>
              <w:t xml:space="preserve">Zero-downside is not zero-authorization.  </w:t>
            </w:r>
            <w:r>
              <w:t xml:space="preserve">Capture a pre-authorized payment mandate at onboarding — before delivering any value — even though nothing is charged until a credit is confirmed. In Brazil: Pix Automático, card-on-file, or débito automático via a processor (Asaas, Iugu, Mercado Pago). The pitch stays intact; collection stops depending on goodwill. The mandate IS the seller’s standing authorization for routine fees; a human release gate still covers any large or ambiguous fee (see Section 23).</w:t>
            </w:r>
          </w:p>
        </w:tc>
      </w:tr>
    </w:tbl>
    <w:p>
      <w:r>
        <w:t xml:space="preserve">The billing pipeline then runs itself: a Mercado Pago credit line matches the open case after baseline → the fee is computed in code → the NFS-e is auto-issued (taxed only on VOLTA’s fee) → the pre-authorized method is charged. Guards keep it safe unattended: dedup so a credit is never double-billed, a clawback watch if a credit later reverses, and a human release for any fee above a threshold. Collection costs roughly zero human minutes — a direct contribution to the north-star metric.</w:t>
      </w:r>
    </w:p>
    <w:p>
      <w:pPr>
        <w:pStyle w:val="Heading1"/>
      </w:pPr>
      <w:r>
        <w:t xml:space="preserve">8.  Market Size &amp; Income Scaling — Brazil</w:t>
      </w:r>
    </w:p>
    <w:p>
      <w:r>
        <w:t xml:space="preserve">VOLTA is a Brazil-only business by choice. Scaling comes from distribution (white-label) and automation (falling minutes-per-case), not headcount. The figures below are order-of-magnitude estimates to tighten in the pilot, not researched market data.</w:t>
      </w:r>
    </w:p>
    <w:tbl>
      <w:tblPr>
        <w:tblW w:type="dxa" w:w="9360"/>
        <w:tblBorders>
          <w:top w:val="single" w:color="C9D6D0" w:sz="4"/>
          <w:left w:val="single" w:color="C9D6D0" w:sz="4"/>
          <w:bottom w:val="single" w:color="C9D6D0" w:sz="4"/>
          <w:right w:val="single" w:color="C9D6D0" w:sz="4"/>
          <w:insideH w:val="single" w:color="C9D6D0" w:sz="4"/>
          <w:insideV w:val="single" w:color="C9D6D0" w:sz="4"/>
        </w:tblBorders>
      </w:tblPr>
      <w:tblGrid>
        <w:gridCol w:w="3600"/>
        <w:gridCol w:w="1900"/>
        <w:gridCol w:w="3860"/>
      </w:tblGrid>
      <w:tr>
        <w:trPr>
          <w:tblHeader/>
        </w:trPr>
        <w:tc>
          <w:tcPr>
            <w:tcW w:type="dxa" w:w="3600"/>
            <w:shd w:fill="0B4A36" w:color="auto" w:val="clear"/>
            <w:tcMar>
              <w:top w:type="dxa" w:w="80"/>
              <w:left w:type="dxa" w:w="120"/>
              <w:bottom w:type="dxa" w:w="80"/>
              <w:right w:type="dxa" w:w="120"/>
            </w:tcMar>
          </w:tcPr>
          <w:p>
            <w:pPr>
              <w:spacing w:after="0" w:line="260"/>
            </w:pPr>
            <w:r>
              <w:rPr>
                <w:b/>
                <w:bCs/>
                <w:color w:val="FFFFFF"/>
                <w:sz w:val="22"/>
                <w:szCs w:val="22"/>
              </w:rPr>
              <w:t xml:space="preserve">Layer (Brazil)</w:t>
            </w:r>
          </w:p>
        </w:tc>
        <w:tc>
          <w:tcPr>
            <w:tcW w:type="dxa" w:w="1900"/>
            <w:shd w:fill="0B4A36" w:color="auto" w:val="clear"/>
            <w:tcMar>
              <w:top w:type="dxa" w:w="80"/>
              <w:left w:type="dxa" w:w="120"/>
              <w:bottom w:type="dxa" w:w="80"/>
              <w:right w:type="dxa" w:w="120"/>
            </w:tcMar>
          </w:tcPr>
          <w:p>
            <w:pPr>
              <w:spacing w:after="0" w:line="260"/>
            </w:pPr>
            <w:r>
              <w:rPr>
                <w:b/>
                <w:bCs/>
                <w:color w:val="FFFFFF"/>
                <w:sz w:val="22"/>
                <w:szCs w:val="22"/>
              </w:rPr>
              <w:t xml:space="preserve">Sellers (est.)</w:t>
            </w:r>
          </w:p>
        </w:tc>
        <w:tc>
          <w:tcPr>
            <w:tcW w:type="dxa" w:w="3860"/>
            <w:shd w:fill="0B4A36" w:color="auto" w:val="clear"/>
            <w:tcMar>
              <w:top w:type="dxa" w:w="80"/>
              <w:left w:type="dxa" w:w="120"/>
              <w:bottom w:type="dxa" w:w="80"/>
              <w:right w:type="dxa" w:w="120"/>
            </w:tcMar>
          </w:tcPr>
          <w:p>
            <w:pPr>
              <w:spacing w:after="0" w:line="260"/>
            </w:pPr>
            <w:r>
              <w:rPr>
                <w:b/>
                <w:bCs/>
                <w:color w:val="FFFFFF"/>
                <w:sz w:val="22"/>
                <w:szCs w:val="22"/>
              </w:rPr>
              <w:t xml:space="preserve">Basis</w:t>
            </w:r>
          </w:p>
        </w:tc>
      </w:tr>
      <w:tr>
        <w:tc>
          <w:tcPr>
            <w:tcW w:type="dxa" w:w="3600"/>
            <w:tcMar>
              <w:top w:type="dxa" w:w="80"/>
              <w:left w:type="dxa" w:w="120"/>
              <w:bottom w:type="dxa" w:w="80"/>
              <w:right w:type="dxa" w:w="120"/>
            </w:tcMar>
          </w:tcPr>
          <w:p>
            <w:pPr>
              <w:spacing w:after="0" w:line="264"/>
            </w:pPr>
            <w:r>
              <w:rPr>
                <w:b/>
                <w:bCs/>
                <w:i w:val="false"/>
                <w:iCs w:val="false"/>
                <w:color w:val="141414"/>
                <w:sz w:val="22"/>
                <w:szCs w:val="22"/>
              </w:rPr>
              <w:t xml:space="preserve">TAM — professional NF-e sellers on ML</w:t>
            </w:r>
          </w:p>
        </w:tc>
        <w:tc>
          <w:tcPr>
            <w:tcW w:type="dxa" w:w="1900"/>
            <w:tcMar>
              <w:top w:type="dxa" w:w="80"/>
              <w:left w:type="dxa" w:w="120"/>
              <w:bottom w:type="dxa" w:w="80"/>
              <w:right w:type="dxa" w:w="120"/>
            </w:tcMar>
          </w:tcPr>
          <w:p>
            <w:pPr>
              <w:spacing w:after="0" w:line="264"/>
            </w:pPr>
            <w:r>
              <w:rPr>
                <w:color w:val="141414"/>
                <w:sz w:val="22"/>
                <w:szCs w:val="22"/>
              </w:rPr>
              <w:t xml:space="preserve">180k–220k</w:t>
            </w:r>
          </w:p>
        </w:tc>
        <w:tc>
          <w:tcPr>
            <w:tcW w:type="dxa" w:w="3860"/>
            <w:tcMar>
              <w:top w:type="dxa" w:w="80"/>
              <w:left w:type="dxa" w:w="120"/>
              <w:bottom w:type="dxa" w:w="80"/>
              <w:right w:type="dxa" w:w="120"/>
            </w:tcMar>
          </w:tcPr>
          <w:p>
            <w:pPr>
              <w:spacing w:after="0" w:line="264"/>
            </w:pPr>
            <w:r>
              <w:rPr>
                <w:color w:val="141414"/>
                <w:sz w:val="22"/>
                <w:szCs w:val="22"/>
              </w:rPr>
              <w:t xml:space="preserve">CNPJ sellers issuing NF-e (modelo 55); excludes Model-6 and hobby sellers</w:t>
            </w:r>
          </w:p>
        </w:tc>
      </w:tr>
      <w:tr>
        <w:tc>
          <w:tcPr>
            <w:tcW w:type="dxa" w:w="3600"/>
            <w:shd w:fill="F2F6F4" w:color="auto" w:val="clear"/>
            <w:tcMar>
              <w:top w:type="dxa" w:w="80"/>
              <w:left w:type="dxa" w:w="120"/>
              <w:bottom w:type="dxa" w:w="80"/>
              <w:right w:type="dxa" w:w="120"/>
            </w:tcMar>
          </w:tcPr>
          <w:p>
            <w:pPr>
              <w:spacing w:after="0" w:line="264"/>
            </w:pPr>
            <w:r>
              <w:rPr>
                <w:b/>
                <w:bCs/>
                <w:i w:val="false"/>
                <w:iCs w:val="false"/>
                <w:color w:val="141414"/>
                <w:sz w:val="22"/>
                <w:szCs w:val="22"/>
              </w:rPr>
              <w:t xml:space="preserve">SAM — Full + scale, after filters</w:t>
            </w:r>
          </w:p>
        </w:tc>
        <w:tc>
          <w:tcPr>
            <w:tcW w:type="dxa" w:w="1900"/>
            <w:shd w:fill="F2F6F4" w:color="auto" w:val="clear"/>
            <w:tcMar>
              <w:top w:type="dxa" w:w="80"/>
              <w:left w:type="dxa" w:w="120"/>
              <w:bottom w:type="dxa" w:w="80"/>
              <w:right w:type="dxa" w:w="120"/>
            </w:tcMar>
          </w:tcPr>
          <w:p>
            <w:pPr>
              <w:spacing w:after="0" w:line="264"/>
            </w:pPr>
            <w:r>
              <w:rPr>
                <w:color w:val="141414"/>
                <w:sz w:val="22"/>
                <w:szCs w:val="22"/>
              </w:rPr>
              <w:t xml:space="preserve">20k–30k</w:t>
            </w:r>
          </w:p>
        </w:tc>
        <w:tc>
          <w:tcPr>
            <w:tcW w:type="dxa" w:w="3860"/>
            <w:shd w:fill="F2F6F4" w:color="auto" w:val="clear"/>
            <w:tcMar>
              <w:top w:type="dxa" w:w="80"/>
              <w:left w:type="dxa" w:w="120"/>
              <w:bottom w:type="dxa" w:w="80"/>
              <w:right w:type="dxa" w:w="120"/>
            </w:tcMar>
          </w:tcPr>
          <w:p>
            <w:pPr>
              <w:spacing w:after="0" w:line="264"/>
            </w:pPr>
            <w:r>
              <w:rPr>
                <w:color w:val="141414"/>
                <w:sz w:val="22"/>
                <w:szCs w:val="22"/>
              </w:rPr>
              <w:t xml:space="preserve">On Full, real GMV, recoverable leakage, OAuth-connectable, keeps NF-e</w:t>
            </w:r>
          </w:p>
        </w:tc>
      </w:tr>
      <w:tr>
        <w:tc>
          <w:tcPr>
            <w:tcW w:type="dxa" w:w="3600"/>
            <w:tcMar>
              <w:top w:type="dxa" w:w="80"/>
              <w:left w:type="dxa" w:w="120"/>
              <w:bottom w:type="dxa" w:w="80"/>
              <w:right w:type="dxa" w:w="120"/>
            </w:tcMar>
          </w:tcPr>
          <w:p>
            <w:pPr>
              <w:spacing w:after="0" w:line="264"/>
            </w:pPr>
            <w:r>
              <w:rPr>
                <w:b/>
                <w:bCs/>
                <w:i w:val="false"/>
                <w:iCs w:val="false"/>
                <w:color w:val="141414"/>
                <w:sz w:val="22"/>
                <w:szCs w:val="22"/>
              </w:rPr>
              <w:t xml:space="preserve">SOM — a credible 24–36 mo beachhead</w:t>
            </w:r>
          </w:p>
        </w:tc>
        <w:tc>
          <w:tcPr>
            <w:tcW w:type="dxa" w:w="1900"/>
            <w:tcMar>
              <w:top w:type="dxa" w:w="80"/>
              <w:left w:type="dxa" w:w="120"/>
              <w:bottom w:type="dxa" w:w="80"/>
              <w:right w:type="dxa" w:w="120"/>
            </w:tcMar>
          </w:tcPr>
          <w:p>
            <w:pPr>
              <w:spacing w:after="0" w:line="264"/>
            </w:pPr>
            <w:r>
              <w:rPr>
                <w:color w:val="141414"/>
                <w:sz w:val="22"/>
                <w:szCs w:val="22"/>
              </w:rPr>
              <w:t xml:space="preserve">600–1,200</w:t>
            </w:r>
          </w:p>
        </w:tc>
        <w:tc>
          <w:tcPr>
            <w:tcW w:type="dxa" w:w="3860"/>
            <w:tcMar>
              <w:top w:type="dxa" w:w="80"/>
              <w:left w:type="dxa" w:w="120"/>
              <w:bottom w:type="dxa" w:w="80"/>
              <w:right w:type="dxa" w:w="120"/>
            </w:tcMar>
          </w:tcPr>
          <w:p>
            <w:pPr>
              <w:spacing w:after="0" w:line="264"/>
            </w:pPr>
            <w:r>
              <w:rPr>
                <w:color w:val="141414"/>
                <w:sz w:val="22"/>
                <w:szCs w:val="22"/>
              </w:rPr>
              <w:t xml:space="preserve">Reachable via direct + first white-label partners</w:t>
            </w:r>
          </w:p>
        </w:tc>
      </w:tr>
    </w:tbl>
    <w:p>
      <w:pPr>
        <w:spacing w:after="60"/>
      </w:pPr>
      <w:r>
        <w:t xml:space="preserve"/>
      </w:r>
    </w:p>
    <w:p>
      <w:r>
        <w:t xml:space="preserve">Revenue per seller is high for this kind of service, so the beachhead is economically heavy. A few hundred well-served sellers is already a strong company — VOLTA does not need market share, it needs a few hundred good books:</w:t>
      </w:r>
    </w:p>
    <w:tbl>
      <w:tblPr>
        <w:tblW w:type="dxa" w:w="9360"/>
        <w:tblBorders>
          <w:top w:val="single" w:color="C9D6D0" w:sz="4"/>
          <w:left w:val="single" w:color="C9D6D0" w:sz="4"/>
          <w:bottom w:val="single" w:color="C9D6D0" w:sz="4"/>
          <w:right w:val="single" w:color="C9D6D0" w:sz="4"/>
          <w:insideH w:val="single" w:color="C9D6D0" w:sz="4"/>
          <w:insideV w:val="single" w:color="C9D6D0" w:sz="4"/>
        </w:tblBorders>
      </w:tblPr>
      <w:tblGrid>
        <w:gridCol w:w="2600"/>
        <w:gridCol w:w="3200"/>
        <w:gridCol w:w="3560"/>
      </w:tblGrid>
      <w:tr>
        <w:trPr>
          <w:tblHeader/>
        </w:trPr>
        <w:tc>
          <w:tcPr>
            <w:tcW w:type="dxa" w:w="2600"/>
            <w:shd w:fill="0B4A36" w:color="auto" w:val="clear"/>
            <w:tcMar>
              <w:top w:type="dxa" w:w="80"/>
              <w:left w:type="dxa" w:w="120"/>
              <w:bottom w:type="dxa" w:w="80"/>
              <w:right w:type="dxa" w:w="120"/>
            </w:tcMar>
          </w:tcPr>
          <w:p>
            <w:pPr>
              <w:spacing w:after="0" w:line="260"/>
            </w:pPr>
            <w:r>
              <w:rPr>
                <w:b/>
                <w:bCs/>
                <w:color w:val="FFFFFF"/>
                <w:sz w:val="22"/>
                <w:szCs w:val="22"/>
              </w:rPr>
              <w:t xml:space="preserve">Active sellers</w:t>
            </w:r>
          </w:p>
        </w:tc>
        <w:tc>
          <w:tcPr>
            <w:tcW w:type="dxa" w:w="3200"/>
            <w:shd w:fill="0B4A36" w:color="auto" w:val="clear"/>
            <w:tcMar>
              <w:top w:type="dxa" w:w="80"/>
              <w:left w:type="dxa" w:w="120"/>
              <w:bottom w:type="dxa" w:w="80"/>
              <w:right w:type="dxa" w:w="120"/>
            </w:tcMar>
          </w:tcPr>
          <w:p>
            <w:pPr>
              <w:spacing w:after="0" w:line="260"/>
            </w:pPr>
            <w:r>
              <w:rPr>
                <w:b/>
                <w:bCs/>
                <w:color w:val="FFFFFF"/>
                <w:sz w:val="22"/>
                <w:szCs w:val="22"/>
              </w:rPr>
              <w:t xml:space="preserve">Blended R$/seller/mo</w:t>
            </w:r>
          </w:p>
        </w:tc>
        <w:tc>
          <w:tcPr>
            <w:tcW w:type="dxa" w:w="3560"/>
            <w:shd w:fill="0B4A36" w:color="auto" w:val="clear"/>
            <w:tcMar>
              <w:top w:type="dxa" w:w="80"/>
              <w:left w:type="dxa" w:w="120"/>
              <w:bottom w:type="dxa" w:w="80"/>
              <w:right w:type="dxa" w:w="120"/>
            </w:tcMar>
          </w:tcPr>
          <w:p>
            <w:pPr>
              <w:spacing w:after="0" w:line="260"/>
            </w:pPr>
            <w:r>
              <w:rPr>
                <w:b/>
                <w:bCs/>
                <w:color w:val="FFFFFF"/>
                <w:sz w:val="22"/>
                <w:szCs w:val="22"/>
              </w:rPr>
              <w:t xml:space="preserve">≈ Monthly revenue</w:t>
            </w:r>
          </w:p>
        </w:tc>
      </w:tr>
      <w:tr>
        <w:tc>
          <w:tcPr>
            <w:tcW w:type="dxa" w:w="2600"/>
            <w:tcMar>
              <w:top w:type="dxa" w:w="80"/>
              <w:left w:type="dxa" w:w="120"/>
              <w:bottom w:type="dxa" w:w="80"/>
              <w:right w:type="dxa" w:w="120"/>
            </w:tcMar>
          </w:tcPr>
          <w:p>
            <w:pPr>
              <w:spacing w:after="0" w:line="264"/>
            </w:pPr>
            <w:r>
              <w:rPr>
                <w:color w:val="141414"/>
                <w:sz w:val="22"/>
                <w:szCs w:val="22"/>
              </w:rPr>
              <w:t xml:space="preserve">50</w:t>
            </w:r>
          </w:p>
        </w:tc>
        <w:tc>
          <w:tcPr>
            <w:tcW w:type="dxa" w:w="3200"/>
            <w:tcMar>
              <w:top w:type="dxa" w:w="80"/>
              <w:left w:type="dxa" w:w="120"/>
              <w:bottom w:type="dxa" w:w="80"/>
              <w:right w:type="dxa" w:w="120"/>
            </w:tcMar>
          </w:tcPr>
          <w:p>
            <w:pPr>
              <w:spacing w:after="0" w:line="264"/>
            </w:pPr>
            <w:r>
              <w:rPr>
                <w:color w:val="141414"/>
                <w:sz w:val="22"/>
                <w:szCs w:val="22"/>
              </w:rPr>
              <w:t xml:space="preserve">~3,000</w:t>
            </w:r>
          </w:p>
        </w:tc>
        <w:tc>
          <w:tcPr>
            <w:tcW w:type="dxa" w:w="3560"/>
            <w:tcMar>
              <w:top w:type="dxa" w:w="80"/>
              <w:left w:type="dxa" w:w="120"/>
              <w:bottom w:type="dxa" w:w="80"/>
              <w:right w:type="dxa" w:w="120"/>
            </w:tcMar>
          </w:tcPr>
          <w:p>
            <w:pPr>
              <w:spacing w:after="0" w:line="264"/>
            </w:pPr>
            <w:r>
              <w:rPr>
                <w:color w:val="141414"/>
                <w:sz w:val="22"/>
                <w:szCs w:val="22"/>
              </w:rPr>
              <w:t xml:space="preserve">R$150k</w:t>
            </w:r>
          </w:p>
        </w:tc>
      </w:tr>
      <w:tr>
        <w:tc>
          <w:tcPr>
            <w:tcW w:type="dxa" w:w="2600"/>
            <w:shd w:fill="F2F6F4" w:color="auto" w:val="clear"/>
            <w:tcMar>
              <w:top w:type="dxa" w:w="80"/>
              <w:left w:type="dxa" w:w="120"/>
              <w:bottom w:type="dxa" w:w="80"/>
              <w:right w:type="dxa" w:w="120"/>
            </w:tcMar>
          </w:tcPr>
          <w:p>
            <w:pPr>
              <w:spacing w:after="0" w:line="264"/>
            </w:pPr>
            <w:r>
              <w:rPr>
                <w:color w:val="141414"/>
                <w:sz w:val="22"/>
                <w:szCs w:val="22"/>
              </w:rPr>
              <w:t xml:space="preserve">150</w:t>
            </w:r>
          </w:p>
        </w:tc>
        <w:tc>
          <w:tcPr>
            <w:tcW w:type="dxa" w:w="3200"/>
            <w:shd w:fill="F2F6F4" w:color="auto" w:val="clear"/>
            <w:tcMar>
              <w:top w:type="dxa" w:w="80"/>
              <w:left w:type="dxa" w:w="120"/>
              <w:bottom w:type="dxa" w:w="80"/>
              <w:right w:type="dxa" w:w="120"/>
            </w:tcMar>
          </w:tcPr>
          <w:p>
            <w:pPr>
              <w:spacing w:after="0" w:line="264"/>
            </w:pPr>
            <w:r>
              <w:rPr>
                <w:color w:val="141414"/>
                <w:sz w:val="22"/>
                <w:szCs w:val="22"/>
              </w:rPr>
              <w:t xml:space="preserve">~3,200</w:t>
            </w:r>
          </w:p>
        </w:tc>
        <w:tc>
          <w:tcPr>
            <w:tcW w:type="dxa" w:w="3560"/>
            <w:shd w:fill="F2F6F4" w:color="auto" w:val="clear"/>
            <w:tcMar>
              <w:top w:type="dxa" w:w="80"/>
              <w:left w:type="dxa" w:w="120"/>
              <w:bottom w:type="dxa" w:w="80"/>
              <w:right w:type="dxa" w:w="120"/>
            </w:tcMar>
          </w:tcPr>
          <w:p>
            <w:pPr>
              <w:spacing w:after="0" w:line="264"/>
            </w:pPr>
            <w:r>
              <w:rPr>
                <w:color w:val="141414"/>
                <w:sz w:val="22"/>
                <w:szCs w:val="22"/>
              </w:rPr>
              <w:t xml:space="preserve">R$480k</w:t>
            </w:r>
          </w:p>
        </w:tc>
      </w:tr>
      <w:tr>
        <w:tc>
          <w:tcPr>
            <w:tcW w:type="dxa" w:w="2600"/>
            <w:tcMar>
              <w:top w:type="dxa" w:w="80"/>
              <w:left w:type="dxa" w:w="120"/>
              <w:bottom w:type="dxa" w:w="80"/>
              <w:right w:type="dxa" w:w="120"/>
            </w:tcMar>
          </w:tcPr>
          <w:p>
            <w:pPr>
              <w:spacing w:after="0" w:line="264"/>
            </w:pPr>
            <w:r>
              <w:rPr>
                <w:b/>
                <w:bCs/>
                <w:i w:val="false"/>
                <w:iCs w:val="false"/>
                <w:color w:val="141414"/>
                <w:sz w:val="22"/>
                <w:szCs w:val="22"/>
              </w:rPr>
              <w:t xml:space="preserve">300</w:t>
            </w:r>
          </w:p>
        </w:tc>
        <w:tc>
          <w:tcPr>
            <w:tcW w:type="dxa" w:w="3200"/>
            <w:tcMar>
              <w:top w:type="dxa" w:w="80"/>
              <w:left w:type="dxa" w:w="120"/>
              <w:bottom w:type="dxa" w:w="80"/>
              <w:right w:type="dxa" w:w="120"/>
            </w:tcMar>
          </w:tcPr>
          <w:p>
            <w:pPr>
              <w:spacing w:after="0" w:line="264"/>
            </w:pPr>
            <w:r>
              <w:rPr>
                <w:color w:val="141414"/>
                <w:sz w:val="22"/>
                <w:szCs w:val="22"/>
              </w:rPr>
            </w:r>
          </w:p>
        </w:tc>
        <w:tc>
          <w:tcPr>
            <w:tcW w:type="dxa" w:w="3560"/>
            <w:tcMar>
              <w:top w:type="dxa" w:w="80"/>
              <w:left w:type="dxa" w:w="120"/>
              <w:bottom w:type="dxa" w:w="80"/>
              <w:right w:type="dxa" w:w="120"/>
            </w:tcMar>
          </w:tcPr>
          <w:p>
            <w:pPr>
              <w:spacing w:after="0" w:line="264"/>
            </w:pPr>
            <w:r>
              <w:rPr>
                <w:color w:val="141414"/>
                <w:sz w:val="22"/>
                <w:szCs w:val="22"/>
              </w:rPr>
            </w:r>
          </w:p>
        </w:tc>
      </w:tr>
      <w:tr>
        <w:tc>
          <w:tcPr>
            <w:tcW w:type="dxa" w:w="2600"/>
            <w:shd w:fill="F2F6F4" w:color="auto" w:val="clear"/>
            <w:tcMar>
              <w:top w:type="dxa" w:w="80"/>
              <w:left w:type="dxa" w:w="120"/>
              <w:bottom w:type="dxa" w:w="80"/>
              <w:right w:type="dxa" w:w="120"/>
            </w:tcMar>
          </w:tcPr>
          <w:p>
            <w:pPr>
              <w:spacing w:after="0" w:line="264"/>
            </w:pPr>
            <w:r>
              <w:rPr>
                <w:color w:val="141414"/>
                <w:sz w:val="22"/>
                <w:szCs w:val="22"/>
              </w:rPr>
              <w:t xml:space="preserve">600</w:t>
            </w:r>
          </w:p>
        </w:tc>
        <w:tc>
          <w:tcPr>
            <w:tcW w:type="dxa" w:w="3200"/>
            <w:shd w:fill="F2F6F4" w:color="auto" w:val="clear"/>
            <w:tcMar>
              <w:top w:type="dxa" w:w="80"/>
              <w:left w:type="dxa" w:w="120"/>
              <w:bottom w:type="dxa" w:w="80"/>
              <w:right w:type="dxa" w:w="120"/>
            </w:tcMar>
          </w:tcPr>
          <w:p>
            <w:pPr>
              <w:spacing w:after="0" w:line="264"/>
            </w:pPr>
            <w:r>
              <w:rPr>
                <w:color w:val="141414"/>
                <w:sz w:val="22"/>
                <w:szCs w:val="22"/>
              </w:rPr>
              <w:t xml:space="preserve">~3,000</w:t>
            </w:r>
          </w:p>
        </w:tc>
        <w:tc>
          <w:tcPr>
            <w:tcW w:type="dxa" w:w="3560"/>
            <w:shd w:fill="F2F6F4" w:color="auto" w:val="clear"/>
            <w:tcMar>
              <w:top w:type="dxa" w:w="80"/>
              <w:left w:type="dxa" w:w="120"/>
              <w:bottom w:type="dxa" w:w="80"/>
              <w:right w:type="dxa" w:w="120"/>
            </w:tcMar>
          </w:tcPr>
          <w:p>
            <w:pPr>
              <w:spacing w:after="0" w:line="264"/>
            </w:pPr>
            <w:r>
              <w:rPr>
                <w:color w:val="141414"/>
                <w:sz w:val="22"/>
                <w:szCs w:val="22"/>
              </w:rPr>
              <w:t xml:space="preserve">~R$1.8M</w:t>
            </w:r>
          </w:p>
        </w:tc>
      </w:tr>
    </w:tbl>
    <w:p>
      <w:pPr>
        <w:spacing w:after="60"/>
      </w:pPr>
      <w:r>
        <w:t xml:space="preserve"/>
      </w:r>
    </w:p>
    <w:p>
      <w:pPr>
        <w:pStyle w:val="Heading3"/>
      </w:pPr>
      <w:r>
        <w:t xml:space="preserve">A 36-month scaling scenario (targets, not forecasts)</w:t>
      </w:r>
    </w:p>
    <w:p>
      <w:r>
        <w:t xml:space="preserve">Every row past Month 6 depends on one thing: confirmed credits per human hour keeps rising as minutes-per-case falls. The dashboards and self-running billing are what let a tiny team carry a large book.</w:t>
      </w:r>
    </w:p>
    <w:tbl>
      <w:tblPr>
        <w:tblW w:type="dxa" w:w="9360"/>
        <w:tblBorders>
          <w:top w:val="single" w:color="C9D6D0" w:sz="4"/>
          <w:left w:val="single" w:color="C9D6D0" w:sz="4"/>
          <w:bottom w:val="single" w:color="C9D6D0" w:sz="4"/>
          <w:right w:val="single" w:color="C9D6D0" w:sz="4"/>
          <w:insideH w:val="single" w:color="C9D6D0" w:sz="4"/>
          <w:insideV w:val="single" w:color="C9D6D0" w:sz="4"/>
        </w:tblBorders>
      </w:tblPr>
      <w:tblGrid>
        <w:gridCol w:w="2200"/>
        <w:gridCol w:w="1400"/>
        <w:gridCol w:w="1300"/>
        <w:gridCol w:w="2560"/>
        <w:gridCol w:w="1900"/>
      </w:tblGrid>
      <w:tr>
        <w:trPr>
          <w:tblHeader/>
        </w:trPr>
        <w:tc>
          <w:tcPr>
            <w:tcW w:type="dxa" w:w="2200"/>
            <w:shd w:fill="0B4A36" w:color="auto" w:val="clear"/>
            <w:tcMar>
              <w:top w:type="dxa" w:w="80"/>
              <w:left w:type="dxa" w:w="120"/>
              <w:bottom w:type="dxa" w:w="80"/>
              <w:right w:type="dxa" w:w="120"/>
            </w:tcMar>
          </w:tcPr>
          <w:p>
            <w:pPr>
              <w:spacing w:after="0" w:line="260"/>
            </w:pPr>
            <w:r>
              <w:rPr>
                <w:b/>
                <w:bCs/>
                <w:color w:val="FFFFFF"/>
                <w:sz w:val="22"/>
                <w:szCs w:val="22"/>
              </w:rPr>
              <w:t xml:space="preserve">Horizon</w:t>
            </w:r>
          </w:p>
        </w:tc>
        <w:tc>
          <w:tcPr>
            <w:tcW w:type="dxa" w:w="1400"/>
            <w:shd w:fill="0B4A36" w:color="auto" w:val="clear"/>
            <w:tcMar>
              <w:top w:type="dxa" w:w="80"/>
              <w:left w:type="dxa" w:w="120"/>
              <w:bottom w:type="dxa" w:w="80"/>
              <w:right w:type="dxa" w:w="120"/>
            </w:tcMar>
          </w:tcPr>
          <w:p>
            <w:pPr>
              <w:spacing w:after="0" w:line="260"/>
            </w:pPr>
            <w:r>
              <w:rPr>
                <w:b/>
                <w:bCs/>
                <w:color w:val="FFFFFF"/>
                <w:sz w:val="22"/>
                <w:szCs w:val="22"/>
              </w:rPr>
              <w:t xml:space="preserve">Sellers</w:t>
            </w:r>
          </w:p>
        </w:tc>
        <w:tc>
          <w:tcPr>
            <w:tcW w:type="dxa" w:w="1300"/>
            <w:shd w:fill="0B4A36" w:color="auto" w:val="clear"/>
            <w:tcMar>
              <w:top w:type="dxa" w:w="80"/>
              <w:left w:type="dxa" w:w="120"/>
              <w:bottom w:type="dxa" w:w="80"/>
              <w:right w:type="dxa" w:w="120"/>
            </w:tcMar>
          </w:tcPr>
          <w:p>
            <w:pPr>
              <w:spacing w:after="0" w:line="260"/>
            </w:pPr>
            <w:r>
              <w:rPr>
                <w:b/>
                <w:bCs/>
                <w:color w:val="FFFFFF"/>
                <w:sz w:val="22"/>
                <w:szCs w:val="22"/>
              </w:rPr>
              <w:t xml:space="preserve">Min/case</w:t>
            </w:r>
          </w:p>
        </w:tc>
        <w:tc>
          <w:tcPr>
            <w:tcW w:type="dxa" w:w="2560"/>
            <w:shd w:fill="0B4A36" w:color="auto" w:val="clear"/>
            <w:tcMar>
              <w:top w:type="dxa" w:w="80"/>
              <w:left w:type="dxa" w:w="120"/>
              <w:bottom w:type="dxa" w:w="80"/>
              <w:right w:type="dxa" w:w="120"/>
            </w:tcMar>
          </w:tcPr>
          <w:p>
            <w:pPr>
              <w:spacing w:after="0" w:line="260"/>
            </w:pPr>
            <w:r>
              <w:rPr>
                <w:b/>
                <w:bCs/>
                <w:color w:val="FFFFFF"/>
                <w:sz w:val="22"/>
                <w:szCs w:val="22"/>
              </w:rPr>
              <w:t xml:space="preserve">North-star (R$/human-hr)</w:t>
            </w:r>
          </w:p>
        </w:tc>
        <w:tc>
          <w:tcPr>
            <w:tcW w:type="dxa" w:w="1900"/>
            <w:shd w:fill="0B4A36" w:color="auto" w:val="clear"/>
            <w:tcMar>
              <w:top w:type="dxa" w:w="80"/>
              <w:left w:type="dxa" w:w="120"/>
              <w:bottom w:type="dxa" w:w="80"/>
              <w:right w:type="dxa" w:w="120"/>
            </w:tcMar>
          </w:tcPr>
          <w:p>
            <w:pPr>
              <w:spacing w:after="0" w:line="260"/>
            </w:pPr>
            <w:r>
              <w:rPr>
                <w:b/>
                <w:bCs/>
                <w:color w:val="FFFFFF"/>
                <w:sz w:val="22"/>
                <w:szCs w:val="22"/>
              </w:rPr>
              <w:t xml:space="preserve">≈ Revenue/mo</w:t>
            </w:r>
          </w:p>
        </w:tc>
      </w:tr>
      <w:tr>
        <w:tc>
          <w:tcPr>
            <w:tcW w:type="dxa" w:w="2200"/>
            <w:tcMar>
              <w:top w:type="dxa" w:w="80"/>
              <w:left w:type="dxa" w:w="120"/>
              <w:bottom w:type="dxa" w:w="80"/>
              <w:right w:type="dxa" w:w="120"/>
            </w:tcMar>
          </w:tcPr>
          <w:p>
            <w:pPr>
              <w:spacing w:after="0" w:line="264"/>
            </w:pPr>
            <w:r>
              <w:rPr>
                <w:color w:val="141414"/>
                <w:sz w:val="22"/>
                <w:szCs w:val="22"/>
              </w:rPr>
              <w:t xml:space="preserve">M0–6 (thin, shadow→live)</w:t>
            </w:r>
          </w:p>
        </w:tc>
        <w:tc>
          <w:tcPr>
            <w:tcW w:type="dxa" w:w="1400"/>
            <w:tcMar>
              <w:top w:type="dxa" w:w="80"/>
              <w:left w:type="dxa" w:w="120"/>
              <w:bottom w:type="dxa" w:w="80"/>
              <w:right w:type="dxa" w:w="120"/>
            </w:tcMar>
          </w:tcPr>
          <w:p>
            <w:pPr>
              <w:spacing w:after="0" w:line="264"/>
            </w:pPr>
            <w:r>
              <w:rPr>
                <w:color w:val="141414"/>
                <w:sz w:val="22"/>
                <w:szCs w:val="22"/>
              </w:rPr>
              <w:t xml:space="preserve">20–40</w:t>
            </w:r>
          </w:p>
        </w:tc>
        <w:tc>
          <w:tcPr>
            <w:tcW w:type="dxa" w:w="1300"/>
            <w:tcMar>
              <w:top w:type="dxa" w:w="80"/>
              <w:left w:type="dxa" w:w="120"/>
              <w:bottom w:type="dxa" w:w="80"/>
              <w:right w:type="dxa" w:w="120"/>
            </w:tcMar>
          </w:tcPr>
          <w:p>
            <w:pPr>
              <w:spacing w:after="0" w:line="264"/>
            </w:pPr>
            <w:r>
              <w:rPr>
                <w:color w:val="141414"/>
                <w:sz w:val="22"/>
                <w:szCs w:val="22"/>
              </w:rPr>
              <w:t xml:space="preserve">45</w:t>
            </w:r>
          </w:p>
        </w:tc>
        <w:tc>
          <w:tcPr>
            <w:tcW w:type="dxa" w:w="2560"/>
            <w:tcMar>
              <w:top w:type="dxa" w:w="80"/>
              <w:left w:type="dxa" w:w="120"/>
              <w:bottom w:type="dxa" w:w="80"/>
              <w:right w:type="dxa" w:w="120"/>
            </w:tcMar>
          </w:tcPr>
          <w:p>
            <w:pPr>
              <w:spacing w:after="0" w:line="264"/>
            </w:pPr>
            <w:r>
              <w:rPr>
                <w:color w:val="141414"/>
                <w:sz w:val="22"/>
                <w:szCs w:val="22"/>
              </w:rPr>
              <w:t xml:space="preserve">~R$1.5k</w:t>
            </w:r>
          </w:p>
        </w:tc>
        <w:tc>
          <w:tcPr>
            <w:tcW w:type="dxa" w:w="1900"/>
            <w:tcMar>
              <w:top w:type="dxa" w:w="80"/>
              <w:left w:type="dxa" w:w="120"/>
              <w:bottom w:type="dxa" w:w="80"/>
              <w:right w:type="dxa" w:w="120"/>
            </w:tcMar>
          </w:tcPr>
          <w:p>
            <w:pPr>
              <w:spacing w:after="0" w:line="264"/>
            </w:pPr>
            <w:r>
              <w:rPr>
                <w:color w:val="141414"/>
                <w:sz w:val="22"/>
                <w:szCs w:val="22"/>
              </w:rPr>
              <w:t xml:space="preserve">R$60–150k</w:t>
            </w:r>
          </w:p>
        </w:tc>
      </w:tr>
      <w:tr>
        <w:tc>
          <w:tcPr>
            <w:tcW w:type="dxa" w:w="2200"/>
            <w:shd w:fill="F2F6F4" w:color="auto" w:val="clear"/>
            <w:tcMar>
              <w:top w:type="dxa" w:w="80"/>
              <w:left w:type="dxa" w:w="120"/>
              <w:bottom w:type="dxa" w:w="80"/>
              <w:right w:type="dxa" w:w="120"/>
            </w:tcMar>
          </w:tcPr>
          <w:p>
            <w:pPr>
              <w:spacing w:after="0" w:line="264"/>
            </w:pPr>
            <w:r>
              <w:rPr>
                <w:b/>
                <w:bCs/>
                <w:i w:val="false"/>
                <w:iCs w:val="false"/>
                <w:color w:val="141414"/>
                <w:sz w:val="22"/>
                <w:szCs w:val="22"/>
              </w:rPr>
              <w:t xml:space="preserve">M7–18 (first partners)</w:t>
            </w:r>
          </w:p>
        </w:tc>
        <w:tc>
          <w:tcPr>
            <w:tcW w:type="dxa" w:w="1400"/>
            <w:shd w:fill="F2F6F4" w:color="auto" w:val="clear"/>
            <w:tcMar>
              <w:top w:type="dxa" w:w="80"/>
              <w:left w:type="dxa" w:w="120"/>
              <w:bottom w:type="dxa" w:w="80"/>
              <w:right w:type="dxa" w:w="120"/>
            </w:tcMar>
          </w:tcPr>
          <w:p>
            <w:pPr>
              <w:spacing w:after="0" w:line="264"/>
            </w:pPr>
            <w:r>
              <w:rPr>
                <w:color w:val="141414"/>
                <w:sz w:val="22"/>
                <w:szCs w:val="22"/>
              </w:rPr>
              <w:t xml:space="preserve">60–180</w:t>
            </w:r>
          </w:p>
        </w:tc>
        <w:tc>
          <w:tcPr>
            <w:tcW w:type="dxa" w:w="1300"/>
            <w:shd w:fill="F2F6F4" w:color="auto" w:val="clear"/>
            <w:tcMar>
              <w:top w:type="dxa" w:w="80"/>
              <w:left w:type="dxa" w:w="120"/>
              <w:bottom w:type="dxa" w:w="80"/>
              <w:right w:type="dxa" w:w="120"/>
            </w:tcMar>
          </w:tcPr>
          <w:p>
            <w:pPr>
              <w:spacing w:after="0" w:line="264"/>
            </w:pPr>
            <w:r>
              <w:rPr>
                <w:color w:val="141414"/>
                <w:sz w:val="22"/>
                <w:szCs w:val="22"/>
              </w:rPr>
              <w:t xml:space="preserve">25</w:t>
            </w:r>
          </w:p>
        </w:tc>
        <w:tc>
          <w:tcPr>
            <w:tcW w:type="dxa" w:w="2560"/>
            <w:shd w:fill="F2F6F4" w:color="auto" w:val="clear"/>
            <w:tcMar>
              <w:top w:type="dxa" w:w="80"/>
              <w:left w:type="dxa" w:w="120"/>
              <w:bottom w:type="dxa" w:w="80"/>
              <w:right w:type="dxa" w:w="120"/>
            </w:tcMar>
          </w:tcPr>
          <w:p>
            <w:pPr>
              <w:spacing w:after="0" w:line="264"/>
            </w:pPr>
            <w:r>
              <w:rPr>
                <w:color w:val="141414"/>
                <w:sz w:val="22"/>
                <w:szCs w:val="22"/>
              </w:rPr>
              <w:t xml:space="preserve">~R$4k</w:t>
            </w:r>
          </w:p>
        </w:tc>
        <w:tc>
          <w:tcPr>
            <w:tcW w:type="dxa" w:w="1900"/>
            <w:shd w:fill="F2F6F4" w:color="auto" w:val="clear"/>
            <w:tcMar>
              <w:top w:type="dxa" w:w="80"/>
              <w:left w:type="dxa" w:w="120"/>
              <w:bottom w:type="dxa" w:w="80"/>
              <w:right w:type="dxa" w:w="120"/>
            </w:tcMar>
          </w:tcPr>
          <w:p>
            <w:pPr>
              <w:spacing w:after="0" w:line="264"/>
            </w:pPr>
            <w:r>
              <w:rPr>
                <w:color w:val="141414"/>
                <w:sz w:val="22"/>
                <w:szCs w:val="22"/>
              </w:rPr>
              <w:t xml:space="preserve">R$200–580k</w:t>
            </w:r>
          </w:p>
        </w:tc>
      </w:tr>
      <w:tr>
        <w:tc>
          <w:tcPr>
            <w:tcW w:type="dxa" w:w="2200"/>
            <w:tcMar>
              <w:top w:type="dxa" w:w="80"/>
              <w:left w:type="dxa" w:w="120"/>
              <w:bottom w:type="dxa" w:w="80"/>
              <w:right w:type="dxa" w:w="120"/>
            </w:tcMar>
          </w:tcPr>
          <w:p>
            <w:pPr>
              <w:spacing w:after="0" w:line="264"/>
            </w:pPr>
            <w:r>
              <w:rPr>
                <w:b/>
                <w:bCs/>
                <w:i w:val="false"/>
                <w:iCs w:val="false"/>
                <w:color w:val="141414"/>
                <w:sz w:val="22"/>
                <w:szCs w:val="22"/>
              </w:rPr>
              <w:t xml:space="preserve">M19–36 (white-label led)</w:t>
            </w:r>
          </w:p>
        </w:tc>
        <w:tc>
          <w:tcPr>
            <w:tcW w:type="dxa" w:w="1400"/>
            <w:tcMar>
              <w:top w:type="dxa" w:w="80"/>
              <w:left w:type="dxa" w:w="120"/>
              <w:bottom w:type="dxa" w:w="80"/>
              <w:right w:type="dxa" w:w="120"/>
            </w:tcMar>
          </w:tcPr>
          <w:p>
            <w:pPr>
              <w:spacing w:after="0" w:line="264"/>
            </w:pPr>
            <w:r>
              <w:rPr>
                <w:color w:val="141414"/>
                <w:sz w:val="22"/>
                <w:szCs w:val="22"/>
              </w:rPr>
            </w:r>
          </w:p>
        </w:tc>
        <w:tc>
          <w:tcPr>
            <w:tcW w:type="dxa" w:w="1300"/>
            <w:tcMar>
              <w:top w:type="dxa" w:w="80"/>
              <w:left w:type="dxa" w:w="120"/>
              <w:bottom w:type="dxa" w:w="80"/>
              <w:right w:type="dxa" w:w="120"/>
            </w:tcMar>
          </w:tcPr>
          <w:p>
            <w:pPr>
              <w:spacing w:after="0" w:line="264"/>
            </w:pPr>
            <w:r>
              <w:rPr>
                <w:color w:val="141414"/>
                <w:sz w:val="22"/>
                <w:szCs w:val="22"/>
              </w:rPr>
            </w:r>
          </w:p>
        </w:tc>
        <w:tc>
          <w:tcPr>
            <w:tcW w:type="dxa" w:w="2560"/>
            <w:tcMar>
              <w:top w:type="dxa" w:w="80"/>
              <w:left w:type="dxa" w:w="120"/>
              <w:bottom w:type="dxa" w:w="80"/>
              <w:right w:type="dxa" w:w="120"/>
            </w:tcMar>
          </w:tcPr>
          <w:p>
            <w:pPr>
              <w:spacing w:after="0" w:line="264"/>
            </w:pPr>
            <w:r>
              <w:rPr>
                <w:color w:val="141414"/>
                <w:sz w:val="22"/>
                <w:szCs w:val="22"/>
              </w:rPr>
            </w:r>
          </w:p>
        </w:tc>
        <w:tc>
          <w:tcPr>
            <w:tcW w:type="dxa" w:w="1900"/>
            <w:tcMar>
              <w:top w:type="dxa" w:w="80"/>
              <w:left w:type="dxa" w:w="120"/>
              <w:bottom w:type="dxa" w:w="80"/>
              <w:right w:type="dxa" w:w="120"/>
            </w:tcMar>
          </w:tcPr>
          <w:p>
            <w:pPr>
              <w:spacing w:after="0" w:line="264"/>
            </w:pPr>
            <w:r>
              <w:rPr>
                <w:color w:val="141414"/>
                <w:sz w:val="22"/>
                <w:szCs w:val="22"/>
              </w:rPr>
            </w:r>
          </w:p>
        </w:tc>
      </w:tr>
    </w:tbl>
    <w:p>
      <w:pPr>
        <w:pStyle w:val="Heading1"/>
      </w:pPr>
      <w:r>
        <w:t xml:space="preserve">9.  Go-To-Market &amp; the Expansion Ladder</w:t>
      </w:r>
    </w:p>
    <w:p>
      <w:r>
        <w:t xml:space="preserve">The wedge is the free Historical Recovery Audit: connect read-only, review 90–180 days, show a hard number, pitch “you only pay on what you actually receive.” A qualification filter runs first (GMV or Full threshold, keeps NF-e, not Model-6) so effort is never spent on accounts that cannot be served. Target conversions to validate: qualified → signed ~50%; signed → first confirmed credit ~80%; audit → continuous ~60%.</w:t>
      </w:r>
    </w:p>
    <w:p>
      <w:r>
        <w:t xml:space="preserve">The expansion ladder is deliberately Brazil-bounded:</w:t>
      </w:r>
    </w:p>
    <w:p>
      <w:pPr>
        <w:spacing w:after="110" w:line="340"/>
        <w:ind w:left="360" w:hanging="360"/>
      </w:pPr>
      <w:r>
        <w:rPr>
          <w:b/>
          <w:bCs/>
          <w:color w:val="0A6E4C"/>
        </w:rPr>
        <w:t xml:space="preserve">1.  </w:t>
      </w:r>
      <w:r>
        <w:rPr>
          <w:b/>
          <w:bCs/>
        </w:rPr>
        <w:t xml:space="preserve">Deeper penetration — </w:t>
      </w:r>
      <w:r>
        <w:t xml:space="preserve">Continuous Protection becomes the default, and both recoverable pools (Full + Mercado Pago) are worked from one connection.</w:t>
      </w:r>
    </w:p>
    <w:p>
      <w:pPr>
        <w:spacing w:after="110" w:line="340"/>
        <w:ind w:left="360" w:hanging="360"/>
      </w:pPr>
      <w:r>
        <w:rPr>
          <w:b/>
          <w:bCs/>
          <w:color w:val="0A6E4C"/>
        </w:rPr>
        <w:t xml:space="preserve">2.  </w:t>
      </w:r>
      <w:r>
        <w:rPr>
          <w:b/>
          <w:bCs/>
        </w:rPr>
        <w:t xml:space="preserve">White-label distribution inside Brazil — </w:t>
      </w:r>
      <w:r>
        <w:t xml:space="preserve">agencies, ERPs, accountants, and 3PLs bring whole portfolios. This is the scalable acquisition engine; direct sales exists mainly to produce the proof that closes partners.</w:t>
      </w:r>
    </w:p>
    <w:p>
      <w:pPr>
        <w:spacing w:after="110" w:line="340"/>
        <w:ind w:left="360" w:hanging="360"/>
      </w:pPr>
      <w:r>
        <w:rPr>
          <w:b/>
          <w:bCs/>
          <w:color w:val="0A6E4C"/>
        </w:rPr>
        <w:t xml:space="preserve">3.  </w:t>
      </w:r>
      <w:r>
        <w:rPr>
          <w:b/>
          <w:bCs/>
        </w:rPr>
        <w:t xml:space="preserve">Adjacent Brazilian marketplaces, only if it stays KISS — </w:t>
      </w:r>
      <w:r>
        <w:t xml:space="preserve">Amazon Brazil, Shopee, or Magalu are admitted only as a new connector emitting into the same event spine, reusing the same rules, workbench, and dashboards, and only if the new source keeps minutes-per-case within about 20% of the Mercado Livre baseline. If it fails that gate, VOLTA deepens the Mercado Livre book instead.</w:t>
      </w:r>
    </w:p>
    <w:tbl>
      <w:tblPr>
        <w:tblW w:type="dxa" w:w="9360"/>
        <w:tblBorders>
          <w:top w:val="single" w:color="BCD8CC" w:sz="6"/>
          <w:left w:val="single" w:color="0A6E4C" w:sz="24"/>
          <w:bottom w:val="single" w:color="BCD8CC" w:sz="6"/>
          <w:right w:val="single" w:color="BCD8CC" w:sz="6"/>
          <w:insideH w:val="none"/>
          <w:insideV w:val="none"/>
        </w:tblBorders>
      </w:tblPr>
      <w:tblGrid>
        <w:gridCol w:w="9360"/>
      </w:tblGrid>
      <w:tr>
        <w:tc>
          <w:tcPr>
            <w:tcW w:type="dxa" w:w="9360"/>
            <w:shd w:fill="E9F2ED" w:color="auto" w:val="clear"/>
            <w:tcMar>
              <w:top w:type="dxa" w:w="130"/>
              <w:left w:type="dxa" w:w="180"/>
              <w:bottom w:type="dxa" w:w="130"/>
              <w:right w:type="dxa" w:w="180"/>
            </w:tcMar>
          </w:tcPr>
          <w:p>
            <w:r>
              <w:rPr>
                <w:b/>
                <w:bCs/>
                <w:color w:val="0B4A36"/>
              </w:rPr>
              <w:t xml:space="preserve">Out of scope, by choice.  </w:t>
            </w:r>
            <w:r>
              <w:t xml:space="preserve">Going abroad — Mexico, Argentina, the rest of Latin America — is explicitly not the plan, now or in the foreseeable future. Staying in Brazil removes the multi-region, multi-currency, and multi-locale complexity tax and keeps the whole system KISS.</w:t>
            </w:r>
          </w:p>
        </w:tc>
      </w:tr>
    </w:tbl>
    <w:p>
      <w:pPr>
        <w:pStyle w:val="Heading1"/>
      </w:pPr>
      <w:r>
        <w:t xml:space="preserve">10.  Competitive Moat</w:t>
      </w:r>
    </w:p>
    <w:p>
      <w:pPr>
        <w:pStyle w:val="ListParagraph"/>
        <w:numPr>
          <w:ilvl w:val="0"/>
          <w:numId w:val="1"/>
        </w:numPr>
        <w:spacing w:after="90" w:line="340"/>
      </w:pPr>
      <w:r>
        <w:rPr>
          <w:b/>
          <w:bCs/>
        </w:rPr>
        <w:t xml:space="preserve">vs. doing nothing: </w:t>
      </w:r>
      <w:r>
        <w:t xml:space="preserve">the seller’s money silently evaporates and claim windows close; every unaudited month finances the platform’s errors at face value.</w:t>
      </w:r>
    </w:p>
    <w:p>
      <w:pPr>
        <w:pStyle w:val="ListParagraph"/>
        <w:numPr>
          <w:ilvl w:val="0"/>
          <w:numId w:val="1"/>
        </w:numPr>
        <w:spacing w:after="90" w:line="340"/>
      </w:pPr>
      <w:r>
        <w:rPr>
          <w:b/>
          <w:bCs/>
        </w:rPr>
        <w:t xml:space="preserve">vs. an in-house analyst: </w:t>
      </w:r>
      <w:r>
        <w:t xml:space="preserve">a hire reconciles one account slowly, with no cross-seller pattern library and no infrastructure. VOLTA is leverage, not headcount.</w:t>
      </w:r>
    </w:p>
    <w:p>
      <w:pPr>
        <w:pStyle w:val="ListParagraph"/>
        <w:numPr>
          <w:ilvl w:val="0"/>
          <w:numId w:val="1"/>
        </w:numPr>
        <w:spacing w:after="90" w:line="340"/>
      </w:pPr>
      <w:r>
        <w:rPr>
          <w:b/>
          <w:bCs/>
        </w:rPr>
        <w:t xml:space="preserve">vs. a consultancy: </w:t>
      </w:r>
      <w:r>
        <w:t xml:space="preserve">consultants deliver slides; VOLTA delivers credited BRL and invoices only after the money shows up.</w:t>
      </w:r>
    </w:p>
    <w:p>
      <w:r>
        <w:t xml:space="preserve">The durable moat is the workbench plus the accumulating library of which case types the platform actually pays — every confirmed credit teaches it, so confirmed credits per human hour rises with scale. Honestly stated: the software is clonable and the data advantage is real only after scale and only if the platform cooperates. The moat is earned by being first, fast, and compounding data — not by secret technology.</w:t>
      </w:r>
    </w:p>
    <w:p>
      <w:pPr>
        <w:pStyle w:val="Heading1"/>
      </w:pPr>
      <w:r>
        <w:t xml:space="preserve">11.  Validation — The 45-Day Pilot</w:t>
      </w:r>
    </w:p>
    <w:p>
      <w:r>
        <w:t xml:space="preserve">VOLTA is validated before a platform is built. In 45 days: recruit five qualified sellers; sign at least three contingency agreements; review 90–180 days of history; build cases manually with AI and light scripts; submit at least ten well-supported cases; obtain at least one confirmed credit; secure one channel partner; and measure time, documentation burden, approval rate, and recovered value.</w:t>
      </w:r>
    </w:p>
    <w:tbl>
      <w:tblPr>
        <w:tblW w:type="dxa" w:w="9360"/>
        <w:tblBorders>
          <w:top w:val="single" w:color="BCD8CC" w:sz="6"/>
          <w:left w:val="single" w:color="0A6E4C" w:sz="24"/>
          <w:bottom w:val="single" w:color="BCD8CC" w:sz="6"/>
          <w:right w:val="single" w:color="BCD8CC" w:sz="6"/>
          <w:insideH w:val="none"/>
          <w:insideV w:val="none"/>
        </w:tblBorders>
      </w:tblPr>
      <w:tblGrid>
        <w:gridCol w:w="9360"/>
      </w:tblGrid>
      <w:tr>
        <w:tc>
          <w:tcPr>
            <w:tcW w:type="dxa" w:w="9360"/>
            <w:shd w:fill="E9F2ED" w:color="auto" w:val="clear"/>
            <w:tcMar>
              <w:top w:type="dxa" w:w="130"/>
              <w:left w:type="dxa" w:w="180"/>
              <w:bottom w:type="dxa" w:w="130"/>
              <w:right w:type="dxa" w:w="180"/>
            </w:tcMar>
          </w:tcPr>
          <w:p>
            <w:r>
              <w:rPr>
                <w:b/>
                <w:bCs/>
                <w:color w:val="0B4A36"/>
              </w:rPr>
              <w:t xml:space="preserve">The one test that decides everything.  </w:t>
            </w:r>
            <w:r>
              <w:t xml:space="preserve">Across the five sellers, run a controlled A/B: submit half the qualifying cases and deliberately hold the other half. If submitted cases pay materially more, and faster, than the held (auto-resolving) ones — and case-prep stays under 20 minutes as volume rises — the value is real, causally attributable, and leverageable. If held cases pay out on their own at similar rates, VOLTA is billing for the platform’s own process and there is no business.</w:t>
            </w:r>
          </w:p>
        </w:tc>
      </w:tr>
    </w:tbl>
    <w:p>
      <w:pPr>
        <w:pStyle w:val="Heading3"/>
      </w:pPr>
      <w:r>
        <w:t xml:space="preserve">Continue only if / Stop or redesign if</w:t>
      </w:r>
    </w:p>
    <w:p>
      <w:pPr>
        <w:pStyle w:val="ListParagraph"/>
        <w:numPr>
          <w:ilvl w:val="0"/>
          <w:numId w:val="1"/>
        </w:numPr>
        <w:spacing w:after="90" w:line="340"/>
      </w:pPr>
      <w:r>
        <w:rPr>
          <w:b/>
          <w:bCs/>
        </w:rPr>
        <w:t xml:space="preserve">Continue: </w:t>
      </w:r>
      <w:r>
        <w:t xml:space="preserve">the same case types repeat across sellers; at least 3/5 have meaningful opportunity; sellers authorize after seeing evidence; case-prep falls below 20 minutes; economics hold without unsafe access.</w:t>
      </w:r>
    </w:p>
    <w:p>
      <w:pPr>
        <w:pStyle w:val="ListParagraph"/>
        <w:numPr>
          <w:ilvl w:val="0"/>
          <w:numId w:val="1"/>
        </w:numPr>
        <w:spacing w:after="90" w:line="340"/>
      </w:pPr>
      <w:r>
        <w:rPr>
          <w:b/>
          <w:bCs/>
        </w:rPr>
        <w:t xml:space="preserve">Stop or redesign: </w:t>
      </w:r>
      <w:r>
        <w:t xml:space="preserve">most discrepancies auto-resolve; values are consistently too small; every account is bespoke; sellers cannot provide documents; platform rules block the workflow; or false positives damage trust.</w:t>
      </w:r>
    </w:p>
    <w:p>
      <w:pPr>
        <w:pStyle w:val="Heading1"/>
      </w:pPr>
      <w:r>
        <w:t xml:space="preserve">12.  Risks, Objections &amp; Mitigations</w:t>
      </w:r>
    </w:p>
    <w:p>
      <w:r>
        <w:t xml:space="preserve">Airtight means every serious objection is named and answered. Three risks are existential; several wound.</w:t>
      </w:r>
    </w:p>
    <w:tbl>
      <w:tblPr>
        <w:tblW w:type="dxa" w:w="9360"/>
        <w:tblBorders>
          <w:top w:val="single" w:color="C9D6D0" w:sz="4"/>
          <w:left w:val="single" w:color="C9D6D0" w:sz="4"/>
          <w:bottom w:val="single" w:color="C9D6D0" w:sz="4"/>
          <w:right w:val="single" w:color="C9D6D0" w:sz="4"/>
          <w:insideH w:val="single" w:color="C9D6D0" w:sz="4"/>
          <w:insideV w:val="single" w:color="C9D6D0" w:sz="4"/>
        </w:tblBorders>
      </w:tblPr>
      <w:tblGrid>
        <w:gridCol w:w="2900"/>
        <w:gridCol w:w="1700"/>
        <w:gridCol w:w="4760"/>
      </w:tblGrid>
      <w:tr>
        <w:trPr>
          <w:tblHeader/>
        </w:trPr>
        <w:tc>
          <w:tcPr>
            <w:tcW w:type="dxa" w:w="2900"/>
            <w:shd w:fill="0B4A36" w:color="auto" w:val="clear"/>
            <w:tcMar>
              <w:top w:type="dxa" w:w="80"/>
              <w:left w:type="dxa" w:w="120"/>
              <w:bottom w:type="dxa" w:w="80"/>
              <w:right w:type="dxa" w:w="120"/>
            </w:tcMar>
          </w:tcPr>
          <w:p>
            <w:pPr>
              <w:spacing w:after="0" w:line="260"/>
            </w:pPr>
            <w:r>
              <w:rPr>
                <w:b/>
                <w:bCs/>
                <w:color w:val="FFFFFF"/>
                <w:sz w:val="22"/>
                <w:szCs w:val="22"/>
              </w:rPr>
              <w:t xml:space="preserve">Risk</w:t>
            </w:r>
          </w:p>
        </w:tc>
        <w:tc>
          <w:tcPr>
            <w:tcW w:type="dxa" w:w="1700"/>
            <w:shd w:fill="0B4A36" w:color="auto" w:val="clear"/>
            <w:tcMar>
              <w:top w:type="dxa" w:w="80"/>
              <w:left w:type="dxa" w:w="120"/>
              <w:bottom w:type="dxa" w:w="80"/>
              <w:right w:type="dxa" w:w="120"/>
            </w:tcMar>
          </w:tcPr>
          <w:p>
            <w:pPr>
              <w:spacing w:after="0" w:line="260"/>
            </w:pPr>
            <w:r>
              <w:rPr>
                <w:b/>
                <w:bCs/>
                <w:color w:val="FFFFFF"/>
                <w:sz w:val="22"/>
                <w:szCs w:val="22"/>
              </w:rPr>
              <w:t xml:space="preserve">L / Impact</w:t>
            </w:r>
          </w:p>
        </w:tc>
        <w:tc>
          <w:tcPr>
            <w:tcW w:type="dxa" w:w="4760"/>
            <w:shd w:fill="0B4A36" w:color="auto" w:val="clear"/>
            <w:tcMar>
              <w:top w:type="dxa" w:w="80"/>
              <w:left w:type="dxa" w:w="120"/>
              <w:bottom w:type="dxa" w:w="80"/>
              <w:right w:type="dxa" w:w="120"/>
            </w:tcMar>
          </w:tcPr>
          <w:p>
            <w:pPr>
              <w:spacing w:after="0" w:line="260"/>
            </w:pPr>
            <w:r>
              <w:rPr>
                <w:b/>
                <w:bCs/>
                <w:color w:val="FFFFFF"/>
                <w:sz w:val="22"/>
                <w:szCs w:val="22"/>
              </w:rPr>
              <w:t xml:space="preserve">Mitigation and kill / redesign trigger</w:t>
            </w:r>
          </w:p>
        </w:tc>
      </w:tr>
      <w:tr>
        <w:tc>
          <w:tcPr>
            <w:tcW w:type="dxa" w:w="2900"/>
            <w:tcMar>
              <w:top w:type="dxa" w:w="80"/>
              <w:left w:type="dxa" w:w="120"/>
              <w:bottom w:type="dxa" w:w="80"/>
              <w:right w:type="dxa" w:w="120"/>
            </w:tcMar>
          </w:tcPr>
          <w:p>
            <w:pPr>
              <w:spacing w:after="0" w:line="264"/>
            </w:pPr>
            <w:r>
              <w:rPr>
                <w:b/>
                <w:bCs/>
                <w:i w:val="false"/>
                <w:iCs w:val="false"/>
                <w:color w:val="141414"/>
                <w:sz w:val="22"/>
                <w:szCs w:val="22"/>
              </w:rPr>
              <w:t xml:space="preserve">R3  The “no-API-action” wall</w:t>
            </w:r>
          </w:p>
        </w:tc>
        <w:tc>
          <w:tcPr>
            <w:tcW w:type="dxa" w:w="1700"/>
            <w:tcMar>
              <w:top w:type="dxa" w:w="80"/>
              <w:left w:type="dxa" w:w="120"/>
              <w:bottom w:type="dxa" w:w="80"/>
              <w:right w:type="dxa" w:w="120"/>
            </w:tcMar>
          </w:tcPr>
          <w:p>
            <w:pPr>
              <w:spacing w:after="0" w:line="264"/>
            </w:pPr>
            <w:r>
              <w:rPr>
                <w:color w:val="141414"/>
                <w:sz w:val="22"/>
                <w:szCs w:val="22"/>
              </w:rPr>
              <w:t xml:space="preserve">High / Existential</w:t>
            </w:r>
          </w:p>
        </w:tc>
        <w:tc>
          <w:tcPr>
            <w:tcW w:type="dxa" w:w="4760"/>
            <w:tcMar>
              <w:top w:type="dxa" w:w="80"/>
              <w:left w:type="dxa" w:w="120"/>
              <w:bottom w:type="dxa" w:w="80"/>
              <w:right w:type="dxa" w:w="120"/>
            </w:tcMar>
          </w:tcPr>
          <w:p>
            <w:pPr>
              <w:spacing w:after="0" w:line="264"/>
            </w:pPr>
            <w:r>
              <w:rPr>
                <w:color w:val="141414"/>
                <w:sz w:val="22"/>
                <w:szCs w:val="22"/>
              </w:rPr>
              <w:t xml:space="preserve">Claim acceptance and Full reimbursement filing are dashboard-only. Mitigate with a templated Submission Playbook, batching, and routing filing to white-label partners who hold the login. Trigger: north-star flat while candidate value grows → redesign to white-label or narrow to auto-fileable types.</w:t>
            </w:r>
          </w:p>
        </w:tc>
      </w:tr>
      <w:tr>
        <w:tc>
          <w:tcPr>
            <w:tcW w:type="dxa" w:w="2900"/>
            <w:shd w:fill="F2F6F4" w:color="auto" w:val="clear"/>
            <w:tcMar>
              <w:top w:type="dxa" w:w="80"/>
              <w:left w:type="dxa" w:w="120"/>
              <w:bottom w:type="dxa" w:w="80"/>
              <w:right w:type="dxa" w:w="120"/>
            </w:tcMar>
          </w:tcPr>
          <w:p>
            <w:pPr>
              <w:spacing w:after="0" w:line="264"/>
            </w:pPr>
            <w:r>
              <w:rPr>
                <w:b/>
                <w:bCs/>
                <w:i w:val="false"/>
                <w:iCs w:val="false"/>
                <w:color w:val="141414"/>
                <w:sz w:val="22"/>
                <w:szCs w:val="22"/>
              </w:rPr>
              <w:t xml:space="preserve">R1  Pool auto-resolves / ToS</w:t>
            </w:r>
          </w:p>
        </w:tc>
        <w:tc>
          <w:tcPr>
            <w:tcW w:type="dxa" w:w="1700"/>
            <w:shd w:fill="F2F6F4" w:color="auto" w:val="clear"/>
            <w:tcMar>
              <w:top w:type="dxa" w:w="80"/>
              <w:left w:type="dxa" w:w="120"/>
              <w:bottom w:type="dxa" w:w="80"/>
              <w:right w:type="dxa" w:w="120"/>
            </w:tcMar>
          </w:tcPr>
          <w:p>
            <w:pPr>
              <w:spacing w:after="0" w:line="264"/>
            </w:pPr>
            <w:r>
              <w:rPr>
                <w:color w:val="141414"/>
                <w:sz w:val="22"/>
                <w:szCs w:val="22"/>
              </w:rPr>
              <w:t xml:space="preserve">High / Existential</w:t>
            </w:r>
          </w:p>
        </w:tc>
        <w:tc>
          <w:tcPr>
            <w:tcW w:type="dxa" w:w="4760"/>
            <w:shd w:fill="F2F6F4" w:color="auto" w:val="clear"/>
            <w:tcMar>
              <w:top w:type="dxa" w:w="80"/>
              <w:left w:type="dxa" w:w="120"/>
              <w:bottom w:type="dxa" w:w="80"/>
              <w:right w:type="dxa" w:w="120"/>
            </w:tcMar>
          </w:tcPr>
          <w:p>
            <w:pPr>
              <w:spacing w:after="0" w:line="264"/>
            </w:pPr>
            <w:r>
              <w:rPr>
                <w:color w:val="141414"/>
                <w:sz w:val="22"/>
                <w:szCs w:val="22"/>
              </w:rPr>
              <w:t xml:space="preserve">Track auto-resolve rate per rule. Trigger: &gt;60% of a rule auto-resolves → pivot to auditing payout correctness (below-value delta) and the Mercado Pago pool. ToS restriction → keep human-approved only.</w:t>
            </w:r>
          </w:p>
        </w:tc>
      </w:tr>
      <w:tr>
        <w:tc>
          <w:tcPr>
            <w:tcW w:type="dxa" w:w="2900"/>
            <w:tcMar>
              <w:top w:type="dxa" w:w="80"/>
              <w:left w:type="dxa" w:w="120"/>
              <w:bottom w:type="dxa" w:w="80"/>
              <w:right w:type="dxa" w:w="120"/>
            </w:tcMar>
          </w:tcPr>
          <w:p>
            <w:pPr>
              <w:spacing w:after="0" w:line="264"/>
            </w:pPr>
            <w:r>
              <w:rPr>
                <w:b/>
                <w:bCs/>
                <w:i w:val="false"/>
                <w:iCs w:val="false"/>
                <w:color w:val="141414"/>
                <w:sz w:val="22"/>
                <w:szCs w:val="22"/>
              </w:rPr>
              <w:t xml:space="preserve">R2  False positives</w:t>
            </w:r>
          </w:p>
        </w:tc>
        <w:tc>
          <w:tcPr>
            <w:tcW w:type="dxa" w:w="1700"/>
            <w:tcMar>
              <w:top w:type="dxa" w:w="80"/>
              <w:left w:type="dxa" w:w="120"/>
              <w:bottom w:type="dxa" w:w="80"/>
              <w:right w:type="dxa" w:w="120"/>
            </w:tcMar>
          </w:tcPr>
          <w:p>
            <w:pPr>
              <w:spacing w:after="0" w:line="264"/>
            </w:pPr>
            <w:r>
              <w:rPr>
                <w:color w:val="141414"/>
                <w:sz w:val="22"/>
                <w:szCs w:val="22"/>
              </w:rPr>
              <w:t xml:space="preserve">Med-High / Existential</w:t>
            </w:r>
          </w:p>
        </w:tc>
        <w:tc>
          <w:tcPr>
            <w:tcW w:type="dxa" w:w="4760"/>
            <w:tcMar>
              <w:top w:type="dxa" w:w="80"/>
              <w:left w:type="dxa" w:w="120"/>
              <w:bottom w:type="dxa" w:w="80"/>
              <w:right w:type="dxa" w:w="120"/>
            </w:tcMar>
          </w:tcPr>
          <w:p>
            <w:pPr>
              <w:spacing w:after="0" w:line="264"/>
            </w:pPr>
            <w:r>
              <w:rPr>
                <w:color w:val="141414"/>
                <w:sz w:val="22"/>
                <w:szCs w:val="22"/>
              </w:rPr>
              <w:t xml:space="preserve">The LLM never computes money; every surfaced case passes a deterministic rule + human approval + complete evidence. Trigger: FP rate &gt;5% on seller-visible cases → halt surfacing, raise the gate.</w:t>
            </w:r>
          </w:p>
        </w:tc>
      </w:tr>
      <w:tr>
        <w:tc>
          <w:tcPr>
            <w:tcW w:type="dxa" w:w="2900"/>
            <w:shd w:fill="F2F6F4" w:color="auto" w:val="clear"/>
            <w:tcMar>
              <w:top w:type="dxa" w:w="80"/>
              <w:left w:type="dxa" w:w="120"/>
              <w:bottom w:type="dxa" w:w="80"/>
              <w:right w:type="dxa" w:w="120"/>
            </w:tcMar>
          </w:tcPr>
          <w:p>
            <w:pPr>
              <w:spacing w:after="0" w:line="264"/>
            </w:pPr>
            <w:r>
              <w:rPr>
                <w:b/>
                <w:bCs/>
                <w:i w:val="false"/>
                <w:iCs w:val="false"/>
                <w:color w:val="141414"/>
                <w:sz w:val="22"/>
                <w:szCs w:val="22"/>
              </w:rPr>
              <w:t xml:space="preserve">R6  Values too small at steady state</w:t>
            </w:r>
          </w:p>
        </w:tc>
        <w:tc>
          <w:tcPr>
            <w:tcW w:type="dxa" w:w="1700"/>
            <w:shd w:fill="F2F6F4" w:color="auto" w:val="clear"/>
            <w:tcMar>
              <w:top w:type="dxa" w:w="80"/>
              <w:left w:type="dxa" w:w="120"/>
              <w:bottom w:type="dxa" w:w="80"/>
              <w:right w:type="dxa" w:w="120"/>
            </w:tcMar>
          </w:tcPr>
          <w:p>
            <w:pPr>
              <w:spacing w:after="0" w:line="264"/>
            </w:pPr>
            <w:r>
              <w:rPr>
                <w:color w:val="141414"/>
                <w:sz w:val="22"/>
                <w:szCs w:val="22"/>
              </w:rPr>
              <w:t xml:space="preserve">Med-High / High</w:t>
            </w:r>
          </w:p>
        </w:tc>
        <w:tc>
          <w:tcPr>
            <w:tcW w:type="dxa" w:w="4760"/>
            <w:shd w:fill="F2F6F4" w:color="auto" w:val="clear"/>
            <w:tcMar>
              <w:top w:type="dxa" w:w="80"/>
              <w:left w:type="dxa" w:w="120"/>
              <w:bottom w:type="dxa" w:w="80"/>
              <w:right w:type="dxa" w:w="120"/>
            </w:tcMar>
          </w:tcPr>
          <w:p>
            <w:pPr>
              <w:spacing w:after="0" w:line="264"/>
            </w:pPr>
            <w:r>
              <w:rPr>
                <w:color w:val="141414"/>
                <w:sz w:val="22"/>
                <w:szCs w:val="22"/>
              </w:rPr>
              <w:t xml:space="preserve">Trigger: &lt;3/5 sellers show meaningful opportunity, or flow cannot cover R$1,490+15% → drop Continuous, keep Historical only.</w:t>
            </w:r>
          </w:p>
        </w:tc>
      </w:tr>
      <w:tr>
        <w:tc>
          <w:tcPr>
            <w:tcW w:type="dxa" w:w="2900"/>
            <w:tcMar>
              <w:top w:type="dxa" w:w="80"/>
              <w:left w:type="dxa" w:w="120"/>
              <w:bottom w:type="dxa" w:w="80"/>
              <w:right w:type="dxa" w:w="120"/>
            </w:tcMar>
          </w:tcPr>
          <w:p>
            <w:pPr>
              <w:spacing w:after="0" w:line="264"/>
            </w:pPr>
            <w:r>
              <w:rPr>
                <w:b/>
                <w:bCs/>
                <w:i w:val="false"/>
                <w:iCs w:val="false"/>
                <w:color w:val="141414"/>
                <w:sz w:val="22"/>
                <w:szCs w:val="22"/>
              </w:rPr>
              <w:t xml:space="preserve">R4  Attribution disputes</w:t>
            </w:r>
          </w:p>
        </w:tc>
        <w:tc>
          <w:tcPr>
            <w:tcW w:type="dxa" w:w="1700"/>
            <w:tcMar>
              <w:top w:type="dxa" w:w="80"/>
              <w:left w:type="dxa" w:w="120"/>
              <w:bottom w:type="dxa" w:w="80"/>
              <w:right w:type="dxa" w:w="120"/>
            </w:tcMar>
          </w:tcPr>
          <w:p>
            <w:pPr>
              <w:spacing w:after="0" w:line="264"/>
            </w:pPr>
            <w:r>
              <w:rPr>
                <w:color w:val="141414"/>
                <w:sz w:val="22"/>
                <w:szCs w:val="22"/>
              </w:rPr>
              <w:t xml:space="preserve">Med / Med</w:t>
            </w:r>
          </w:p>
        </w:tc>
        <w:tc>
          <w:tcPr>
            <w:tcW w:type="dxa" w:w="4760"/>
            <w:tcMar>
              <w:top w:type="dxa" w:w="80"/>
              <w:left w:type="dxa" w:w="120"/>
              <w:bottom w:type="dxa" w:w="80"/>
              <w:right w:type="dxa" w:w="120"/>
            </w:tcMar>
          </w:tcPr>
          <w:p>
            <w:pPr>
              <w:spacing w:after="0" w:line="264"/>
            </w:pPr>
            <w:r>
              <w:rPr>
                <w:color w:val="141414"/>
                <w:sz w:val="22"/>
                <w:szCs w:val="22"/>
              </w:rPr>
              <w:t xml:space="preserve">Baseline snapshot + submit-vs-hold control. Trigger: &gt;10% of invoices disputed → tighten baseline evidence.</w:t>
            </w:r>
          </w:p>
        </w:tc>
      </w:tr>
      <w:tr>
        <w:tc>
          <w:tcPr>
            <w:tcW w:type="dxa" w:w="2900"/>
            <w:shd w:fill="F2F6F4" w:color="auto" w:val="clear"/>
            <w:tcMar>
              <w:top w:type="dxa" w:w="80"/>
              <w:left w:type="dxa" w:w="120"/>
              <w:bottom w:type="dxa" w:w="80"/>
              <w:right w:type="dxa" w:w="120"/>
            </w:tcMar>
          </w:tcPr>
          <w:p>
            <w:pPr>
              <w:spacing w:after="0" w:line="264"/>
            </w:pPr>
            <w:r>
              <w:rPr>
                <w:b/>
                <w:bCs/>
                <w:i w:val="false"/>
                <w:iCs w:val="false"/>
                <w:color w:val="141414"/>
                <w:sz w:val="22"/>
                <w:szCs w:val="22"/>
              </w:rPr>
              <w:t xml:space="preserve">R7  Goodwill / partner concentration</w:t>
            </w:r>
          </w:p>
        </w:tc>
        <w:tc>
          <w:tcPr>
            <w:tcW w:type="dxa" w:w="1700"/>
            <w:shd w:fill="F2F6F4" w:color="auto" w:val="clear"/>
            <w:tcMar>
              <w:top w:type="dxa" w:w="80"/>
              <w:left w:type="dxa" w:w="120"/>
              <w:bottom w:type="dxa" w:w="80"/>
              <w:right w:type="dxa" w:w="120"/>
            </w:tcMar>
          </w:tcPr>
          <w:p>
            <w:pPr>
              <w:spacing w:after="0" w:line="264"/>
            </w:pPr>
            <w:r>
              <w:rPr>
                <w:color w:val="141414"/>
                <w:sz w:val="22"/>
                <w:szCs w:val="22"/>
              </w:rPr>
              <w:t xml:space="preserve">Med / High</w:t>
            </w:r>
          </w:p>
        </w:tc>
        <w:tc>
          <w:tcPr>
            <w:tcW w:type="dxa" w:w="4760"/>
            <w:shd w:fill="F2F6F4" w:color="auto" w:val="clear"/>
            <w:tcMar>
              <w:top w:type="dxa" w:w="80"/>
              <w:left w:type="dxa" w:w="120"/>
              <w:bottom w:type="dxa" w:w="80"/>
              <w:right w:type="dxa" w:w="120"/>
            </w:tcMar>
          </w:tcPr>
          <w:p>
            <w:pPr>
              <w:spacing w:after="0" w:line="264"/>
            </w:pPr>
            <w:r>
              <w:rPr>
                <w:color w:val="141414"/>
                <w:sz w:val="22"/>
                <w:szCs w:val="22"/>
              </w:rPr>
              <w:t xml:space="preserve">Trigger: any partner &gt;30% of credits, or app suspended → diversify and hold seller-level OAuth.</w:t>
            </w:r>
          </w:p>
        </w:tc>
      </w:tr>
      <w:tr>
        <w:tc>
          <w:tcPr>
            <w:tcW w:type="dxa" w:w="2900"/>
            <w:tcMar>
              <w:top w:type="dxa" w:w="80"/>
              <w:left w:type="dxa" w:w="120"/>
              <w:bottom w:type="dxa" w:w="80"/>
              <w:right w:type="dxa" w:w="120"/>
            </w:tcMar>
          </w:tcPr>
          <w:p>
            <w:pPr>
              <w:spacing w:after="0" w:line="264"/>
            </w:pPr>
            <w:r>
              <w:rPr>
                <w:b/>
                <w:bCs/>
                <w:i w:val="false"/>
                <w:iCs w:val="false"/>
                <w:color w:val="141414"/>
                <w:sz w:val="22"/>
                <w:szCs w:val="22"/>
              </w:rPr>
              <w:t xml:space="preserve">R5  LGPD / contingency legal</w:t>
            </w:r>
          </w:p>
        </w:tc>
        <w:tc>
          <w:tcPr>
            <w:tcW w:type="dxa" w:w="1700"/>
            <w:tcMar>
              <w:top w:type="dxa" w:w="80"/>
              <w:left w:type="dxa" w:w="120"/>
              <w:bottom w:type="dxa" w:w="80"/>
              <w:right w:type="dxa" w:w="120"/>
            </w:tcMar>
          </w:tcPr>
          <w:p>
            <w:pPr>
              <w:spacing w:after="0" w:line="264"/>
            </w:pPr>
            <w:r>
              <w:rPr>
                <w:color w:val="141414"/>
                <w:sz w:val="22"/>
                <w:szCs w:val="22"/>
              </w:rPr>
              <w:t xml:space="preserve">Low-Med / High</w:t>
            </w:r>
          </w:p>
        </w:tc>
        <w:tc>
          <w:tcPr>
            <w:tcW w:type="dxa" w:w="4760"/>
            <w:tcMar>
              <w:top w:type="dxa" w:w="80"/>
              <w:left w:type="dxa" w:w="120"/>
              <w:bottom w:type="dxa" w:w="80"/>
              <w:right w:type="dxa" w:w="120"/>
            </w:tcMar>
          </w:tcPr>
          <w:p>
            <w:pPr>
              <w:spacing w:after="0" w:line="264"/>
            </w:pPr>
            <w:r>
              <w:rPr>
                <w:color w:val="141414"/>
                <w:sz w:val="22"/>
                <w:szCs w:val="22"/>
              </w:rPr>
              <w:t xml:space="preserve">ANPD standard clauses or in-region processing; administrative work only, never judicial representation.</w:t>
            </w:r>
          </w:p>
        </w:tc>
      </w:tr>
    </w:tbl>
    <w:p>
      <w:pPr>
        <w:spacing w:after="80"/>
      </w:pPr>
      <w:r>
        <w:t xml:space="preserve"/>
      </w:r>
    </w:p>
    <w:p>
      <w:pPr>
        <w:pStyle w:val="Heading3"/>
      </w:pPr>
      <w:r>
        <w:t xml:space="preserve">The blunt verdict</w:t>
      </w:r>
    </w:p>
    <w:p>
      <w:r>
        <w:t xml:space="preserve">The engineering is strong, but strong architecture around an unproven core is over-engineering, not a moat. Do not build the platform until the pilot’s controlled A/B proves the recovery is real, large, recurring, and causally VOLTA’s. If it does, the ambitious version is justified; if not, that answer was bought for the price of a 45-day pilot instead of a platform.</w:t>
      </w:r>
    </w:p>
    <w:p>
      <w:r>
        <w:br w:type="page"/>
      </w:r>
    </w:p>
    <w:p>
      <w:pPr>
        <w:spacing w:after="40" w:before="200"/>
      </w:pPr>
      <w:r>
        <w:rPr>
          <w:b/>
          <w:bCs/>
          <w:caps/>
          <w:color w:val="0A6E4C"/>
          <w:sz w:val="22"/>
          <w:szCs w:val="22"/>
        </w:rPr>
        <w:t xml:space="preserve">Part II</w:t>
      </w:r>
    </w:p>
    <w:p>
      <w:pPr>
        <w:pBdr>
          <w:bottom w:val="single" w:color="0B4A36" w:sz="18" w:space="4"/>
        </w:pBdr>
        <w:spacing w:after="60"/>
      </w:pPr>
      <w:r>
        <w:rPr>
          <w:b/>
          <w:bCs/>
          <w:color w:val="0B4A36"/>
          <w:sz w:val="46"/>
          <w:szCs w:val="46"/>
        </w:rPr>
        <w:t xml:space="preserve">The Technology</w:t>
      </w:r>
    </w:p>
    <w:p>
      <w:pPr>
        <w:spacing w:after="120"/>
      </w:pPr>
      <w:r>
        <w:t xml:space="preserve"/>
      </w:r>
    </w:p>
    <w:p>
      <w:pPr>
        <w:pStyle w:val="Heading1"/>
      </w:pPr>
      <w:r>
        <w:t xml:space="preserve">13.  Design Principles &amp; the Core Invariants</w:t>
      </w:r>
    </w:p>
    <w:p>
      <w:pPr>
        <w:spacing w:after="110" w:line="340"/>
        <w:ind w:left="360" w:hanging="360"/>
      </w:pPr>
      <w:r>
        <w:rPr>
          <w:b/>
          <w:bCs/>
          <w:color w:val="0A6E4C"/>
        </w:rPr>
        <w:t xml:space="preserve">1.  </w:t>
      </w:r>
      <w:r>
        <w:rPr>
          <w:b/>
          <w:bCs/>
        </w:rPr>
        <w:t xml:space="preserve">Two invariants, everywhere. </w:t>
      </w:r>
      <w:r>
        <w:t xml:space="preserve">Code computes every centavo, quantity, deadline, and fee, stored as integer centavos — the LLM never writes a number. And a named human authorizes every external action, recorded in an append-only, hash-chained log.</w:t>
      </w:r>
    </w:p>
    <w:p>
      <w:pPr>
        <w:spacing w:after="110" w:line="340"/>
        <w:ind w:left="360" w:hanging="360"/>
      </w:pPr>
      <w:r>
        <w:rPr>
          <w:b/>
          <w:bCs/>
          <w:color w:val="0A6E4C"/>
        </w:rPr>
        <w:t xml:space="preserve">2.  </w:t>
      </w:r>
      <w:r>
        <w:rPr>
          <w:b/>
          <w:bCs/>
        </w:rPr>
        <w:t xml:space="preserve">One spine, three consumers. </w:t>
      </w:r>
      <w:r>
        <w:t xml:space="preserve">A single event spine feeds the Workbench, the Dashboards, and the Automation — and nothing else is a “system.” This is the whole architecture, and the reason it stays legible as it grows.</w:t>
      </w:r>
    </w:p>
    <w:p>
      <w:pPr>
        <w:spacing w:after="110" w:line="340"/>
        <w:ind w:left="360" w:hanging="360"/>
      </w:pPr>
      <w:r>
        <w:rPr>
          <w:b/>
          <w:bCs/>
          <w:color w:val="0A6E4C"/>
        </w:rPr>
        <w:t xml:space="preserve">3.  </w:t>
      </w:r>
      <w:r>
        <w:rPr>
          <w:b/>
          <w:bCs/>
        </w:rPr>
        <w:t xml:space="preserve">The business runs on glass. </w:t>
      </w:r>
      <w:r>
        <w:t xml:space="preserve">Every number that matters is a materialized view over the spine, rendered read-only on a dashboard; humans act only on what a dashboard flags.</w:t>
      </w:r>
    </w:p>
    <w:p>
      <w:pPr>
        <w:spacing w:after="110" w:line="340"/>
        <w:ind w:left="360" w:hanging="360"/>
      </w:pPr>
      <w:r>
        <w:rPr>
          <w:b/>
          <w:bCs/>
          <w:color w:val="0A6E4C"/>
        </w:rPr>
        <w:t xml:space="preserve">4.  </w:t>
      </w:r>
      <w:r>
        <w:rPr>
          <w:b/>
          <w:bCs/>
        </w:rPr>
        <w:t xml:space="preserve">Automate the repetitive, never the accountability. </w:t>
      </w:r>
      <w:r>
        <w:t xml:space="preserve">Onboarding, chasing, statements, billing, and alerts are automated; eligibility, monetary basis, and external submissions stay human-gated.</w:t>
      </w:r>
    </w:p>
    <w:p>
      <w:pPr>
        <w:spacing w:after="110" w:line="340"/>
        <w:ind w:left="360" w:hanging="360"/>
      </w:pPr>
      <w:r>
        <w:rPr>
          <w:b/>
          <w:bCs/>
          <w:color w:val="0A6E4C"/>
        </w:rPr>
        <w:t xml:space="preserve">5.  </w:t>
      </w:r>
      <w:r>
        <w:rPr>
          <w:b/>
          <w:bCs/>
        </w:rPr>
        <w:t xml:space="preserve">Designed for speed, and to scale without breaking. </w:t>
      </w:r>
      <w:r>
        <w:t xml:space="preserve">One language, one datastore, one deployable; server-rendered UI with no build step; thresholds tuned by config while logic stays in versioned code. Growth adds rows and read-capacity, not systems.</w:t>
      </w:r>
    </w:p>
    <w:p>
      <w:pPr>
        <w:pStyle w:val="Heading1"/>
      </w:pPr>
      <w:r>
        <w:t xml:space="preserve">14.  The Architecture — One Spine, Three Consumers</w:t>
      </w:r>
    </w:p>
    <w:p>
      <w:r>
        <w:t xml:space="preserve">VOLTA v2 is one Postgres 16, one Python/FastAPI deployable, one language, plus two deliberately isolated processes: the webhook receiver and the AI service. Everything hangs off a single append-only, hash-chained event spine. It runs in the São Paulo region.</w:t>
      </w:r>
    </w:p>
    <w:p>
      <w:pPr>
        <w:pStyle w:val="Heading3"/>
      </w:pPr>
      <w:r>
        <w:t xml:space="preserve">The spine</w:t>
      </w:r>
    </w:p>
    <w:p>
      <w:pPr>
        <w:spacing w:after="160" w:line="340"/>
      </w:pPr>
      <w:r>
        <w:t xml:space="preserve">Two immutable tables carry all truth. </w:t>
      </w:r>
      <w:r>
        <w:rPr>
          <w:rFonts w:ascii="Consolas" w:cs="Consolas" w:eastAsia="Consolas" w:hAnsi="Consolas"/>
          <w:b w:val="false"/>
          <w:bCs w:val="false"/>
          <w:i w:val="false"/>
          <w:iCs w:val="false"/>
          <w:color w:val="141414"/>
          <w:sz w:val="20"/>
          <w:szCs w:val="20"/>
        </w:rPr>
        <w:t xml:space="preserve">raw_event</w:t>
      </w:r>
      <w:r>
        <w:t xml:space="preserve"> holds every Mercado Livre / Mercado Pago webhook and poll payload, hash-chained per seller. </w:t>
      </w:r>
      <w:r>
        <w:rPr>
          <w:rFonts w:ascii="Consolas" w:cs="Consolas" w:eastAsia="Consolas" w:hAnsi="Consolas"/>
          <w:b w:val="false"/>
          <w:bCs w:val="false"/>
          <w:i w:val="false"/>
          <w:iCs w:val="false"/>
          <w:color w:val="141414"/>
          <w:sz w:val="20"/>
          <w:szCs w:val="20"/>
        </w:rPr>
        <w:t xml:space="preserve">case_events</w:t>
      </w:r>
      <w:r>
        <w:t xml:space="preserve"> holds every state transition on a case (detected → evidence-gated → human-approved → submitted → credited → invoiced → charged), same hash-chain, with an </w:t>
      </w:r>
      <w:r>
        <w:rPr>
          <w:rFonts w:ascii="Consolas" w:cs="Consolas" w:eastAsia="Consolas" w:hAnsi="Consolas"/>
          <w:b w:val="false"/>
          <w:bCs w:val="false"/>
          <w:i w:val="false"/>
          <w:iCs w:val="false"/>
          <w:color w:val="141414"/>
          <w:sz w:val="20"/>
          <w:szCs w:val="20"/>
        </w:rPr>
        <w:t xml:space="preserve">actor</w:t>
      </w:r>
      <w:r>
        <w:t xml:space="preserve"> that is either a named human or a rule-version. Between them sit deterministic projections — never LLM-written — from canonical orders / inventory / Mercado-Pago movements into a reconciliation ledger (expected − matched = residual, in integer centavos), then into the case, credit reconciliation, and fee invoice.</w:t>
      </w:r>
    </w:p>
    <w:p>
      <w:pPr>
        <w:pStyle w:val="Heading3"/>
      </w:pPr>
      <w:r>
        <w:t xml:space="preserve">The three consumers</w:t>
      </w:r>
    </w:p>
    <w:tbl>
      <w:tblPr>
        <w:tblW w:type="dxa" w:w="9360"/>
        <w:tblBorders>
          <w:top w:val="single" w:color="C9D6D0" w:sz="4"/>
          <w:left w:val="single" w:color="C9D6D0" w:sz="4"/>
          <w:bottom w:val="single" w:color="C9D6D0" w:sz="4"/>
          <w:right w:val="single" w:color="C9D6D0" w:sz="4"/>
          <w:insideH w:val="single" w:color="C9D6D0" w:sz="4"/>
          <w:insideV w:val="single" w:color="C9D6D0" w:sz="4"/>
        </w:tblBorders>
      </w:tblPr>
      <w:tblGrid>
        <w:gridCol w:w="2500"/>
        <w:gridCol w:w="4560"/>
        <w:gridCol w:w="2300"/>
      </w:tblGrid>
      <w:tr>
        <w:trPr>
          <w:tblHeader/>
        </w:trPr>
        <w:tc>
          <w:tcPr>
            <w:tcW w:type="dxa" w:w="2500"/>
            <w:shd w:fill="0B4A36" w:color="auto" w:val="clear"/>
            <w:tcMar>
              <w:top w:type="dxa" w:w="80"/>
              <w:left w:type="dxa" w:w="120"/>
              <w:bottom w:type="dxa" w:w="80"/>
              <w:right w:type="dxa" w:w="120"/>
            </w:tcMar>
          </w:tcPr>
          <w:p>
            <w:pPr>
              <w:spacing w:after="0" w:line="260"/>
            </w:pPr>
            <w:r>
              <w:rPr>
                <w:b/>
                <w:bCs/>
                <w:color w:val="FFFFFF"/>
                <w:sz w:val="22"/>
                <w:szCs w:val="22"/>
              </w:rPr>
              <w:t xml:space="preserve">Consumer</w:t>
            </w:r>
          </w:p>
        </w:tc>
        <w:tc>
          <w:tcPr>
            <w:tcW w:type="dxa" w:w="4560"/>
            <w:shd w:fill="0B4A36" w:color="auto" w:val="clear"/>
            <w:tcMar>
              <w:top w:type="dxa" w:w="80"/>
              <w:left w:type="dxa" w:w="120"/>
              <w:bottom w:type="dxa" w:w="80"/>
              <w:right w:type="dxa" w:w="120"/>
            </w:tcMar>
          </w:tcPr>
          <w:p>
            <w:pPr>
              <w:spacing w:after="0" w:line="260"/>
            </w:pPr>
            <w:r>
              <w:rPr>
                <w:b/>
                <w:bCs/>
                <w:color w:val="FFFFFF"/>
                <w:sz w:val="22"/>
                <w:szCs w:val="22"/>
              </w:rPr>
              <w:t xml:space="preserve">What it is</w:t>
            </w:r>
          </w:p>
        </w:tc>
        <w:tc>
          <w:tcPr>
            <w:tcW w:type="dxa" w:w="2300"/>
            <w:shd w:fill="0B4A36" w:color="auto" w:val="clear"/>
            <w:tcMar>
              <w:top w:type="dxa" w:w="80"/>
              <w:left w:type="dxa" w:w="120"/>
              <w:bottom w:type="dxa" w:w="80"/>
              <w:right w:type="dxa" w:w="120"/>
            </w:tcMar>
          </w:tcPr>
          <w:p>
            <w:pPr>
              <w:spacing w:after="0" w:line="260"/>
            </w:pPr>
            <w:r>
              <w:rPr>
                <w:b/>
                <w:bCs/>
                <w:color w:val="FFFFFF"/>
                <w:sz w:val="22"/>
                <w:szCs w:val="22"/>
              </w:rPr>
              <w:t xml:space="preserve">Rule</w:t>
            </w:r>
          </w:p>
        </w:tc>
      </w:tr>
      <w:tr>
        <w:tc>
          <w:tcPr>
            <w:tcW w:type="dxa" w:w="2500"/>
            <w:tcMar>
              <w:top w:type="dxa" w:w="80"/>
              <w:left w:type="dxa" w:w="120"/>
              <w:bottom w:type="dxa" w:w="80"/>
              <w:right w:type="dxa" w:w="120"/>
            </w:tcMar>
          </w:tcPr>
          <w:p>
            <w:pPr>
              <w:spacing w:after="0" w:line="264"/>
            </w:pPr>
            <w:r>
              <w:rPr>
                <w:b/>
                <w:bCs/>
                <w:i w:val="false"/>
                <w:iCs w:val="false"/>
                <w:color w:val="141414"/>
                <w:sz w:val="22"/>
                <w:szCs w:val="22"/>
              </w:rPr>
              <w:t xml:space="preserve">1 · Operator Workbench</w:t>
            </w:r>
          </w:p>
        </w:tc>
        <w:tc>
          <w:tcPr>
            <w:tcW w:type="dxa" w:w="4560"/>
            <w:tcMar>
              <w:top w:type="dxa" w:w="80"/>
              <w:left w:type="dxa" w:w="120"/>
              <w:bottom w:type="dxa" w:w="80"/>
              <w:right w:type="dxa" w:w="120"/>
            </w:tcMar>
          </w:tcPr>
          <w:p>
            <w:pPr>
              <w:spacing w:after="0" w:line="264"/>
            </w:pPr>
            <w:r>
              <w:rPr>
                <w:color w:val="141414"/>
                <w:sz w:val="22"/>
                <w:szCs w:val="22"/>
              </w:rPr>
              <w:t xml:space="preserve">HTMX + Jinja + Tailwind, server-rendered, no build step. Reads projections; writes only human-approval events.</w:t>
            </w:r>
          </w:p>
        </w:tc>
        <w:tc>
          <w:tcPr>
            <w:tcW w:type="dxa" w:w="2300"/>
            <w:tcMar>
              <w:top w:type="dxa" w:w="80"/>
              <w:left w:type="dxa" w:w="120"/>
              <w:bottom w:type="dxa" w:w="80"/>
              <w:right w:type="dxa" w:w="120"/>
            </w:tcMar>
          </w:tcPr>
          <w:p>
            <w:pPr>
              <w:spacing w:after="0" w:line="264"/>
            </w:pPr>
            <w:r>
              <w:rPr>
                <w:color w:val="141414"/>
                <w:sz w:val="22"/>
                <w:szCs w:val="22"/>
              </w:rPr>
              <w:t xml:space="preserve">Never computes money; records the human decision</w:t>
            </w:r>
          </w:p>
        </w:tc>
      </w:tr>
      <w:tr>
        <w:tc>
          <w:tcPr>
            <w:tcW w:type="dxa" w:w="2500"/>
            <w:shd w:fill="F2F6F4" w:color="auto" w:val="clear"/>
            <w:tcMar>
              <w:top w:type="dxa" w:w="80"/>
              <w:left w:type="dxa" w:w="120"/>
              <w:bottom w:type="dxa" w:w="80"/>
              <w:right w:type="dxa" w:w="120"/>
            </w:tcMar>
          </w:tcPr>
          <w:p>
            <w:pPr>
              <w:spacing w:after="0" w:line="264"/>
            </w:pPr>
            <w:r>
              <w:rPr>
                <w:b/>
                <w:bCs/>
                <w:i w:val="false"/>
                <w:iCs w:val="false"/>
                <w:color w:val="141414"/>
                <w:sz w:val="22"/>
                <w:szCs w:val="22"/>
              </w:rPr>
              <w:t xml:space="preserve">2 · Dashboards / Metrics</w:t>
            </w:r>
          </w:p>
        </w:tc>
        <w:tc>
          <w:tcPr>
            <w:tcW w:type="dxa" w:w="4560"/>
            <w:shd w:fill="F2F6F4" w:color="auto" w:val="clear"/>
            <w:tcMar>
              <w:top w:type="dxa" w:w="80"/>
              <w:left w:type="dxa" w:w="120"/>
              <w:bottom w:type="dxa" w:w="80"/>
              <w:right w:type="dxa" w:w="120"/>
            </w:tcMar>
          </w:tcPr>
          <w:p>
            <w:pPr>
              <w:spacing w:after="0" w:line="264"/>
            </w:pPr>
            <w:r>
              <w:rPr>
                <w:color w:val="141414"/>
                <w:sz w:val="22"/>
                <w:szCs w:val="22"/>
              </w:rPr>
              <w:t xml:space="preserve">SQL materialized views over the spine (Section 16); rendered as in-app tiles.</w:t>
            </w:r>
          </w:p>
        </w:tc>
        <w:tc>
          <w:tcPr>
            <w:tcW w:type="dxa" w:w="2300"/>
            <w:shd w:fill="F2F6F4" w:color="auto" w:val="clear"/>
            <w:tcMar>
              <w:top w:type="dxa" w:w="80"/>
              <w:left w:type="dxa" w:w="120"/>
              <w:bottom w:type="dxa" w:w="80"/>
              <w:right w:type="dxa" w:w="120"/>
            </w:tcMar>
          </w:tcPr>
          <w:p>
            <w:pPr>
              <w:spacing w:after="0" w:line="264"/>
            </w:pPr>
            <w:r>
              <w:rPr>
                <w:color w:val="141414"/>
                <w:sz w:val="22"/>
                <w:szCs w:val="22"/>
              </w:rPr>
              <w:t xml:space="preserve">Only displays code-computed centavos</w:t>
            </w:r>
          </w:p>
        </w:tc>
      </w:tr>
      <w:tr>
        <w:tc>
          <w:tcPr>
            <w:tcW w:type="dxa" w:w="2500"/>
            <w:tcMar>
              <w:top w:type="dxa" w:w="80"/>
              <w:left w:type="dxa" w:w="120"/>
              <w:bottom w:type="dxa" w:w="80"/>
              <w:right w:type="dxa" w:w="120"/>
            </w:tcMar>
          </w:tcPr>
          <w:p>
            <w:pPr>
              <w:spacing w:after="0" w:line="264"/>
            </w:pPr>
            <w:r>
              <w:rPr>
                <w:b/>
                <w:bCs/>
                <w:i w:val="false"/>
                <w:iCs w:val="false"/>
                <w:color w:val="141414"/>
                <w:sz w:val="22"/>
                <w:szCs w:val="22"/>
              </w:rPr>
              <w:t xml:space="preserve">3 · Automation</w:t>
            </w:r>
          </w:p>
        </w:tc>
        <w:tc>
          <w:tcPr>
            <w:tcW w:type="dxa" w:w="4560"/>
            <w:tcMar>
              <w:top w:type="dxa" w:w="80"/>
              <w:left w:type="dxa" w:w="120"/>
              <w:bottom w:type="dxa" w:w="80"/>
              <w:right w:type="dxa" w:w="120"/>
            </w:tcMar>
          </w:tcPr>
          <w:p>
            <w:pPr>
              <w:spacing w:after="0" w:line="264"/>
            </w:pPr>
            <w:r>
              <w:rPr>
                <w:color w:val="141414"/>
                <w:sz w:val="22"/>
                <w:szCs w:val="22"/>
              </w:rPr>
              <w:t xml:space="preserve">Event-triggered and scheduled jobs (Section 18) for comms, chasing, statements, billing, alerts.</w:t>
            </w:r>
          </w:p>
        </w:tc>
        <w:tc>
          <w:tcPr>
            <w:tcW w:type="dxa" w:w="2300"/>
            <w:tcMar>
              <w:top w:type="dxa" w:w="80"/>
              <w:left w:type="dxa" w:w="120"/>
              <w:bottom w:type="dxa" w:w="80"/>
              <w:right w:type="dxa" w:w="120"/>
            </w:tcMar>
          </w:tcPr>
          <w:p>
            <w:pPr>
              <w:spacing w:after="0" w:line="264"/>
            </w:pPr>
            <w:r>
              <w:rPr>
                <w:color w:val="141414"/>
                <w:sz w:val="22"/>
                <w:szCs w:val="22"/>
              </w:rPr>
              <w:t xml:space="preserve">Drafts and sends the routine; gates the accountable</w:t>
            </w:r>
          </w:p>
        </w:tc>
      </w:tr>
    </w:tbl>
    <w:p>
      <w:pPr>
        <w:spacing w:after="60"/>
      </w:pPr>
      <w:r>
        <w:t xml:space="preserve"/>
      </w:r>
    </w:p>
    <w:p>
      <w:r>
        <w:t xml:space="preserve">End-to-end flow: webhook receiver (isolated) → raw event → projection + the 7 rules (code computes centavos) → reconciliation ledger → evidence gate, cool-off, value floor, dedup → case (tier A/B/C) → workbench human approval → case event → submission → credit observed in the Mercado Pago report → credit reconciliation → fee invoice → NFS-e + charge. Comms and charges flow back in as new raw events. The metrics views and the automation jobs both subscribe to the same case-event stream.</w:t>
      </w:r>
    </w:p>
    <w:p>
      <w:pPr>
        <w:pStyle w:val="Heading3"/>
      </w:pPr>
      <w:r>
        <w:t xml:space="preserve">Why it stays KISS yet scales</w:t>
      </w:r>
    </w:p>
    <w:p>
      <w:r>
        <w:t xml:space="preserve">Thin-first is a single container with an in-Postgres job queue (SELECT … FOR UPDATE SKIP LOCKED), a scheduler, a handful of materialized views, and Jinja tiles — no message bus, no BI stack, no second datastore. Scale never re-architects: stateless workers scale horizontally; view refresh becomes incremental keyed on a case-event id cursor; a burst queue (Redis) and read replicas are added later against the same spine; per-tenant isolation is seller-id plus Postgres row-level security from day one. Business logic lives in versioned, tested code; only numeric thresholds (value floor, cool-off, confidence cut-offs) are config. A module is extracted only when its scaling profile truly diverges — not before.</w:t>
      </w:r>
    </w:p>
    <w:p>
      <w:pPr>
        <w:pStyle w:val="Heading1"/>
      </w:pPr>
      <w:r>
        <w:t xml:space="preserve">15.  The Deterministic Recovery Engine</w:t>
      </w:r>
    </w:p>
    <w:p>
      <w:r>
        <w:t xml:space="preserve">Every candidate case is a ledger row answering expected − matched = unresolved, stamped with the rule and version that produced it. Numeric thresholds and windows are config; the join logic is versioned code.</w:t>
      </w:r>
    </w:p>
    <w:tbl>
      <w:tblPr>
        <w:tblW w:type="dxa" w:w="9360"/>
        <w:tblBorders>
          <w:top w:val="single" w:color="C9D6D0" w:sz="4"/>
          <w:left w:val="single" w:color="C9D6D0" w:sz="4"/>
          <w:bottom w:val="single" w:color="C9D6D0" w:sz="4"/>
          <w:right w:val="single" w:color="C9D6D0" w:sz="4"/>
          <w:insideH w:val="single" w:color="C9D6D0" w:sz="4"/>
          <w:insideV w:val="single" w:color="C9D6D0" w:sz="4"/>
        </w:tblBorders>
      </w:tblPr>
      <w:tblGrid>
        <w:gridCol w:w="2700"/>
        <w:gridCol w:w="3560"/>
        <w:gridCol w:w="1700"/>
        <w:gridCol w:w="1400"/>
      </w:tblGrid>
      <w:tr>
        <w:trPr>
          <w:tblHeader/>
        </w:trPr>
        <w:tc>
          <w:tcPr>
            <w:tcW w:type="dxa" w:w="2700"/>
            <w:shd w:fill="0B4A36" w:color="auto" w:val="clear"/>
            <w:tcMar>
              <w:top w:type="dxa" w:w="80"/>
              <w:left w:type="dxa" w:w="120"/>
              <w:bottom w:type="dxa" w:w="80"/>
              <w:right w:type="dxa" w:w="120"/>
            </w:tcMar>
          </w:tcPr>
          <w:p>
            <w:pPr>
              <w:spacing w:after="0" w:line="260"/>
            </w:pPr>
            <w:r>
              <w:rPr>
                <w:b/>
                <w:bCs/>
                <w:color w:val="FFFFFF"/>
                <w:sz w:val="22"/>
                <w:szCs w:val="22"/>
              </w:rPr>
              <w:t xml:space="preserve">Rule</w:t>
            </w:r>
          </w:p>
        </w:tc>
        <w:tc>
          <w:tcPr>
            <w:tcW w:type="dxa" w:w="3560"/>
            <w:shd w:fill="0B4A36" w:color="auto" w:val="clear"/>
            <w:tcMar>
              <w:top w:type="dxa" w:w="80"/>
              <w:left w:type="dxa" w:w="120"/>
              <w:bottom w:type="dxa" w:w="80"/>
              <w:right w:type="dxa" w:w="120"/>
            </w:tcMar>
          </w:tcPr>
          <w:p>
            <w:pPr>
              <w:spacing w:after="0" w:line="260"/>
            </w:pPr>
            <w:r>
              <w:rPr>
                <w:b/>
                <w:bCs/>
                <w:color w:val="FFFFFF"/>
                <w:sz w:val="22"/>
                <w:szCs w:val="22"/>
              </w:rPr>
              <w:t xml:space="preserve">Reconciliation (join)</w:t>
            </w:r>
          </w:p>
        </w:tc>
        <w:tc>
          <w:tcPr>
            <w:tcW w:type="dxa" w:w="1700"/>
            <w:shd w:fill="0B4A36" w:color="auto" w:val="clear"/>
            <w:tcMar>
              <w:top w:type="dxa" w:w="80"/>
              <w:left w:type="dxa" w:w="120"/>
              <w:bottom w:type="dxa" w:w="80"/>
              <w:right w:type="dxa" w:w="120"/>
            </w:tcMar>
          </w:tcPr>
          <w:p>
            <w:pPr>
              <w:spacing w:after="0" w:line="260"/>
            </w:pPr>
            <w:r>
              <w:rPr>
                <w:b/>
                <w:bCs/>
                <w:color w:val="FFFFFF"/>
                <w:sz w:val="22"/>
                <w:szCs w:val="22"/>
              </w:rPr>
              <w:t xml:space="preserve">Amount</w:t>
            </w:r>
          </w:p>
        </w:tc>
        <w:tc>
          <w:tcPr>
            <w:tcW w:type="dxa" w:w="1400"/>
            <w:shd w:fill="0B4A36" w:color="auto" w:val="clear"/>
            <w:tcMar>
              <w:top w:type="dxa" w:w="80"/>
              <w:left w:type="dxa" w:w="120"/>
              <w:bottom w:type="dxa" w:w="80"/>
              <w:right w:type="dxa" w:w="120"/>
            </w:tcMar>
          </w:tcPr>
          <w:p>
            <w:pPr>
              <w:spacing w:after="0" w:line="260"/>
            </w:pPr>
            <w:r>
              <w:rPr>
                <w:b/>
                <w:bCs/>
                <w:color w:val="FFFFFF"/>
                <w:sz w:val="22"/>
                <w:szCs w:val="22"/>
              </w:rPr>
              <w:t xml:space="preserve">Deadline</w:t>
            </w:r>
          </w:p>
        </w:tc>
      </w:tr>
      <w:tr>
        <w:tc>
          <w:tcPr>
            <w:tcW w:type="dxa" w:w="2700"/>
            <w:tcMar>
              <w:top w:type="dxa" w:w="80"/>
              <w:left w:type="dxa" w:w="120"/>
              <w:bottom w:type="dxa" w:w="80"/>
              <w:right w:type="dxa" w:w="120"/>
            </w:tcMar>
          </w:tcPr>
          <w:p>
            <w:pPr>
              <w:spacing w:after="0" w:line="264"/>
            </w:pPr>
            <w:r>
              <w:rPr>
                <w:rFonts w:ascii="Consolas" w:cs="Consolas" w:eastAsia="Consolas" w:hAnsi="Consolas"/>
                <w:b/>
                <w:bCs/>
                <w:i w:val="false"/>
                <w:iCs w:val="false"/>
                <w:color w:val="1D6B4F"/>
                <w:sz w:val="19"/>
                <w:szCs w:val="19"/>
              </w:rPr>
              <w:t xml:space="preserve">FULL_DAMAGE_NO_MATCHED_CREDIT</w:t>
            </w:r>
          </w:p>
        </w:tc>
        <w:tc>
          <w:tcPr>
            <w:tcW w:type="dxa" w:w="3560"/>
            <w:tcMar>
              <w:top w:type="dxa" w:w="80"/>
              <w:left w:type="dxa" w:w="120"/>
              <w:bottom w:type="dxa" w:w="80"/>
              <w:right w:type="dxa" w:w="120"/>
            </w:tcMar>
          </w:tcPr>
          <w:p>
            <w:pPr>
              <w:spacing w:after="0" w:line="264"/>
            </w:pPr>
            <w:r>
              <w:rPr>
                <w:color w:val="141414"/>
                <w:sz w:val="22"/>
                <w:szCs w:val="22"/>
              </w:rPr>
              <w:t xml:space="preserve">stock op (warehouse damage) × credit on inventory+movement</w:t>
            </w:r>
          </w:p>
        </w:tc>
        <w:tc>
          <w:tcPr>
            <w:tcW w:type="dxa" w:w="1700"/>
            <w:tcMar>
              <w:top w:type="dxa" w:w="80"/>
              <w:left w:type="dxa" w:w="120"/>
              <w:bottom w:type="dxa" w:w="80"/>
              <w:right w:type="dxa" w:w="120"/>
            </w:tcMar>
          </w:tcPr>
          <w:p>
            <w:pPr>
              <w:spacing w:after="0" w:line="264"/>
            </w:pPr>
            <w:r>
              <w:rPr>
                <w:color w:val="141414"/>
                <w:sz w:val="22"/>
                <w:szCs w:val="22"/>
              </w:rPr>
              <w:t xml:space="preserve">qty × unit_ref</w:t>
            </w:r>
          </w:p>
        </w:tc>
        <w:tc>
          <w:tcPr>
            <w:tcW w:type="dxa" w:w="1400"/>
            <w:tcMar>
              <w:top w:type="dxa" w:w="80"/>
              <w:left w:type="dxa" w:w="120"/>
              <w:bottom w:type="dxa" w:w="80"/>
              <w:right w:type="dxa" w:w="120"/>
            </w:tcMar>
          </w:tcPr>
          <w:p>
            <w:pPr>
              <w:spacing w:after="0" w:line="264"/>
            </w:pPr>
            <w:r>
              <w:rPr>
                <w:color w:val="141414"/>
                <w:sz w:val="22"/>
                <w:szCs w:val="22"/>
              </w:rPr>
              <w:t xml:space="preserve">event +180d</w:t>
            </w:r>
          </w:p>
        </w:tc>
      </w:tr>
      <w:tr>
        <w:tc>
          <w:tcPr>
            <w:tcW w:type="dxa" w:w="2700"/>
            <w:shd w:fill="F2F6F4" w:color="auto" w:val="clear"/>
            <w:tcMar>
              <w:top w:type="dxa" w:w="80"/>
              <w:left w:type="dxa" w:w="120"/>
              <w:bottom w:type="dxa" w:w="80"/>
              <w:right w:type="dxa" w:w="120"/>
            </w:tcMar>
          </w:tcPr>
          <w:p>
            <w:pPr>
              <w:spacing w:after="0" w:line="264"/>
            </w:pPr>
            <w:r>
              <w:rPr>
                <w:rFonts w:ascii="Consolas" w:cs="Consolas" w:eastAsia="Consolas" w:hAnsi="Consolas"/>
                <w:b/>
                <w:bCs/>
                <w:i w:val="false"/>
                <w:iCs w:val="false"/>
                <w:color w:val="1D6B4F"/>
                <w:sz w:val="19"/>
                <w:szCs w:val="19"/>
              </w:rPr>
              <w:t xml:space="preserve">NEGATIVE_STOCK_AUDIT_UNRESOLVED</w:t>
            </w:r>
          </w:p>
        </w:tc>
        <w:tc>
          <w:tcPr>
            <w:tcW w:type="dxa" w:w="3560"/>
            <w:shd w:fill="F2F6F4" w:color="auto" w:val="clear"/>
            <w:tcMar>
              <w:top w:type="dxa" w:w="80"/>
              <w:left w:type="dxa" w:w="120"/>
              <w:bottom w:type="dxa" w:w="80"/>
              <w:right w:type="dxa" w:w="120"/>
            </w:tcMar>
          </w:tcPr>
          <w:p>
            <w:pPr>
              <w:spacing w:after="0" w:line="264"/>
            </w:pPr>
            <w:r>
              <w:rPr>
                <w:color w:val="141414"/>
                <w:sz w:val="22"/>
                <w:szCs w:val="22"/>
              </w:rPr>
              <w:t xml:space="preserve">negative adjustment × sales × returns × credit on sku</w:t>
            </w:r>
          </w:p>
        </w:tc>
        <w:tc>
          <w:tcPr>
            <w:tcW w:type="dxa" w:w="1700"/>
            <w:shd w:fill="F2F6F4" w:color="auto" w:val="clear"/>
            <w:tcMar>
              <w:top w:type="dxa" w:w="80"/>
              <w:left w:type="dxa" w:w="120"/>
              <w:bottom w:type="dxa" w:w="80"/>
              <w:right w:type="dxa" w:w="120"/>
            </w:tcMar>
          </w:tcPr>
          <w:p>
            <w:pPr>
              <w:spacing w:after="0" w:line="264"/>
            </w:pPr>
            <w:r>
              <w:rPr>
                <w:color w:val="141414"/>
                <w:sz w:val="22"/>
                <w:szCs w:val="22"/>
              </w:rPr>
              <w:t xml:space="preserve">adj − offsets</w:t>
            </w:r>
          </w:p>
        </w:tc>
        <w:tc>
          <w:tcPr>
            <w:tcW w:type="dxa" w:w="1400"/>
            <w:shd w:fill="F2F6F4" w:color="auto" w:val="clear"/>
            <w:tcMar>
              <w:top w:type="dxa" w:w="80"/>
              <w:left w:type="dxa" w:w="120"/>
              <w:bottom w:type="dxa" w:w="80"/>
              <w:right w:type="dxa" w:w="120"/>
            </w:tcMar>
          </w:tcPr>
          <w:p>
            <w:pPr>
              <w:spacing w:after="0" w:line="264"/>
            </w:pPr>
            <w:r>
              <w:rPr>
                <w:color w:val="141414"/>
                <w:sz w:val="22"/>
                <w:szCs w:val="22"/>
              </w:rPr>
              <w:t xml:space="preserve">event +60d</w:t>
            </w:r>
          </w:p>
        </w:tc>
      </w:tr>
      <w:tr>
        <w:tc>
          <w:tcPr>
            <w:tcW w:type="dxa" w:w="2700"/>
            <w:tcMar>
              <w:top w:type="dxa" w:w="80"/>
              <w:left w:type="dxa" w:w="120"/>
              <w:bottom w:type="dxa" w:w="80"/>
              <w:right w:type="dxa" w:w="120"/>
            </w:tcMar>
          </w:tcPr>
          <w:p>
            <w:pPr>
              <w:spacing w:after="0" w:line="264"/>
            </w:pPr>
            <w:r>
              <w:rPr>
                <w:rFonts w:ascii="Consolas" w:cs="Consolas" w:eastAsia="Consolas" w:hAnsi="Consolas"/>
                <w:b/>
                <w:bCs/>
                <w:i w:val="false"/>
                <w:iCs w:val="false"/>
                <w:color w:val="1D6B4F"/>
                <w:sz w:val="19"/>
                <w:szCs w:val="19"/>
              </w:rPr>
              <w:t xml:space="preserve">INBOUND_QUANTITY_DIFFERENCE</w:t>
            </w:r>
          </w:p>
        </w:tc>
        <w:tc>
          <w:tcPr>
            <w:tcW w:type="dxa" w:w="3560"/>
            <w:tcMar>
              <w:top w:type="dxa" w:w="80"/>
              <w:left w:type="dxa" w:w="120"/>
              <w:bottom w:type="dxa" w:w="80"/>
              <w:right w:type="dxa" w:w="120"/>
            </w:tcMar>
          </w:tcPr>
          <w:p>
            <w:pPr>
              <w:spacing w:after="0" w:line="264"/>
            </w:pPr>
            <w:r>
              <w:rPr>
                <w:color w:val="141414"/>
                <w:sz w:val="22"/>
                <w:szCs w:val="22"/>
              </w:rPr>
              <w:t xml:space="preserve">declared × check-in on shipment+sku, vs NF-e qty</w:t>
            </w:r>
          </w:p>
        </w:tc>
        <w:tc>
          <w:tcPr>
            <w:tcW w:type="dxa" w:w="1700"/>
            <w:tcMar>
              <w:top w:type="dxa" w:w="80"/>
              <w:left w:type="dxa" w:w="120"/>
              <w:bottom w:type="dxa" w:w="80"/>
              <w:right w:type="dxa" w:w="120"/>
            </w:tcMar>
          </w:tcPr>
          <w:p>
            <w:pPr>
              <w:spacing w:after="0" w:line="264"/>
            </w:pPr>
            <w:r>
              <w:rPr>
                <w:color w:val="141414"/>
                <w:sz w:val="22"/>
                <w:szCs w:val="22"/>
              </w:rPr>
              <w:t xml:space="preserve">delta × NF_unit</w:t>
            </w:r>
          </w:p>
        </w:tc>
        <w:tc>
          <w:tcPr>
            <w:tcW w:type="dxa" w:w="1400"/>
            <w:tcMar>
              <w:top w:type="dxa" w:w="80"/>
              <w:left w:type="dxa" w:w="120"/>
              <w:bottom w:type="dxa" w:w="80"/>
              <w:right w:type="dxa" w:w="120"/>
            </w:tcMar>
          </w:tcPr>
          <w:p>
            <w:pPr>
              <w:spacing w:after="0" w:line="264"/>
            </w:pPr>
            <w:r>
              <w:rPr>
                <w:color w:val="141414"/>
                <w:sz w:val="22"/>
                <w:szCs w:val="22"/>
              </w:rPr>
              <w:t xml:space="preserve">receipt +30d</w:t>
            </w:r>
          </w:p>
        </w:tc>
      </w:tr>
      <w:tr>
        <w:tc>
          <w:tcPr>
            <w:tcW w:type="dxa" w:w="2700"/>
            <w:shd w:fill="F2F6F4" w:color="auto" w:val="clear"/>
            <w:tcMar>
              <w:top w:type="dxa" w:w="80"/>
              <w:left w:type="dxa" w:w="120"/>
              <w:bottom w:type="dxa" w:w="80"/>
              <w:right w:type="dxa" w:w="120"/>
            </w:tcMar>
          </w:tcPr>
          <w:p>
            <w:pPr>
              <w:spacing w:after="0" w:line="264"/>
            </w:pPr>
            <w:r>
              <w:rPr>
                <w:rFonts w:ascii="Consolas" w:cs="Consolas" w:eastAsia="Consolas" w:hAnsi="Consolas"/>
                <w:b/>
                <w:bCs/>
                <w:i w:val="false"/>
                <w:iCs w:val="false"/>
                <w:color w:val="1D6B4F"/>
                <w:sz w:val="19"/>
                <w:szCs w:val="19"/>
              </w:rPr>
              <w:t xml:space="preserve">CLAIM_ACTION_DEADLINE</w:t>
            </w:r>
          </w:p>
        </w:tc>
        <w:tc>
          <w:tcPr>
            <w:tcW w:type="dxa" w:w="3560"/>
            <w:shd w:fill="F2F6F4" w:color="auto" w:val="clear"/>
            <w:tcMar>
              <w:top w:type="dxa" w:w="80"/>
              <w:left w:type="dxa" w:w="120"/>
              <w:bottom w:type="dxa" w:w="80"/>
              <w:right w:type="dxa" w:w="120"/>
            </w:tcMar>
          </w:tcPr>
          <w:p>
            <w:pPr>
              <w:spacing w:after="0" w:line="264"/>
            </w:pPr>
            <w:r>
              <w:rPr>
                <w:color w:val="141414"/>
                <w:sz w:val="22"/>
                <w:szCs w:val="22"/>
              </w:rPr>
              <w:t xml:space="preserve">claims: available_actions.expiration</w:t>
            </w:r>
          </w:p>
        </w:tc>
        <w:tc>
          <w:tcPr>
            <w:tcW w:type="dxa" w:w="1700"/>
            <w:shd w:fill="F2F6F4" w:color="auto" w:val="clear"/>
            <w:tcMar>
              <w:top w:type="dxa" w:w="80"/>
              <w:left w:type="dxa" w:w="120"/>
              <w:bottom w:type="dxa" w:w="80"/>
              <w:right w:type="dxa" w:w="120"/>
            </w:tcMar>
          </w:tcPr>
          <w:p>
            <w:pPr>
              <w:spacing w:after="0" w:line="264"/>
            </w:pPr>
            <w:r>
              <w:rPr>
                <w:color w:val="141414"/>
                <w:sz w:val="22"/>
                <w:szCs w:val="22"/>
              </w:rPr>
              <w:t xml:space="preserve">preventive</w:t>
            </w:r>
          </w:p>
        </w:tc>
        <w:tc>
          <w:tcPr>
            <w:tcW w:type="dxa" w:w="1400"/>
            <w:shd w:fill="F2F6F4" w:color="auto" w:val="clear"/>
            <w:tcMar>
              <w:top w:type="dxa" w:w="80"/>
              <w:left w:type="dxa" w:w="120"/>
              <w:bottom w:type="dxa" w:w="80"/>
              <w:right w:type="dxa" w:w="120"/>
            </w:tcMar>
          </w:tcPr>
          <w:p>
            <w:pPr>
              <w:spacing w:after="0" w:line="264"/>
            </w:pPr>
            <w:r>
              <w:rPr>
                <w:color w:val="141414"/>
                <w:sz w:val="22"/>
                <w:szCs w:val="22"/>
              </w:rPr>
              <w:t xml:space="preserve">expiry − now</w:t>
            </w:r>
          </w:p>
        </w:tc>
      </w:tr>
      <w:tr>
        <w:tc>
          <w:tcPr>
            <w:tcW w:type="dxa" w:w="2700"/>
            <w:tcMar>
              <w:top w:type="dxa" w:w="80"/>
              <w:left w:type="dxa" w:w="120"/>
              <w:bottom w:type="dxa" w:w="80"/>
              <w:right w:type="dxa" w:w="120"/>
            </w:tcMar>
          </w:tcPr>
          <w:p>
            <w:pPr>
              <w:spacing w:after="0" w:line="264"/>
            </w:pPr>
            <w:r>
              <w:rPr>
                <w:rFonts w:ascii="Consolas" w:cs="Consolas" w:eastAsia="Consolas" w:hAnsi="Consolas"/>
                <w:b/>
                <w:bCs/>
                <w:i w:val="false"/>
                <w:iCs w:val="false"/>
                <w:color w:val="1D6B4F"/>
                <w:sz w:val="19"/>
                <w:szCs w:val="19"/>
              </w:rPr>
              <w:t xml:space="preserve">RETURN_CONDITION_REVIEW</w:t>
            </w:r>
          </w:p>
        </w:tc>
        <w:tc>
          <w:tcPr>
            <w:tcW w:type="dxa" w:w="3560"/>
            <w:tcMar>
              <w:top w:type="dxa" w:w="80"/>
              <w:left w:type="dxa" w:w="120"/>
              <w:bottom w:type="dxa" w:w="80"/>
              <w:right w:type="dxa" w:w="120"/>
            </w:tcMar>
          </w:tcPr>
          <w:p>
            <w:pPr>
              <w:spacing w:after="0" w:line="264"/>
            </w:pPr>
            <w:r>
              <w:rPr>
                <w:color w:val="141414"/>
                <w:sz w:val="22"/>
                <w:szCs w:val="22"/>
              </w:rPr>
              <w:t xml:space="preserve">returns × refunds × restock on order/claim</w:t>
            </w:r>
          </w:p>
        </w:tc>
        <w:tc>
          <w:tcPr>
            <w:tcW w:type="dxa" w:w="1700"/>
            <w:tcMar>
              <w:top w:type="dxa" w:w="80"/>
              <w:left w:type="dxa" w:w="120"/>
              <w:bottom w:type="dxa" w:w="80"/>
              <w:right w:type="dxa" w:w="120"/>
            </w:tcMar>
          </w:tcPr>
          <w:p>
            <w:pPr>
              <w:spacing w:after="0" w:line="264"/>
            </w:pPr>
            <w:r>
              <w:rPr>
                <w:color w:val="141414"/>
                <w:sz w:val="22"/>
                <w:szCs w:val="22"/>
              </w:rPr>
              <w:t xml:space="preserve">refunded, not restocked</w:t>
            </w:r>
          </w:p>
        </w:tc>
        <w:tc>
          <w:tcPr>
            <w:tcW w:type="dxa" w:w="1400"/>
            <w:tcMar>
              <w:top w:type="dxa" w:w="80"/>
              <w:left w:type="dxa" w:w="120"/>
              <w:bottom w:type="dxa" w:w="80"/>
              <w:right w:type="dxa" w:w="120"/>
            </w:tcMar>
          </w:tcPr>
          <w:p>
            <w:pPr>
              <w:spacing w:after="0" w:line="264"/>
            </w:pPr>
            <w:r>
              <w:rPr>
                <w:color w:val="141414"/>
                <w:sz w:val="22"/>
                <w:szCs w:val="22"/>
              </w:rPr>
              <w:t xml:space="preserve">return +30d</w:t>
            </w:r>
          </w:p>
        </w:tc>
      </w:tr>
      <w:tr>
        <w:tc>
          <w:tcPr>
            <w:tcW w:type="dxa" w:w="2700"/>
            <w:shd w:fill="F2F6F4" w:color="auto" w:val="clear"/>
            <w:tcMar>
              <w:top w:type="dxa" w:w="80"/>
              <w:left w:type="dxa" w:w="120"/>
              <w:bottom w:type="dxa" w:w="80"/>
              <w:right w:type="dxa" w:w="120"/>
            </w:tcMar>
          </w:tcPr>
          <w:p>
            <w:pPr>
              <w:spacing w:after="0" w:line="264"/>
            </w:pPr>
            <w:r>
              <w:rPr>
                <w:rFonts w:ascii="Consolas" w:cs="Consolas" w:eastAsia="Consolas" w:hAnsi="Consolas"/>
                <w:b/>
                <w:bCs/>
                <w:i w:val="false"/>
                <w:iCs w:val="false"/>
                <w:color w:val="1D6B4F"/>
                <w:sz w:val="19"/>
                <w:szCs w:val="19"/>
              </w:rPr>
              <w:t xml:space="preserve">APPROVED_CREDIT_NOT_RECEIVED</w:t>
            </w:r>
          </w:p>
        </w:tc>
        <w:tc>
          <w:tcPr>
            <w:tcW w:type="dxa" w:w="3560"/>
            <w:shd w:fill="F2F6F4" w:color="auto" w:val="clear"/>
            <w:tcMar>
              <w:top w:type="dxa" w:w="80"/>
              <w:left w:type="dxa" w:w="120"/>
              <w:bottom w:type="dxa" w:w="80"/>
              <w:right w:type="dxa" w:w="120"/>
            </w:tcMar>
          </w:tcPr>
          <w:p>
            <w:pPr>
              <w:spacing w:after="0" w:line="264"/>
            </w:pPr>
            <w:r>
              <w:rPr>
                <w:color w:val="141414"/>
                <w:sz w:val="22"/>
                <w:szCs w:val="22"/>
              </w:rPr>
              <w:t xml:space="preserve">approved claims × MP/billing on claim_id</w:t>
            </w:r>
          </w:p>
        </w:tc>
        <w:tc>
          <w:tcPr>
            <w:tcW w:type="dxa" w:w="1700"/>
            <w:shd w:fill="F2F6F4" w:color="auto" w:val="clear"/>
            <w:tcMar>
              <w:top w:type="dxa" w:w="80"/>
              <w:left w:type="dxa" w:w="120"/>
              <w:bottom w:type="dxa" w:w="80"/>
              <w:right w:type="dxa" w:w="120"/>
            </w:tcMar>
          </w:tcPr>
          <w:p>
            <w:pPr>
              <w:spacing w:after="0" w:line="264"/>
            </w:pPr>
            <w:r>
              <w:rPr>
                <w:color w:val="141414"/>
                <w:sz w:val="22"/>
                <w:szCs w:val="22"/>
              </w:rPr>
              <w:t xml:space="preserve">approved − posted</w:t>
            </w:r>
          </w:p>
        </w:tc>
        <w:tc>
          <w:tcPr>
            <w:tcW w:type="dxa" w:w="1400"/>
            <w:shd w:fill="F2F6F4" w:color="auto" w:val="clear"/>
            <w:tcMar>
              <w:top w:type="dxa" w:w="80"/>
              <w:left w:type="dxa" w:w="120"/>
              <w:bottom w:type="dxa" w:w="80"/>
              <w:right w:type="dxa" w:w="120"/>
            </w:tcMar>
          </w:tcPr>
          <w:p>
            <w:pPr>
              <w:spacing w:after="0" w:line="264"/>
            </w:pPr>
            <w:r>
              <w:rPr>
                <w:color w:val="141414"/>
                <w:sz w:val="22"/>
                <w:szCs w:val="22"/>
              </w:rPr>
              <w:t xml:space="preserve">approval +90d</w:t>
            </w:r>
          </w:p>
        </w:tc>
      </w:tr>
      <w:tr>
        <w:tc>
          <w:tcPr>
            <w:tcW w:type="dxa" w:w="2700"/>
            <w:tcMar>
              <w:top w:type="dxa" w:w="80"/>
              <w:left w:type="dxa" w:w="120"/>
              <w:bottom w:type="dxa" w:w="80"/>
              <w:right w:type="dxa" w:w="120"/>
            </w:tcMar>
          </w:tcPr>
          <w:p>
            <w:pPr>
              <w:spacing w:after="0" w:line="264"/>
            </w:pPr>
            <w:r>
              <w:rPr>
                <w:rFonts w:ascii="Consolas" w:cs="Consolas" w:eastAsia="Consolas" w:hAnsi="Consolas"/>
                <w:b/>
                <w:bCs/>
                <w:i w:val="false"/>
                <w:iCs w:val="false"/>
                <w:color w:val="1D6B4F"/>
                <w:sz w:val="19"/>
                <w:szCs w:val="19"/>
              </w:rPr>
              <w:t xml:space="preserve">DUPLICATE_OR_UNMATCHED_DEDUCTION</w:t>
            </w:r>
          </w:p>
        </w:tc>
        <w:tc>
          <w:tcPr>
            <w:tcW w:type="dxa" w:w="3560"/>
            <w:tcMar>
              <w:top w:type="dxa" w:w="80"/>
              <w:left w:type="dxa" w:w="120"/>
              <w:bottom w:type="dxa" w:w="80"/>
              <w:right w:type="dxa" w:w="120"/>
            </w:tcMar>
          </w:tcPr>
          <w:p>
            <w:pPr>
              <w:spacing w:after="0" w:line="264"/>
            </w:pPr>
            <w:r>
              <w:rPr>
                <w:color w:val="141414"/>
                <w:sz w:val="22"/>
                <w:szCs w:val="22"/>
              </w:rPr>
              <w:t xml:space="preserve">billing × orders × inventory on order+fee_type</w:t>
            </w:r>
          </w:p>
        </w:tc>
        <w:tc>
          <w:tcPr>
            <w:tcW w:type="dxa" w:w="1700"/>
            <w:tcMar>
              <w:top w:type="dxa" w:w="80"/>
              <w:left w:type="dxa" w:w="120"/>
              <w:bottom w:type="dxa" w:w="80"/>
              <w:right w:type="dxa" w:w="120"/>
            </w:tcMar>
          </w:tcPr>
          <w:p>
            <w:pPr>
              <w:spacing w:after="0" w:line="264"/>
            </w:pPr>
            <w:r>
              <w:rPr>
                <w:color w:val="141414"/>
                <w:sz w:val="22"/>
                <w:szCs w:val="22"/>
              </w:rPr>
              <w:t xml:space="preserve">fee amount</w:t>
            </w:r>
          </w:p>
        </w:tc>
        <w:tc>
          <w:tcPr>
            <w:tcW w:type="dxa" w:w="1400"/>
            <w:tcMar>
              <w:top w:type="dxa" w:w="80"/>
              <w:left w:type="dxa" w:w="120"/>
              <w:bottom w:type="dxa" w:w="80"/>
              <w:right w:type="dxa" w:w="120"/>
            </w:tcMar>
          </w:tcPr>
          <w:p>
            <w:pPr>
              <w:spacing w:after="0" w:line="264"/>
            </w:pPr>
            <w:r>
              <w:rPr>
                <w:color w:val="141414"/>
                <w:sz w:val="22"/>
                <w:szCs w:val="22"/>
              </w:rPr>
              <w:t xml:space="preserve">charge +180d</w:t>
            </w:r>
          </w:p>
        </w:tc>
      </w:tr>
    </w:tbl>
    <w:p>
      <w:pPr>
        <w:spacing w:after="80"/>
      </w:pPr>
      <w:r>
        <w:t xml:space="preserve"/>
      </w:r>
    </w:p>
    <w:p>
      <w:r>
        <w:t xml:space="preserve">False-positive control is existential, because a wrong case burns the trust the whole pitch rests on. Six gates run in order: cool-off suppression (let the platform’s own auto-credit fire first), value floor + dedup, known-benign patterns, confidence tiers A/B/C, an evidence-completeness gate, and a human-review threshold. New rule-versions launch in shadow mode (compute, log, do not surface) until precision clears the bar; a version that breaches its false-positive budget is auto-demoted. Only Tier-A cases with complete evidence are ever eligible for pre-approved auto-submission; everything else needs a human. Fully-matched cases auto-close at zero human minutes.</w:t>
      </w:r>
    </w:p>
    <w:p>
      <w:pPr>
        <w:pStyle w:val="Heading1"/>
      </w:pPr>
      <w:r>
        <w:t xml:space="preserve">16.  The Metrics &amp; Measurement Layer</w:t>
      </w:r>
    </w:p>
    <w:p>
      <w:r>
        <w:t xml:space="preserve">Because code owns every number, metrics are deterministic SQL projections off the one spine — never LLM-estimated. This is the “dashboard logic”: one small, coordinated set of materialized views, one refresh cadence group, and one rule that a disputed number always drills back through the hash-chained events to the source NF-e. There is exactly one metrics catalog, not several.</w:t>
      </w:r>
    </w:p>
    <w:p>
      <w:r>
        <w:t xml:space="preserve">Minutes-per-case — the north-star denominator — is measured from the spacing between a case’s own human-actor event timestamps, not a separate time-tracking subsystem. It is coarser than a live stopwatch and honest and free. (The north-star ratio floors its denominator so a near-empty day cannot produce an absurd spike.)</w:t>
      </w:r>
    </w:p>
    <w:tbl>
      <w:tblPr>
        <w:tblW w:type="dxa" w:w="9360"/>
        <w:tblBorders>
          <w:top w:val="single" w:color="C9D6D0" w:sz="4"/>
          <w:left w:val="single" w:color="C9D6D0" w:sz="4"/>
          <w:bottom w:val="single" w:color="C9D6D0" w:sz="4"/>
          <w:right w:val="single" w:color="C9D6D0" w:sz="4"/>
          <w:insideH w:val="single" w:color="C9D6D0" w:sz="4"/>
          <w:insideV w:val="single" w:color="C9D6D0" w:sz="4"/>
        </w:tblBorders>
      </w:tblPr>
      <w:tblGrid>
        <w:gridCol w:w="1950"/>
        <w:gridCol w:w="2900"/>
        <w:gridCol w:w="1810"/>
        <w:gridCol w:w="900"/>
        <w:gridCol w:w="1800"/>
      </w:tblGrid>
      <w:tr>
        <w:trPr>
          <w:tblHeader/>
        </w:trPr>
        <w:tc>
          <w:tcPr>
            <w:tcW w:type="dxa" w:w="1950"/>
            <w:shd w:fill="0B4A36" w:color="auto" w:val="clear"/>
            <w:tcMar>
              <w:top w:type="dxa" w:w="80"/>
              <w:left w:type="dxa" w:w="120"/>
              <w:bottom w:type="dxa" w:w="80"/>
              <w:right w:type="dxa" w:w="120"/>
            </w:tcMar>
          </w:tcPr>
          <w:p>
            <w:pPr>
              <w:spacing w:after="0" w:line="260"/>
            </w:pPr>
            <w:r>
              <w:rPr>
                <w:b/>
                <w:bCs/>
                <w:color w:val="FFFFFF"/>
                <w:sz w:val="22"/>
                <w:szCs w:val="22"/>
              </w:rPr>
              <w:t xml:space="preserve">Metric</w:t>
            </w:r>
          </w:p>
        </w:tc>
        <w:tc>
          <w:tcPr>
            <w:tcW w:type="dxa" w:w="2900"/>
            <w:shd w:fill="0B4A36" w:color="auto" w:val="clear"/>
            <w:tcMar>
              <w:top w:type="dxa" w:w="80"/>
              <w:left w:type="dxa" w:w="120"/>
              <w:bottom w:type="dxa" w:w="80"/>
              <w:right w:type="dxa" w:w="120"/>
            </w:tcMar>
          </w:tcPr>
          <w:p>
            <w:pPr>
              <w:spacing w:after="0" w:line="260"/>
            </w:pPr>
            <w:r>
              <w:rPr>
                <w:b/>
                <w:bCs/>
                <w:color w:val="FFFFFF"/>
                <w:sz w:val="22"/>
                <w:szCs w:val="22"/>
              </w:rPr>
              <w:t xml:space="preserve">Definition (SQL over the spine)</w:t>
            </w:r>
          </w:p>
        </w:tc>
        <w:tc>
          <w:tcPr>
            <w:tcW w:type="dxa" w:w="1810"/>
            <w:shd w:fill="0B4A36" w:color="auto" w:val="clear"/>
            <w:tcMar>
              <w:top w:type="dxa" w:w="80"/>
              <w:left w:type="dxa" w:w="120"/>
              <w:bottom w:type="dxa" w:w="80"/>
              <w:right w:type="dxa" w:w="120"/>
            </w:tcMar>
          </w:tcPr>
          <w:p>
            <w:pPr>
              <w:spacing w:after="0" w:line="260"/>
            </w:pPr>
            <w:r>
              <w:rPr>
                <w:b/>
                <w:bCs/>
                <w:color w:val="FFFFFF"/>
                <w:sz w:val="22"/>
                <w:szCs w:val="22"/>
              </w:rPr>
              <w:t xml:space="preserve">Source</w:t>
            </w:r>
          </w:p>
        </w:tc>
        <w:tc>
          <w:tcPr>
            <w:tcW w:type="dxa" w:w="900"/>
            <w:shd w:fill="0B4A36" w:color="auto" w:val="clear"/>
            <w:tcMar>
              <w:top w:type="dxa" w:w="80"/>
              <w:left w:type="dxa" w:w="120"/>
              <w:bottom w:type="dxa" w:w="80"/>
              <w:right w:type="dxa" w:w="120"/>
            </w:tcMar>
          </w:tcPr>
          <w:p>
            <w:pPr>
              <w:spacing w:after="0" w:line="260"/>
            </w:pPr>
            <w:r>
              <w:rPr>
                <w:b/>
                <w:bCs/>
                <w:color w:val="FFFFFF"/>
                <w:sz w:val="22"/>
                <w:szCs w:val="22"/>
              </w:rPr>
              <w:t xml:space="preserve">Refresh</w:t>
            </w:r>
          </w:p>
        </w:tc>
        <w:tc>
          <w:tcPr>
            <w:tcW w:type="dxa" w:w="1800"/>
            <w:shd w:fill="0B4A36" w:color="auto" w:val="clear"/>
            <w:tcMar>
              <w:top w:type="dxa" w:w="80"/>
              <w:left w:type="dxa" w:w="120"/>
              <w:bottom w:type="dxa" w:w="80"/>
              <w:right w:type="dxa" w:w="120"/>
            </w:tcMar>
          </w:tcPr>
          <w:p>
            <w:pPr>
              <w:spacing w:after="0" w:line="260"/>
            </w:pPr>
            <w:r>
              <w:rPr>
                <w:b/>
                <w:bCs/>
                <w:color w:val="FFFFFF"/>
                <w:sz w:val="22"/>
                <w:szCs w:val="22"/>
              </w:rPr>
              <w:t xml:space="preserve">Dashboard</w:t>
            </w:r>
          </w:p>
        </w:tc>
      </w:tr>
      <w:tr>
        <w:tc>
          <w:tcPr>
            <w:tcW w:type="dxa" w:w="1950"/>
            <w:tcMar>
              <w:top w:type="dxa" w:w="80"/>
              <w:left w:type="dxa" w:w="120"/>
              <w:bottom w:type="dxa" w:w="80"/>
              <w:right w:type="dxa" w:w="120"/>
            </w:tcMar>
          </w:tcPr>
          <w:p>
            <w:pPr>
              <w:spacing w:after="0" w:line="264"/>
            </w:pPr>
            <w:r>
              <w:rPr>
                <w:color w:val="141414"/>
                <w:sz w:val="22"/>
                <w:szCs w:val="22"/>
              </w:rPr>
              <w:t xml:space="preserve">Candidate value</w:t>
            </w:r>
          </w:p>
        </w:tc>
        <w:tc>
          <w:tcPr>
            <w:tcW w:type="dxa" w:w="2900"/>
            <w:tcMar>
              <w:top w:type="dxa" w:w="80"/>
              <w:left w:type="dxa" w:w="120"/>
              <w:bottom w:type="dxa" w:w="80"/>
              <w:right w:type="dxa" w:w="120"/>
            </w:tcMar>
          </w:tcPr>
          <w:p>
            <w:pPr>
              <w:spacing w:after="0" w:line="264"/>
            </w:pPr>
            <w:r>
              <w:rPr>
                <w:color w:val="141414"/>
                <w:sz w:val="22"/>
                <w:szCs w:val="22"/>
              </w:rPr>
              <w:t xml:space="preserve">Σ residual, evidence-gated, tier A/B</w:t>
            </w:r>
          </w:p>
        </w:tc>
        <w:tc>
          <w:tcPr>
            <w:tcW w:type="dxa" w:w="1810"/>
            <w:tcMar>
              <w:top w:type="dxa" w:w="80"/>
              <w:left w:type="dxa" w:w="120"/>
              <w:bottom w:type="dxa" w:w="80"/>
              <w:right w:type="dxa" w:w="120"/>
            </w:tcMar>
          </w:tcPr>
          <w:p>
            <w:pPr>
              <w:spacing w:after="0" w:line="264"/>
            </w:pPr>
            <w:r>
              <w:rPr>
                <w:color w:val="141414"/>
                <w:sz w:val="22"/>
                <w:szCs w:val="22"/>
              </w:rPr>
              <w:t xml:space="preserve">ledger + case_events</w:t>
            </w:r>
          </w:p>
        </w:tc>
        <w:tc>
          <w:tcPr>
            <w:tcW w:type="dxa" w:w="900"/>
            <w:tcMar>
              <w:top w:type="dxa" w:w="80"/>
              <w:left w:type="dxa" w:w="120"/>
              <w:bottom w:type="dxa" w:w="80"/>
              <w:right w:type="dxa" w:w="120"/>
            </w:tcMar>
          </w:tcPr>
          <w:p>
            <w:pPr>
              <w:spacing w:after="0" w:line="264"/>
            </w:pPr>
            <w:r>
              <w:rPr>
                <w:color w:val="141414"/>
                <w:sz w:val="22"/>
                <w:szCs w:val="22"/>
              </w:rPr>
              <w:t xml:space="preserve">15 min</w:t>
            </w:r>
          </w:p>
        </w:tc>
        <w:tc>
          <w:tcPr>
            <w:tcW w:type="dxa" w:w="1800"/>
            <w:tcMar>
              <w:top w:type="dxa" w:w="80"/>
              <w:left w:type="dxa" w:w="120"/>
              <w:bottom w:type="dxa" w:w="80"/>
              <w:right w:type="dxa" w:w="120"/>
            </w:tcMar>
          </w:tcPr>
          <w:p>
            <w:pPr>
              <w:spacing w:after="0" w:line="264"/>
            </w:pPr>
            <w:r>
              <w:rPr>
                <w:color w:val="141414"/>
                <w:sz w:val="22"/>
                <w:szCs w:val="22"/>
              </w:rPr>
              <w:t xml:space="preserve">Funnel</w:t>
            </w:r>
          </w:p>
        </w:tc>
      </w:tr>
      <w:tr>
        <w:tc>
          <w:tcPr>
            <w:tcW w:type="dxa" w:w="1950"/>
            <w:shd w:fill="F2F6F4" w:color="auto" w:val="clear"/>
            <w:tcMar>
              <w:top w:type="dxa" w:w="80"/>
              <w:left w:type="dxa" w:w="120"/>
              <w:bottom w:type="dxa" w:w="80"/>
              <w:right w:type="dxa" w:w="120"/>
            </w:tcMar>
          </w:tcPr>
          <w:p>
            <w:pPr>
              <w:spacing w:after="0" w:line="264"/>
            </w:pPr>
            <w:r>
              <w:rPr>
                <w:color w:val="141414"/>
                <w:sz w:val="22"/>
                <w:szCs w:val="22"/>
              </w:rPr>
              <w:t xml:space="preserve">Approved / Submitted</w:t>
            </w:r>
          </w:p>
        </w:tc>
        <w:tc>
          <w:tcPr>
            <w:tcW w:type="dxa" w:w="2900"/>
            <w:shd w:fill="F2F6F4" w:color="auto" w:val="clear"/>
            <w:tcMar>
              <w:top w:type="dxa" w:w="80"/>
              <w:left w:type="dxa" w:w="120"/>
              <w:bottom w:type="dxa" w:w="80"/>
              <w:right w:type="dxa" w:w="120"/>
            </w:tcMar>
          </w:tcPr>
          <w:p>
            <w:pPr>
              <w:spacing w:after="0" w:line="264"/>
            </w:pPr>
            <w:r>
              <w:rPr>
                <w:color w:val="141414"/>
                <w:sz w:val="22"/>
                <w:szCs w:val="22"/>
              </w:rPr>
              <w:t xml:space="preserve">Σ value at each state</w:t>
            </w:r>
          </w:p>
        </w:tc>
        <w:tc>
          <w:tcPr>
            <w:tcW w:type="dxa" w:w="1810"/>
            <w:shd w:fill="F2F6F4" w:color="auto" w:val="clear"/>
            <w:tcMar>
              <w:top w:type="dxa" w:w="80"/>
              <w:left w:type="dxa" w:w="120"/>
              <w:bottom w:type="dxa" w:w="80"/>
              <w:right w:type="dxa" w:w="120"/>
            </w:tcMar>
          </w:tcPr>
          <w:p>
            <w:pPr>
              <w:spacing w:after="0" w:line="264"/>
            </w:pPr>
            <w:r>
              <w:rPr>
                <w:color w:val="141414"/>
                <w:sz w:val="22"/>
                <w:szCs w:val="22"/>
              </w:rPr>
              <w:t xml:space="preserve">case_events</w:t>
            </w:r>
          </w:p>
        </w:tc>
        <w:tc>
          <w:tcPr>
            <w:tcW w:type="dxa" w:w="900"/>
            <w:shd w:fill="F2F6F4" w:color="auto" w:val="clear"/>
            <w:tcMar>
              <w:top w:type="dxa" w:w="80"/>
              <w:left w:type="dxa" w:w="120"/>
              <w:bottom w:type="dxa" w:w="80"/>
              <w:right w:type="dxa" w:w="120"/>
            </w:tcMar>
          </w:tcPr>
          <w:p>
            <w:pPr>
              <w:spacing w:after="0" w:line="264"/>
            </w:pPr>
            <w:r>
              <w:rPr>
                <w:color w:val="141414"/>
                <w:sz w:val="22"/>
                <w:szCs w:val="22"/>
              </w:rPr>
              <w:t xml:space="preserve">15 min</w:t>
            </w:r>
          </w:p>
        </w:tc>
        <w:tc>
          <w:tcPr>
            <w:tcW w:type="dxa" w:w="1800"/>
            <w:shd w:fill="F2F6F4" w:color="auto" w:val="clear"/>
            <w:tcMar>
              <w:top w:type="dxa" w:w="80"/>
              <w:left w:type="dxa" w:w="120"/>
              <w:bottom w:type="dxa" w:w="80"/>
              <w:right w:type="dxa" w:w="120"/>
            </w:tcMar>
          </w:tcPr>
          <w:p>
            <w:pPr>
              <w:spacing w:after="0" w:line="264"/>
            </w:pPr>
            <w:r>
              <w:rPr>
                <w:color w:val="141414"/>
                <w:sz w:val="22"/>
                <w:szCs w:val="22"/>
              </w:rPr>
              <w:t xml:space="preserve">Funnel</w:t>
            </w:r>
          </w:p>
        </w:tc>
      </w:tr>
      <w:tr>
        <w:tc>
          <w:tcPr>
            <w:tcW w:type="dxa" w:w="1950"/>
            <w:tcMar>
              <w:top w:type="dxa" w:w="80"/>
              <w:left w:type="dxa" w:w="120"/>
              <w:bottom w:type="dxa" w:w="80"/>
              <w:right w:type="dxa" w:w="120"/>
            </w:tcMar>
          </w:tcPr>
          <w:p>
            <w:pPr>
              <w:spacing w:after="0" w:line="264"/>
            </w:pPr>
            <w:r>
              <w:rPr>
                <w:color w:val="141414"/>
                <w:sz w:val="22"/>
                <w:szCs w:val="22"/>
              </w:rPr>
              <w:t xml:space="preserve">Confirmed credited</w:t>
            </w:r>
          </w:p>
        </w:tc>
        <w:tc>
          <w:tcPr>
            <w:tcW w:type="dxa" w:w="2900"/>
            <w:tcMar>
              <w:top w:type="dxa" w:w="80"/>
              <w:left w:type="dxa" w:w="120"/>
              <w:bottom w:type="dxa" w:w="80"/>
              <w:right w:type="dxa" w:w="120"/>
            </w:tcMar>
          </w:tcPr>
          <w:p>
            <w:pPr>
              <w:spacing w:after="0" w:line="264"/>
            </w:pPr>
            <w:r>
              <w:rPr>
                <w:color w:val="141414"/>
                <w:sz w:val="22"/>
                <w:szCs w:val="22"/>
              </w:rPr>
              <w:t xml:space="preserve">Σ matched credit, confirmed in MP report</w:t>
            </w:r>
          </w:p>
        </w:tc>
        <w:tc>
          <w:tcPr>
            <w:tcW w:type="dxa" w:w="1810"/>
            <w:tcMar>
              <w:top w:type="dxa" w:w="80"/>
              <w:left w:type="dxa" w:w="120"/>
              <w:bottom w:type="dxa" w:w="80"/>
              <w:right w:type="dxa" w:w="120"/>
            </w:tcMar>
          </w:tcPr>
          <w:p>
            <w:pPr>
              <w:spacing w:after="0" w:line="264"/>
            </w:pPr>
            <w:r>
              <w:rPr>
                <w:color w:val="141414"/>
                <w:sz w:val="22"/>
                <w:szCs w:val="22"/>
              </w:rPr>
              <w:t xml:space="preserve">credit_reconciliation</w:t>
            </w:r>
          </w:p>
        </w:tc>
        <w:tc>
          <w:tcPr>
            <w:tcW w:type="dxa" w:w="900"/>
            <w:tcMar>
              <w:top w:type="dxa" w:w="80"/>
              <w:left w:type="dxa" w:w="120"/>
              <w:bottom w:type="dxa" w:w="80"/>
              <w:right w:type="dxa" w:w="120"/>
            </w:tcMar>
          </w:tcPr>
          <w:p>
            <w:pPr>
              <w:spacing w:after="0" w:line="264"/>
            </w:pPr>
            <w:r>
              <w:rPr>
                <w:color w:val="141414"/>
                <w:sz w:val="22"/>
                <w:szCs w:val="22"/>
              </w:rPr>
              <w:t xml:space="preserve">15 min</w:t>
            </w:r>
          </w:p>
        </w:tc>
        <w:tc>
          <w:tcPr>
            <w:tcW w:type="dxa" w:w="1800"/>
            <w:tcMar>
              <w:top w:type="dxa" w:w="80"/>
              <w:left w:type="dxa" w:w="120"/>
              <w:bottom w:type="dxa" w:w="80"/>
              <w:right w:type="dxa" w:w="120"/>
            </w:tcMar>
          </w:tcPr>
          <w:p>
            <w:pPr>
              <w:spacing w:after="0" w:line="264"/>
            </w:pPr>
            <w:r>
              <w:rPr>
                <w:color w:val="141414"/>
                <w:sz w:val="22"/>
                <w:szCs w:val="22"/>
              </w:rPr>
              <w:t xml:space="preserve">Owner / Financial</w:t>
            </w:r>
          </w:p>
        </w:tc>
      </w:tr>
      <w:tr>
        <w:tc>
          <w:tcPr>
            <w:tcW w:type="dxa" w:w="1950"/>
            <w:shd w:fill="F2F6F4" w:color="auto" w:val="clear"/>
            <w:tcMar>
              <w:top w:type="dxa" w:w="80"/>
              <w:left w:type="dxa" w:w="120"/>
              <w:bottom w:type="dxa" w:w="80"/>
              <w:right w:type="dxa" w:w="120"/>
            </w:tcMar>
          </w:tcPr>
          <w:p>
            <w:pPr>
              <w:spacing w:after="0" w:line="264"/>
            </w:pPr>
            <w:r>
              <w:rPr>
                <w:color w:val="141414"/>
                <w:sz w:val="22"/>
                <w:szCs w:val="22"/>
              </w:rPr>
              <w:t xml:space="preserve">Recovery success rate</w:t>
            </w:r>
          </w:p>
        </w:tc>
        <w:tc>
          <w:tcPr>
            <w:tcW w:type="dxa" w:w="2900"/>
            <w:shd w:fill="F2F6F4" w:color="auto" w:val="clear"/>
            <w:tcMar>
              <w:top w:type="dxa" w:w="80"/>
              <w:left w:type="dxa" w:w="120"/>
              <w:bottom w:type="dxa" w:w="80"/>
              <w:right w:type="dxa" w:w="120"/>
            </w:tcMar>
          </w:tcPr>
          <w:p>
            <w:pPr>
              <w:spacing w:after="0" w:line="264"/>
            </w:pPr>
            <w:r>
              <w:rPr>
                <w:color w:val="141414"/>
                <w:sz w:val="22"/>
                <w:szCs w:val="22"/>
              </w:rPr>
              <w:t xml:space="preserve">confirmed ÷ submitted (value-weighted)</w:t>
            </w:r>
          </w:p>
        </w:tc>
        <w:tc>
          <w:tcPr>
            <w:tcW w:type="dxa" w:w="1810"/>
            <w:shd w:fill="F2F6F4" w:color="auto" w:val="clear"/>
            <w:tcMar>
              <w:top w:type="dxa" w:w="80"/>
              <w:left w:type="dxa" w:w="120"/>
              <w:bottom w:type="dxa" w:w="80"/>
              <w:right w:type="dxa" w:w="120"/>
            </w:tcMar>
          </w:tcPr>
          <w:p>
            <w:pPr>
              <w:spacing w:after="0" w:line="264"/>
            </w:pPr>
            <w:r>
              <w:rPr>
                <w:color w:val="141414"/>
                <w:sz w:val="22"/>
                <w:szCs w:val="22"/>
              </w:rPr>
              <w:t xml:space="preserve">case_events</w:t>
            </w:r>
          </w:p>
        </w:tc>
        <w:tc>
          <w:tcPr>
            <w:tcW w:type="dxa" w:w="900"/>
            <w:shd w:fill="F2F6F4" w:color="auto" w:val="clear"/>
            <w:tcMar>
              <w:top w:type="dxa" w:w="80"/>
              <w:left w:type="dxa" w:w="120"/>
              <w:bottom w:type="dxa" w:w="80"/>
              <w:right w:type="dxa" w:w="120"/>
            </w:tcMar>
          </w:tcPr>
          <w:p>
            <w:pPr>
              <w:spacing w:after="0" w:line="264"/>
            </w:pPr>
            <w:r>
              <w:rPr>
                <w:color w:val="141414"/>
                <w:sz w:val="22"/>
                <w:szCs w:val="22"/>
              </w:rPr>
              <w:t xml:space="preserve">15 min</w:t>
            </w:r>
          </w:p>
        </w:tc>
        <w:tc>
          <w:tcPr>
            <w:tcW w:type="dxa" w:w="1800"/>
            <w:shd w:fill="F2F6F4" w:color="auto" w:val="clear"/>
            <w:tcMar>
              <w:top w:type="dxa" w:w="80"/>
              <w:left w:type="dxa" w:w="120"/>
              <w:bottom w:type="dxa" w:w="80"/>
              <w:right w:type="dxa" w:w="120"/>
            </w:tcMar>
          </w:tcPr>
          <w:p>
            <w:pPr>
              <w:spacing w:after="0" w:line="264"/>
            </w:pPr>
            <w:r>
              <w:rPr>
                <w:color w:val="141414"/>
                <w:sz w:val="22"/>
                <w:szCs w:val="22"/>
              </w:rPr>
              <w:t xml:space="preserve">Funnel</w:t>
            </w:r>
          </w:p>
        </w:tc>
      </w:tr>
      <w:tr>
        <w:tc>
          <w:tcPr>
            <w:tcW w:type="dxa" w:w="1950"/>
            <w:tcMar>
              <w:top w:type="dxa" w:w="80"/>
              <w:left w:type="dxa" w:w="120"/>
              <w:bottom w:type="dxa" w:w="80"/>
              <w:right w:type="dxa" w:w="120"/>
            </w:tcMar>
          </w:tcPr>
          <w:p>
            <w:pPr>
              <w:spacing w:after="0" w:line="264"/>
            </w:pPr>
            <w:r>
              <w:rPr>
                <w:color w:val="141414"/>
                <w:sz w:val="22"/>
                <w:szCs w:val="22"/>
              </w:rPr>
              <w:t xml:space="preserve">Detection→credit time</w:t>
            </w:r>
          </w:p>
        </w:tc>
        <w:tc>
          <w:tcPr>
            <w:tcW w:type="dxa" w:w="2900"/>
            <w:tcMar>
              <w:top w:type="dxa" w:w="80"/>
              <w:left w:type="dxa" w:w="120"/>
              <w:bottom w:type="dxa" w:w="80"/>
              <w:right w:type="dxa" w:w="120"/>
            </w:tcMar>
          </w:tcPr>
          <w:p>
            <w:pPr>
              <w:spacing w:after="0" w:line="264"/>
            </w:pPr>
            <w:r>
              <w:rPr>
                <w:color w:val="141414"/>
                <w:sz w:val="22"/>
                <w:szCs w:val="22"/>
              </w:rPr>
              <w:t xml:space="preserve">avg(confirmed_at − detected_at)</w:t>
            </w:r>
          </w:p>
        </w:tc>
        <w:tc>
          <w:tcPr>
            <w:tcW w:type="dxa" w:w="1810"/>
            <w:tcMar>
              <w:top w:type="dxa" w:w="80"/>
              <w:left w:type="dxa" w:w="120"/>
              <w:bottom w:type="dxa" w:w="80"/>
              <w:right w:type="dxa" w:w="120"/>
            </w:tcMar>
          </w:tcPr>
          <w:p>
            <w:pPr>
              <w:spacing w:after="0" w:line="264"/>
            </w:pPr>
            <w:r>
              <w:rPr>
                <w:color w:val="141414"/>
                <w:sz w:val="22"/>
                <w:szCs w:val="22"/>
              </w:rPr>
              <w:t xml:space="preserve">case_events</w:t>
            </w:r>
          </w:p>
        </w:tc>
        <w:tc>
          <w:tcPr>
            <w:tcW w:type="dxa" w:w="900"/>
            <w:tcMar>
              <w:top w:type="dxa" w:w="80"/>
              <w:left w:type="dxa" w:w="120"/>
              <w:bottom w:type="dxa" w:w="80"/>
              <w:right w:type="dxa" w:w="120"/>
            </w:tcMar>
          </w:tcPr>
          <w:p>
            <w:pPr>
              <w:spacing w:after="0" w:line="264"/>
            </w:pPr>
            <w:r>
              <w:rPr>
                <w:color w:val="141414"/>
                <w:sz w:val="22"/>
                <w:szCs w:val="22"/>
              </w:rPr>
              <w:t xml:space="preserve">hourly</w:t>
            </w:r>
          </w:p>
        </w:tc>
        <w:tc>
          <w:tcPr>
            <w:tcW w:type="dxa" w:w="1800"/>
            <w:tcMar>
              <w:top w:type="dxa" w:w="80"/>
              <w:left w:type="dxa" w:w="120"/>
              <w:bottom w:type="dxa" w:w="80"/>
              <w:right w:type="dxa" w:w="120"/>
            </w:tcMar>
          </w:tcPr>
          <w:p>
            <w:pPr>
              <w:spacing w:after="0" w:line="264"/>
            </w:pPr>
            <w:r>
              <w:rPr>
                <w:color w:val="141414"/>
                <w:sz w:val="22"/>
                <w:szCs w:val="22"/>
              </w:rPr>
              <w:t xml:space="preserve">Operations</w:t>
            </w:r>
          </w:p>
        </w:tc>
      </w:tr>
      <w:tr>
        <w:tc>
          <w:tcPr>
            <w:tcW w:type="dxa" w:w="1950"/>
            <w:shd w:fill="F2F6F4" w:color="auto" w:val="clear"/>
            <w:tcMar>
              <w:top w:type="dxa" w:w="80"/>
              <w:left w:type="dxa" w:w="120"/>
              <w:bottom w:type="dxa" w:w="80"/>
              <w:right w:type="dxa" w:w="120"/>
            </w:tcMar>
          </w:tcPr>
          <w:p>
            <w:pPr>
              <w:spacing w:after="0" w:line="264"/>
            </w:pPr>
            <w:r>
              <w:rPr>
                <w:color w:val="141414"/>
                <w:sz w:val="22"/>
                <w:szCs w:val="22"/>
              </w:rPr>
              <w:t xml:space="preserve">False-positive rate</w:t>
            </w:r>
          </w:p>
        </w:tc>
        <w:tc>
          <w:tcPr>
            <w:tcW w:type="dxa" w:w="2900"/>
            <w:shd w:fill="F2F6F4" w:color="auto" w:val="clear"/>
            <w:tcMar>
              <w:top w:type="dxa" w:w="80"/>
              <w:left w:type="dxa" w:w="120"/>
              <w:bottom w:type="dxa" w:w="80"/>
              <w:right w:type="dxa" w:w="120"/>
            </w:tcMar>
          </w:tcPr>
          <w:p>
            <w:pPr>
              <w:spacing w:after="0" w:line="264"/>
            </w:pPr>
            <w:r>
              <w:rPr>
                <w:color w:val="141414"/>
                <w:sz w:val="22"/>
                <w:szCs w:val="22"/>
              </w:rPr>
              <w:t xml:space="preserve">rejected-invalid ÷ surfaced, per rule@version</w:t>
            </w:r>
          </w:p>
        </w:tc>
        <w:tc>
          <w:tcPr>
            <w:tcW w:type="dxa" w:w="1810"/>
            <w:shd w:fill="F2F6F4" w:color="auto" w:val="clear"/>
            <w:tcMar>
              <w:top w:type="dxa" w:w="80"/>
              <w:left w:type="dxa" w:w="120"/>
              <w:bottom w:type="dxa" w:w="80"/>
              <w:right w:type="dxa" w:w="120"/>
            </w:tcMar>
          </w:tcPr>
          <w:p>
            <w:pPr>
              <w:spacing w:after="0" w:line="264"/>
            </w:pPr>
            <w:r>
              <w:rPr>
                <w:color w:val="141414"/>
                <w:sz w:val="22"/>
                <w:szCs w:val="22"/>
              </w:rPr>
              <w:t xml:space="preserve">case_events</w:t>
            </w:r>
          </w:p>
        </w:tc>
        <w:tc>
          <w:tcPr>
            <w:tcW w:type="dxa" w:w="900"/>
            <w:shd w:fill="F2F6F4" w:color="auto" w:val="clear"/>
            <w:tcMar>
              <w:top w:type="dxa" w:w="80"/>
              <w:left w:type="dxa" w:w="120"/>
              <w:bottom w:type="dxa" w:w="80"/>
              <w:right w:type="dxa" w:w="120"/>
            </w:tcMar>
          </w:tcPr>
          <w:p>
            <w:pPr>
              <w:spacing w:after="0" w:line="264"/>
            </w:pPr>
            <w:r>
              <w:rPr>
                <w:color w:val="141414"/>
                <w:sz w:val="22"/>
                <w:szCs w:val="22"/>
              </w:rPr>
              <w:t xml:space="preserve">hourly</w:t>
            </w:r>
          </w:p>
        </w:tc>
        <w:tc>
          <w:tcPr>
            <w:tcW w:type="dxa" w:w="1800"/>
            <w:shd w:fill="F2F6F4" w:color="auto" w:val="clear"/>
            <w:tcMar>
              <w:top w:type="dxa" w:w="80"/>
              <w:left w:type="dxa" w:w="120"/>
              <w:bottom w:type="dxa" w:w="80"/>
              <w:right w:type="dxa" w:w="120"/>
            </w:tcMar>
          </w:tcPr>
          <w:p>
            <w:pPr>
              <w:spacing w:after="0" w:line="264"/>
            </w:pPr>
            <w:r>
              <w:rPr>
                <w:color w:val="141414"/>
                <w:sz w:val="22"/>
                <w:szCs w:val="22"/>
              </w:rPr>
              <w:t xml:space="preserve">Rule Health</w:t>
            </w:r>
          </w:p>
        </w:tc>
      </w:tr>
      <w:tr>
        <w:tc>
          <w:tcPr>
            <w:tcW w:type="dxa" w:w="1950"/>
            <w:tcMar>
              <w:top w:type="dxa" w:w="80"/>
              <w:left w:type="dxa" w:w="120"/>
              <w:bottom w:type="dxa" w:w="80"/>
              <w:right w:type="dxa" w:w="120"/>
            </w:tcMar>
          </w:tcPr>
          <w:p>
            <w:pPr>
              <w:spacing w:after="0" w:line="264"/>
            </w:pPr>
            <w:r>
              <w:rPr>
                <w:color w:val="141414"/>
                <w:sz w:val="22"/>
                <w:szCs w:val="22"/>
              </w:rPr>
              <w:t xml:space="preserve">Minutes / case</w:t>
            </w:r>
          </w:p>
        </w:tc>
        <w:tc>
          <w:tcPr>
            <w:tcW w:type="dxa" w:w="2900"/>
            <w:tcMar>
              <w:top w:type="dxa" w:w="80"/>
              <w:left w:type="dxa" w:w="120"/>
              <w:bottom w:type="dxa" w:w="80"/>
              <w:right w:type="dxa" w:w="120"/>
            </w:tcMar>
          </w:tcPr>
          <w:p>
            <w:pPr>
              <w:spacing w:after="0" w:line="264"/>
            </w:pPr>
            <w:r>
              <w:rPr>
                <w:color w:val="141414"/>
                <w:sz w:val="22"/>
                <w:szCs w:val="22"/>
              </w:rPr>
              <w:t xml:space="preserve">Σ human-actor event spacing ÷ cases</w:t>
            </w:r>
          </w:p>
        </w:tc>
        <w:tc>
          <w:tcPr>
            <w:tcW w:type="dxa" w:w="1810"/>
            <w:tcMar>
              <w:top w:type="dxa" w:w="80"/>
              <w:left w:type="dxa" w:w="120"/>
              <w:bottom w:type="dxa" w:w="80"/>
              <w:right w:type="dxa" w:w="120"/>
            </w:tcMar>
          </w:tcPr>
          <w:p>
            <w:pPr>
              <w:spacing w:after="0" w:line="264"/>
            </w:pPr>
            <w:r>
              <w:rPr>
                <w:color w:val="141414"/>
                <w:sz w:val="22"/>
                <w:szCs w:val="22"/>
              </w:rPr>
              <w:t xml:space="preserve">case_events</w:t>
            </w:r>
          </w:p>
        </w:tc>
        <w:tc>
          <w:tcPr>
            <w:tcW w:type="dxa" w:w="900"/>
            <w:tcMar>
              <w:top w:type="dxa" w:w="80"/>
              <w:left w:type="dxa" w:w="120"/>
              <w:bottom w:type="dxa" w:w="80"/>
              <w:right w:type="dxa" w:w="120"/>
            </w:tcMar>
          </w:tcPr>
          <w:p>
            <w:pPr>
              <w:spacing w:after="0" w:line="264"/>
            </w:pPr>
            <w:r>
              <w:rPr>
                <w:color w:val="141414"/>
                <w:sz w:val="22"/>
                <w:szCs w:val="22"/>
              </w:rPr>
              <w:t xml:space="preserve">15 min</w:t>
            </w:r>
          </w:p>
        </w:tc>
        <w:tc>
          <w:tcPr>
            <w:tcW w:type="dxa" w:w="1800"/>
            <w:tcMar>
              <w:top w:type="dxa" w:w="80"/>
              <w:left w:type="dxa" w:w="120"/>
              <w:bottom w:type="dxa" w:w="80"/>
              <w:right w:type="dxa" w:w="120"/>
            </w:tcMar>
          </w:tcPr>
          <w:p>
            <w:pPr>
              <w:spacing w:after="0" w:line="264"/>
            </w:pPr>
            <w:r>
              <w:rPr>
                <w:color w:val="141414"/>
                <w:sz w:val="22"/>
                <w:szCs w:val="22"/>
              </w:rPr>
              <w:t xml:space="preserve">Operations</w:t>
            </w:r>
          </w:p>
        </w:tc>
      </w:tr>
      <w:tr>
        <w:tc>
          <w:tcPr>
            <w:tcW w:type="dxa" w:w="1950"/>
            <w:shd w:fill="F2F6F4" w:color="auto" w:val="clear"/>
            <w:tcMar>
              <w:top w:type="dxa" w:w="80"/>
              <w:left w:type="dxa" w:w="120"/>
              <w:bottom w:type="dxa" w:w="80"/>
              <w:right w:type="dxa" w:w="120"/>
            </w:tcMar>
          </w:tcPr>
          <w:p>
            <w:pPr>
              <w:spacing w:after="0" w:line="264"/>
            </w:pPr>
            <w:r>
              <w:rPr>
                <w:b/>
                <w:bCs/>
                <w:i w:val="false"/>
                <w:iCs w:val="false"/>
                <w:color w:val="141414"/>
                <w:sz w:val="22"/>
                <w:szCs w:val="22"/>
              </w:rPr>
              <w:t xml:space="preserve">North star</w:t>
            </w:r>
          </w:p>
        </w:tc>
        <w:tc>
          <w:tcPr>
            <w:tcW w:type="dxa" w:w="2900"/>
            <w:shd w:fill="F2F6F4" w:color="auto" w:val="clear"/>
            <w:tcMar>
              <w:top w:type="dxa" w:w="80"/>
              <w:left w:type="dxa" w:w="120"/>
              <w:bottom w:type="dxa" w:w="80"/>
              <w:right w:type="dxa" w:w="120"/>
            </w:tcMar>
          </w:tcPr>
          <w:p>
            <w:pPr>
              <w:spacing w:after="0" w:line="264"/>
            </w:pPr>
            <w:r>
              <w:rPr>
                <w:color w:val="141414"/>
                <w:sz w:val="22"/>
                <w:szCs w:val="22"/>
              </w:rPr>
            </w:r>
          </w:p>
        </w:tc>
        <w:tc>
          <w:tcPr>
            <w:tcW w:type="dxa" w:w="1810"/>
            <w:shd w:fill="F2F6F4" w:color="auto" w:val="clear"/>
            <w:tcMar>
              <w:top w:type="dxa" w:w="80"/>
              <w:left w:type="dxa" w:w="120"/>
              <w:bottom w:type="dxa" w:w="80"/>
              <w:right w:type="dxa" w:w="120"/>
            </w:tcMar>
          </w:tcPr>
          <w:p>
            <w:pPr>
              <w:spacing w:after="0" w:line="264"/>
            </w:pPr>
            <w:r>
              <w:rPr>
                <w:color w:val="141414"/>
                <w:sz w:val="22"/>
                <w:szCs w:val="22"/>
              </w:rPr>
              <w:t xml:space="preserve">case_events</w:t>
            </w:r>
          </w:p>
        </w:tc>
        <w:tc>
          <w:tcPr>
            <w:tcW w:type="dxa" w:w="900"/>
            <w:shd w:fill="F2F6F4" w:color="auto" w:val="clear"/>
            <w:tcMar>
              <w:top w:type="dxa" w:w="80"/>
              <w:left w:type="dxa" w:w="120"/>
              <w:bottom w:type="dxa" w:w="80"/>
              <w:right w:type="dxa" w:w="120"/>
            </w:tcMar>
          </w:tcPr>
          <w:p>
            <w:pPr>
              <w:spacing w:after="0" w:line="264"/>
            </w:pPr>
            <w:r>
              <w:rPr>
                <w:color w:val="141414"/>
                <w:sz w:val="22"/>
                <w:szCs w:val="22"/>
              </w:rPr>
              <w:t xml:space="preserve">15 min</w:t>
            </w:r>
          </w:p>
        </w:tc>
        <w:tc>
          <w:tcPr>
            <w:tcW w:type="dxa" w:w="1800"/>
            <w:shd w:fill="F2F6F4" w:color="auto" w:val="clear"/>
            <w:tcMar>
              <w:top w:type="dxa" w:w="80"/>
              <w:left w:type="dxa" w:w="120"/>
              <w:bottom w:type="dxa" w:w="80"/>
              <w:right w:type="dxa" w:w="120"/>
            </w:tcMar>
          </w:tcPr>
          <w:p>
            <w:pPr>
              <w:spacing w:after="0" w:line="264"/>
            </w:pPr>
            <w:r>
              <w:rPr>
                <w:color w:val="141414"/>
                <w:sz w:val="22"/>
                <w:szCs w:val="22"/>
              </w:rPr>
              <w:t xml:space="preserve">Owner</w:t>
            </w:r>
          </w:p>
        </w:tc>
      </w:tr>
      <w:tr>
        <w:tc>
          <w:tcPr>
            <w:tcW w:type="dxa" w:w="1950"/>
            <w:tcMar>
              <w:top w:type="dxa" w:w="80"/>
              <w:left w:type="dxa" w:w="120"/>
              <w:bottom w:type="dxa" w:w="80"/>
              <w:right w:type="dxa" w:w="120"/>
            </w:tcMar>
          </w:tcPr>
          <w:p>
            <w:pPr>
              <w:spacing w:after="0" w:line="264"/>
            </w:pPr>
            <w:r>
              <w:rPr>
                <w:color w:val="141414"/>
                <w:sz w:val="22"/>
                <w:szCs w:val="22"/>
              </w:rPr>
              <w:t xml:space="preserve">MRR / fees / margin</w:t>
            </w:r>
          </w:p>
        </w:tc>
        <w:tc>
          <w:tcPr>
            <w:tcW w:type="dxa" w:w="2900"/>
            <w:tcMar>
              <w:top w:type="dxa" w:w="80"/>
              <w:left w:type="dxa" w:w="120"/>
              <w:bottom w:type="dxa" w:w="80"/>
              <w:right w:type="dxa" w:w="120"/>
            </w:tcMar>
          </w:tcPr>
          <w:p>
            <w:pPr>
              <w:spacing w:after="0" w:line="264"/>
            </w:pPr>
            <w:r>
              <w:rPr>
                <w:color w:val="141414"/>
                <w:sz w:val="22"/>
                <w:szCs w:val="22"/>
              </w:rPr>
              <w:t xml:space="preserve">active subs; fee_invoice by status; margin</w:t>
            </w:r>
          </w:p>
        </w:tc>
        <w:tc>
          <w:tcPr>
            <w:tcW w:type="dxa" w:w="1810"/>
            <w:tcMar>
              <w:top w:type="dxa" w:w="80"/>
              <w:left w:type="dxa" w:w="120"/>
              <w:bottom w:type="dxa" w:w="80"/>
              <w:right w:type="dxa" w:w="120"/>
            </w:tcMar>
          </w:tcPr>
          <w:p>
            <w:pPr>
              <w:spacing w:after="0" w:line="264"/>
            </w:pPr>
            <w:r>
              <w:rPr>
                <w:color w:val="141414"/>
                <w:sz w:val="22"/>
                <w:szCs w:val="22"/>
              </w:rPr>
              <w:t xml:space="preserve">subscription, fee_invoice</w:t>
            </w:r>
          </w:p>
        </w:tc>
        <w:tc>
          <w:tcPr>
            <w:tcW w:type="dxa" w:w="900"/>
            <w:tcMar>
              <w:top w:type="dxa" w:w="80"/>
              <w:left w:type="dxa" w:w="120"/>
              <w:bottom w:type="dxa" w:w="80"/>
              <w:right w:type="dxa" w:w="120"/>
            </w:tcMar>
          </w:tcPr>
          <w:p>
            <w:pPr>
              <w:spacing w:after="0" w:line="264"/>
            </w:pPr>
            <w:r>
              <w:rPr>
                <w:color w:val="141414"/>
                <w:sz w:val="22"/>
                <w:szCs w:val="22"/>
              </w:rPr>
              <w:t xml:space="preserve">hourly</w:t>
            </w:r>
          </w:p>
        </w:tc>
        <w:tc>
          <w:tcPr>
            <w:tcW w:type="dxa" w:w="1800"/>
            <w:tcMar>
              <w:top w:type="dxa" w:w="80"/>
              <w:left w:type="dxa" w:w="120"/>
              <w:bottom w:type="dxa" w:w="80"/>
              <w:right w:type="dxa" w:w="120"/>
            </w:tcMar>
          </w:tcPr>
          <w:p>
            <w:pPr>
              <w:spacing w:after="0" w:line="264"/>
            </w:pPr>
            <w:r>
              <w:rPr>
                <w:color w:val="141414"/>
                <w:sz w:val="22"/>
                <w:szCs w:val="22"/>
              </w:rPr>
              <w:t xml:space="preserve">Financial</w:t>
            </w:r>
          </w:p>
        </w:tc>
      </w:tr>
      <w:tr>
        <w:tc>
          <w:tcPr>
            <w:tcW w:type="dxa" w:w="1950"/>
            <w:shd w:fill="F2F6F4" w:color="auto" w:val="clear"/>
            <w:tcMar>
              <w:top w:type="dxa" w:w="80"/>
              <w:left w:type="dxa" w:w="120"/>
              <w:bottom w:type="dxa" w:w="80"/>
              <w:right w:type="dxa" w:w="120"/>
            </w:tcMar>
          </w:tcPr>
          <w:p>
            <w:pPr>
              <w:spacing w:after="0" w:line="264"/>
            </w:pPr>
            <w:r>
              <w:rPr>
                <w:color w:val="141414"/>
                <w:sz w:val="22"/>
                <w:szCs w:val="22"/>
              </w:rPr>
              <w:t xml:space="preserve">Seller health / churn</w:t>
            </w:r>
          </w:p>
        </w:tc>
        <w:tc>
          <w:tcPr>
            <w:tcW w:type="dxa" w:w="2900"/>
            <w:shd w:fill="F2F6F4" w:color="auto" w:val="clear"/>
            <w:tcMar>
              <w:top w:type="dxa" w:w="80"/>
              <w:left w:type="dxa" w:w="120"/>
              <w:bottom w:type="dxa" w:w="80"/>
              <w:right w:type="dxa" w:w="120"/>
            </w:tcMar>
          </w:tcPr>
          <w:p>
            <w:pPr>
              <w:spacing w:after="0" w:line="264"/>
            </w:pPr>
            <w:r>
              <w:rPr>
                <w:color w:val="141414"/>
                <w:sz w:val="22"/>
                <w:szCs w:val="22"/>
              </w:rPr>
              <w:t xml:space="preserve">freshness lag ∧ open docs ∧ low logins</w:t>
            </w:r>
          </w:p>
        </w:tc>
        <w:tc>
          <w:tcPr>
            <w:tcW w:type="dxa" w:w="1810"/>
            <w:shd w:fill="F2F6F4" w:color="auto" w:val="clear"/>
            <w:tcMar>
              <w:top w:type="dxa" w:w="80"/>
              <w:left w:type="dxa" w:w="120"/>
              <w:bottom w:type="dxa" w:w="80"/>
              <w:right w:type="dxa" w:w="120"/>
            </w:tcMar>
          </w:tcPr>
          <w:p>
            <w:pPr>
              <w:spacing w:after="0" w:line="264"/>
            </w:pPr>
            <w:r>
              <w:rPr>
                <w:color w:val="141414"/>
                <w:sz w:val="22"/>
                <w:szCs w:val="22"/>
              </w:rPr>
              <w:t xml:space="preserve">mv_seller_health</w:t>
            </w:r>
          </w:p>
        </w:tc>
        <w:tc>
          <w:tcPr>
            <w:tcW w:type="dxa" w:w="900"/>
            <w:shd w:fill="F2F6F4" w:color="auto" w:val="clear"/>
            <w:tcMar>
              <w:top w:type="dxa" w:w="80"/>
              <w:left w:type="dxa" w:w="120"/>
              <w:bottom w:type="dxa" w:w="80"/>
              <w:right w:type="dxa" w:w="120"/>
            </w:tcMar>
          </w:tcPr>
          <w:p>
            <w:pPr>
              <w:spacing w:after="0" w:line="264"/>
            </w:pPr>
            <w:r>
              <w:rPr>
                <w:color w:val="141414"/>
                <w:sz w:val="22"/>
                <w:szCs w:val="22"/>
              </w:rPr>
              <w:t xml:space="preserve">hourly</w:t>
            </w:r>
          </w:p>
        </w:tc>
        <w:tc>
          <w:tcPr>
            <w:tcW w:type="dxa" w:w="1800"/>
            <w:shd w:fill="F2F6F4" w:color="auto" w:val="clear"/>
            <w:tcMar>
              <w:top w:type="dxa" w:w="80"/>
              <w:left w:type="dxa" w:w="120"/>
              <w:bottom w:type="dxa" w:w="80"/>
              <w:right w:type="dxa" w:w="120"/>
            </w:tcMar>
          </w:tcPr>
          <w:p>
            <w:pPr>
              <w:spacing w:after="0" w:line="264"/>
            </w:pPr>
            <w:r>
              <w:rPr>
                <w:color w:val="141414"/>
                <w:sz w:val="22"/>
                <w:szCs w:val="22"/>
              </w:rPr>
              <w:t xml:space="preserve">Client-Health</w:t>
            </w:r>
          </w:p>
        </w:tc>
      </w:tr>
    </w:tbl>
    <w:p>
      <w:pPr>
        <w:spacing w:after="60"/>
      </w:pPr>
      <w:r>
        <w:t xml:space="preserve"/>
      </w:r>
    </w:p>
    <w:p>
      <w:r>
        <w:t xml:space="preserve">The materialized views are few and named once: a case-funnel view, an operator-throughput view (carrying the north star), a seller-health view, a financials view, a false-positive/quality view, and a live data-freshness view. Thin-first they refresh concurrently on a scheduled job in the same container. At scale they migrate to per-day incremental rollup tables keyed on the case-event id cursor — the SQL shape is unchanged because every number remains a pure projection of the immutable spine. A correction is a new superseding event, never a mutation; the next refresh reflects truth, and the full provenance of any figure — tile → case → event → raw payload → NF-e XML — is one drill-down away.</w:t>
      </w:r>
    </w:p>
    <w:p>
      <w:pPr>
        <w:pStyle w:val="Heading1"/>
      </w:pPr>
      <w:r>
        <w:t xml:space="preserve">17.  Dashboards — Running the Whole Business on Glass</w:t>
      </w:r>
    </w:p>
    <w:p>
      <w:r>
        <w:t xml:space="preserve">The founder is right that the business lives and dies by its dashboards, so they are a first-class product surface, not reporting. Every dashboard reads the one Postgres off the one spine; nothing computes numbers in the browser or the LLM; every tile shows its own freshness. All eight ship thin-first as in-app HTMX/Jinja tiles — the same technology as the workbench — so there is no separate BI system to run. (An off-the-shelf tool like Metabase pointed at the same views is a later convenience if a real analyst ever needs ad-hoc SQL; it is deliberately deferred, not a dependency. Live operational and health tiles always read the primary database, never a lagging replica.)</w:t>
      </w:r>
    </w:p>
    <w:tbl>
      <w:tblPr>
        <w:tblW w:type="dxa" w:w="9360"/>
        <w:tblBorders>
          <w:top w:val="single" w:color="C9D6D0" w:sz="4"/>
          <w:left w:val="single" w:color="C9D6D0" w:sz="4"/>
          <w:bottom w:val="single" w:color="C9D6D0" w:sz="4"/>
          <w:right w:val="single" w:color="C9D6D0" w:sz="4"/>
          <w:insideH w:val="single" w:color="C9D6D0" w:sz="4"/>
          <w:insideV w:val="single" w:color="C9D6D0" w:sz="4"/>
        </w:tblBorders>
      </w:tblPr>
      <w:tblGrid>
        <w:gridCol w:w="2100"/>
        <w:gridCol w:w="1300"/>
        <w:gridCol w:w="3960"/>
        <w:gridCol w:w="2000"/>
      </w:tblGrid>
      <w:tr>
        <w:trPr>
          <w:tblHeader/>
        </w:trPr>
        <w:tc>
          <w:tcPr>
            <w:tcW w:type="dxa" w:w="2100"/>
            <w:shd w:fill="0B4A36" w:color="auto" w:val="clear"/>
            <w:tcMar>
              <w:top w:type="dxa" w:w="80"/>
              <w:left w:type="dxa" w:w="120"/>
              <w:bottom w:type="dxa" w:w="80"/>
              <w:right w:type="dxa" w:w="120"/>
            </w:tcMar>
          </w:tcPr>
          <w:p>
            <w:pPr>
              <w:spacing w:after="0" w:line="260"/>
            </w:pPr>
            <w:r>
              <w:rPr>
                <w:b/>
                <w:bCs/>
                <w:color w:val="FFFFFF"/>
                <w:sz w:val="22"/>
                <w:szCs w:val="22"/>
              </w:rPr>
              <w:t xml:space="preserve">Dashboard</w:t>
            </w:r>
          </w:p>
        </w:tc>
        <w:tc>
          <w:tcPr>
            <w:tcW w:type="dxa" w:w="1300"/>
            <w:shd w:fill="0B4A36" w:color="auto" w:val="clear"/>
            <w:tcMar>
              <w:top w:type="dxa" w:w="80"/>
              <w:left w:type="dxa" w:w="120"/>
              <w:bottom w:type="dxa" w:w="80"/>
              <w:right w:type="dxa" w:w="120"/>
            </w:tcMar>
          </w:tcPr>
          <w:p>
            <w:pPr>
              <w:spacing w:after="0" w:line="260"/>
            </w:pPr>
            <w:r>
              <w:rPr>
                <w:b/>
                <w:bCs/>
                <w:color w:val="FFFFFF"/>
                <w:sz w:val="22"/>
                <w:szCs w:val="22"/>
              </w:rPr>
              <w:t xml:space="preserve">Audience</w:t>
            </w:r>
          </w:p>
        </w:tc>
        <w:tc>
          <w:tcPr>
            <w:tcW w:type="dxa" w:w="3960"/>
            <w:shd w:fill="0B4A36" w:color="auto" w:val="clear"/>
            <w:tcMar>
              <w:top w:type="dxa" w:w="80"/>
              <w:left w:type="dxa" w:w="120"/>
              <w:bottom w:type="dxa" w:w="80"/>
              <w:right w:type="dxa" w:w="120"/>
            </w:tcMar>
          </w:tcPr>
          <w:p>
            <w:pPr>
              <w:spacing w:after="0" w:line="260"/>
            </w:pPr>
            <w:r>
              <w:rPr>
                <w:b/>
                <w:bCs/>
                <w:color w:val="FFFFFF"/>
                <w:sz w:val="22"/>
                <w:szCs w:val="22"/>
              </w:rPr>
              <w:t xml:space="preserve">Key tiles (how computed)</w:t>
            </w:r>
          </w:p>
        </w:tc>
        <w:tc>
          <w:tcPr>
            <w:tcW w:type="dxa" w:w="2000"/>
            <w:shd w:fill="0B4A36" w:color="auto" w:val="clear"/>
            <w:tcMar>
              <w:top w:type="dxa" w:w="80"/>
              <w:left w:type="dxa" w:w="120"/>
              <w:bottom w:type="dxa" w:w="80"/>
              <w:right w:type="dxa" w:w="120"/>
            </w:tcMar>
          </w:tcPr>
          <w:p>
            <w:pPr>
              <w:spacing w:after="0" w:line="260"/>
            </w:pPr>
            <w:r>
              <w:rPr>
                <w:b/>
                <w:bCs/>
                <w:color w:val="FFFFFF"/>
                <w:sz w:val="22"/>
                <w:szCs w:val="22"/>
              </w:rPr>
              <w:t xml:space="preserve">Drives</w:t>
            </w:r>
          </w:p>
        </w:tc>
      </w:tr>
      <w:tr>
        <w:tc>
          <w:tcPr>
            <w:tcW w:type="dxa" w:w="2100"/>
            <w:tcMar>
              <w:top w:type="dxa" w:w="80"/>
              <w:left w:type="dxa" w:w="120"/>
              <w:bottom w:type="dxa" w:w="80"/>
              <w:right w:type="dxa" w:w="120"/>
            </w:tcMar>
          </w:tcPr>
          <w:p>
            <w:pPr>
              <w:spacing w:after="0" w:line="264"/>
            </w:pPr>
            <w:r>
              <w:rPr>
                <w:b/>
                <w:bCs/>
                <w:i w:val="false"/>
                <w:iCs w:val="false"/>
                <w:color w:val="141414"/>
                <w:sz w:val="22"/>
                <w:szCs w:val="22"/>
              </w:rPr>
              <w:t xml:space="preserve">1 · Owner / Executive</w:t>
            </w:r>
          </w:p>
        </w:tc>
        <w:tc>
          <w:tcPr>
            <w:tcW w:type="dxa" w:w="1300"/>
            <w:tcMar>
              <w:top w:type="dxa" w:w="80"/>
              <w:left w:type="dxa" w:w="120"/>
              <w:bottom w:type="dxa" w:w="80"/>
              <w:right w:type="dxa" w:w="120"/>
            </w:tcMar>
          </w:tcPr>
          <w:p>
            <w:pPr>
              <w:spacing w:after="0" w:line="264"/>
            </w:pPr>
            <w:r>
              <w:rPr>
                <w:color w:val="141414"/>
                <w:sz w:val="22"/>
                <w:szCs w:val="22"/>
              </w:rPr>
              <w:t xml:space="preserve">Owner</w:t>
            </w:r>
          </w:p>
        </w:tc>
        <w:tc>
          <w:tcPr>
            <w:tcW w:type="dxa" w:w="3960"/>
            <w:tcMar>
              <w:top w:type="dxa" w:w="80"/>
              <w:left w:type="dxa" w:w="120"/>
              <w:bottom w:type="dxa" w:w="80"/>
              <w:right w:type="dxa" w:w="120"/>
            </w:tcMar>
          </w:tcPr>
          <w:p>
            <w:pPr>
              <w:spacing w:after="0" w:line="264"/>
            </w:pPr>
            <w:r>
              <w:rPr>
                <w:color w:val="141414"/>
                <w:sz w:val="22"/>
                <w:szCs w:val="22"/>
              </w:rPr>
              <w:t xml:space="preserve">North star; confirmed credited MTD/QTD; MRR; open pipeline; cash collected vs outstanding; success rate</w:t>
            </w:r>
          </w:p>
        </w:tc>
        <w:tc>
          <w:tcPr>
            <w:tcW w:type="dxa" w:w="2000"/>
            <w:tcMar>
              <w:top w:type="dxa" w:w="80"/>
              <w:left w:type="dxa" w:w="120"/>
              <w:bottom w:type="dxa" w:w="80"/>
              <w:right w:type="dxa" w:w="120"/>
            </w:tcMar>
          </w:tcPr>
          <w:p>
            <w:pPr>
              <w:spacing w:after="0" w:line="264"/>
            </w:pPr>
            <w:r>
              <w:rPr>
                <w:color w:val="141414"/>
                <w:sz w:val="22"/>
                <w:szCs w:val="22"/>
              </w:rPr>
              <w:t xml:space="preserve">Weekly steer: hire, price, focus</w:t>
            </w:r>
          </w:p>
        </w:tc>
      </w:tr>
      <w:tr>
        <w:tc>
          <w:tcPr>
            <w:tcW w:type="dxa" w:w="2100"/>
            <w:shd w:fill="F2F6F4" w:color="auto" w:val="clear"/>
            <w:tcMar>
              <w:top w:type="dxa" w:w="80"/>
              <w:left w:type="dxa" w:w="120"/>
              <w:bottom w:type="dxa" w:w="80"/>
              <w:right w:type="dxa" w:w="120"/>
            </w:tcMar>
          </w:tcPr>
          <w:p>
            <w:pPr>
              <w:spacing w:after="0" w:line="264"/>
            </w:pPr>
            <w:r>
              <w:rPr>
                <w:b/>
                <w:bCs/>
                <w:i w:val="false"/>
                <w:iCs w:val="false"/>
                <w:color w:val="141414"/>
                <w:sz w:val="22"/>
                <w:szCs w:val="22"/>
              </w:rPr>
              <w:t xml:space="preserve">2 · Operations</w:t>
            </w:r>
          </w:p>
        </w:tc>
        <w:tc>
          <w:tcPr>
            <w:tcW w:type="dxa" w:w="1300"/>
            <w:shd w:fill="F2F6F4" w:color="auto" w:val="clear"/>
            <w:tcMar>
              <w:top w:type="dxa" w:w="80"/>
              <w:left w:type="dxa" w:w="120"/>
              <w:bottom w:type="dxa" w:w="80"/>
              <w:right w:type="dxa" w:w="120"/>
            </w:tcMar>
          </w:tcPr>
          <w:p>
            <w:pPr>
              <w:spacing w:after="0" w:line="264"/>
            </w:pPr>
            <w:r>
              <w:rPr>
                <w:color w:val="141414"/>
                <w:sz w:val="22"/>
                <w:szCs w:val="22"/>
              </w:rPr>
              <w:t xml:space="preserve">Operator</w:t>
            </w:r>
          </w:p>
        </w:tc>
        <w:tc>
          <w:tcPr>
            <w:tcW w:type="dxa" w:w="3960"/>
            <w:shd w:fill="F2F6F4" w:color="auto" w:val="clear"/>
            <w:tcMar>
              <w:top w:type="dxa" w:w="80"/>
              <w:left w:type="dxa" w:w="120"/>
              <w:bottom w:type="dxa" w:w="80"/>
              <w:right w:type="dxa" w:w="120"/>
            </w:tcMar>
          </w:tcPr>
          <w:p>
            <w:pPr>
              <w:spacing w:after="0" w:line="264"/>
            </w:pPr>
            <w:r>
              <w:rPr>
                <w:color w:val="141414"/>
                <w:sz w:val="22"/>
                <w:szCs w:val="22"/>
              </w:rPr>
              <w:t xml:space="preserve">Queue by stage; deadline-risk swimlane (&lt;72h red); throughput; minutes-per-case; cases awaiting approval</w:t>
            </w:r>
          </w:p>
        </w:tc>
        <w:tc>
          <w:tcPr>
            <w:tcW w:type="dxa" w:w="2000"/>
            <w:shd w:fill="F2F6F4" w:color="auto" w:val="clear"/>
            <w:tcMar>
              <w:top w:type="dxa" w:w="80"/>
              <w:left w:type="dxa" w:w="120"/>
              <w:bottom w:type="dxa" w:w="80"/>
              <w:right w:type="dxa" w:w="120"/>
            </w:tcMar>
          </w:tcPr>
          <w:p>
            <w:pPr>
              <w:spacing w:after="0" w:line="264"/>
            </w:pPr>
            <w:r>
              <w:rPr>
                <w:color w:val="141414"/>
                <w:sz w:val="22"/>
                <w:szCs w:val="22"/>
              </w:rPr>
              <w:t xml:space="preserve">What the operator touches next</w:t>
            </w:r>
          </w:p>
        </w:tc>
      </w:tr>
      <w:tr>
        <w:tc>
          <w:tcPr>
            <w:tcW w:type="dxa" w:w="2100"/>
            <w:tcMar>
              <w:top w:type="dxa" w:w="80"/>
              <w:left w:type="dxa" w:w="120"/>
              <w:bottom w:type="dxa" w:w="80"/>
              <w:right w:type="dxa" w:w="120"/>
            </w:tcMar>
          </w:tcPr>
          <w:p>
            <w:pPr>
              <w:spacing w:after="0" w:line="264"/>
            </w:pPr>
            <w:r>
              <w:rPr>
                <w:b/>
                <w:bCs/>
                <w:i w:val="false"/>
                <w:iCs w:val="false"/>
                <w:color w:val="141414"/>
                <w:sz w:val="22"/>
                <w:szCs w:val="22"/>
              </w:rPr>
              <w:t xml:space="preserve">3 · Recovery Funnel</w:t>
            </w:r>
          </w:p>
        </w:tc>
        <w:tc>
          <w:tcPr>
            <w:tcW w:type="dxa" w:w="1300"/>
            <w:tcMar>
              <w:top w:type="dxa" w:w="80"/>
              <w:left w:type="dxa" w:w="120"/>
              <w:bottom w:type="dxa" w:w="80"/>
              <w:right w:type="dxa" w:w="120"/>
            </w:tcMar>
          </w:tcPr>
          <w:p>
            <w:pPr>
              <w:spacing w:after="0" w:line="264"/>
            </w:pPr>
            <w:r>
              <w:rPr>
                <w:color w:val="141414"/>
                <w:sz w:val="22"/>
                <w:szCs w:val="22"/>
              </w:rPr>
              <w:t xml:space="preserve">Owner+Op</w:t>
            </w:r>
          </w:p>
        </w:tc>
        <w:tc>
          <w:tcPr>
            <w:tcW w:type="dxa" w:w="3960"/>
            <w:tcMar>
              <w:top w:type="dxa" w:w="80"/>
              <w:left w:type="dxa" w:w="120"/>
              <w:bottom w:type="dxa" w:w="80"/>
              <w:right w:type="dxa" w:w="120"/>
            </w:tcMar>
          </w:tcPr>
          <w:p>
            <w:pPr>
              <w:spacing w:after="0" w:line="264"/>
            </w:pPr>
            <w:r>
              <w:rPr>
                <w:color w:val="141414"/>
                <w:sz w:val="22"/>
                <w:szCs w:val="22"/>
              </w:rPr>
              <w:t xml:space="preserve">candidate→approved→submitted→confirmed value &amp; conversion; by rule; by seller; FP rate</w:t>
            </w:r>
          </w:p>
        </w:tc>
        <w:tc>
          <w:tcPr>
            <w:tcW w:type="dxa" w:w="2000"/>
            <w:tcMar>
              <w:top w:type="dxa" w:w="80"/>
              <w:left w:type="dxa" w:w="120"/>
              <w:bottom w:type="dxa" w:w="80"/>
              <w:right w:type="dxa" w:w="120"/>
            </w:tcMar>
          </w:tcPr>
          <w:p>
            <w:pPr>
              <w:spacing w:after="0" w:line="264"/>
            </w:pPr>
            <w:r>
              <w:rPr>
                <w:color w:val="141414"/>
                <w:sz w:val="22"/>
                <w:szCs w:val="22"/>
              </w:rPr>
              <w:t xml:space="preserve">Which rules/segments pay; kill weak rules</w:t>
            </w:r>
          </w:p>
        </w:tc>
      </w:tr>
      <w:tr>
        <w:tc>
          <w:tcPr>
            <w:tcW w:type="dxa" w:w="2100"/>
            <w:shd w:fill="F2F6F4" w:color="auto" w:val="clear"/>
            <w:tcMar>
              <w:top w:type="dxa" w:w="80"/>
              <w:left w:type="dxa" w:w="120"/>
              <w:bottom w:type="dxa" w:w="80"/>
              <w:right w:type="dxa" w:w="120"/>
            </w:tcMar>
          </w:tcPr>
          <w:p>
            <w:pPr>
              <w:spacing w:after="0" w:line="264"/>
            </w:pPr>
            <w:r>
              <w:rPr>
                <w:b/>
                <w:bCs/>
                <w:i w:val="false"/>
                <w:iCs w:val="false"/>
                <w:color w:val="141414"/>
                <w:sz w:val="22"/>
                <w:szCs w:val="22"/>
              </w:rPr>
              <w:t xml:space="preserve">4 · Financial / Billing</w:t>
            </w:r>
          </w:p>
        </w:tc>
        <w:tc>
          <w:tcPr>
            <w:tcW w:type="dxa" w:w="1300"/>
            <w:shd w:fill="F2F6F4" w:color="auto" w:val="clear"/>
            <w:tcMar>
              <w:top w:type="dxa" w:w="80"/>
              <w:left w:type="dxa" w:w="120"/>
              <w:bottom w:type="dxa" w:w="80"/>
              <w:right w:type="dxa" w:w="120"/>
            </w:tcMar>
          </w:tcPr>
          <w:p>
            <w:pPr>
              <w:spacing w:after="0" w:line="264"/>
            </w:pPr>
            <w:r>
              <w:rPr>
                <w:color w:val="141414"/>
                <w:sz w:val="22"/>
                <w:szCs w:val="22"/>
              </w:rPr>
              <w:t xml:space="preserve">Owner</w:t>
            </w:r>
          </w:p>
        </w:tc>
        <w:tc>
          <w:tcPr>
            <w:tcW w:type="dxa" w:w="3960"/>
            <w:shd w:fill="F2F6F4" w:color="auto" w:val="clear"/>
            <w:tcMar>
              <w:top w:type="dxa" w:w="80"/>
              <w:left w:type="dxa" w:w="120"/>
              <w:bottom w:type="dxa" w:w="80"/>
              <w:right w:type="dxa" w:w="120"/>
            </w:tcMar>
          </w:tcPr>
          <w:p>
            <w:pPr>
              <w:spacing w:after="0" w:line="264"/>
            </w:pPr>
            <w:r>
              <w:rPr>
                <w:color w:val="141414"/>
                <w:sz w:val="22"/>
                <w:szCs w:val="22"/>
              </w:rPr>
              <w:t xml:space="preserve">Fees invoiced/collected/outstanding; dunning aging; unit economics; margin; NFS-e vs charged</w:t>
            </w:r>
          </w:p>
        </w:tc>
        <w:tc>
          <w:tcPr>
            <w:tcW w:type="dxa" w:w="2000"/>
            <w:shd w:fill="F2F6F4" w:color="auto" w:val="clear"/>
            <w:tcMar>
              <w:top w:type="dxa" w:w="80"/>
              <w:left w:type="dxa" w:w="120"/>
              <w:bottom w:type="dxa" w:w="80"/>
              <w:right w:type="dxa" w:w="120"/>
            </w:tcMar>
          </w:tcPr>
          <w:p>
            <w:pPr>
              <w:spacing w:after="0" w:line="264"/>
            </w:pPr>
            <w:r>
              <w:rPr>
                <w:color w:val="141414"/>
                <w:sz w:val="22"/>
                <w:szCs w:val="22"/>
              </w:rPr>
              <w:t xml:space="preserve">Cash, dunning, pricing</w:t>
            </w:r>
          </w:p>
        </w:tc>
      </w:tr>
      <w:tr>
        <w:tc>
          <w:tcPr>
            <w:tcW w:type="dxa" w:w="2100"/>
            <w:tcMar>
              <w:top w:type="dxa" w:w="80"/>
              <w:left w:type="dxa" w:w="120"/>
              <w:bottom w:type="dxa" w:w="80"/>
              <w:right w:type="dxa" w:w="120"/>
            </w:tcMar>
          </w:tcPr>
          <w:p>
            <w:pPr>
              <w:spacing w:after="0" w:line="264"/>
            </w:pPr>
            <w:r>
              <w:rPr>
                <w:b/>
                <w:bCs/>
                <w:i w:val="false"/>
                <w:iCs w:val="false"/>
                <w:color w:val="141414"/>
                <w:sz w:val="22"/>
                <w:szCs w:val="22"/>
              </w:rPr>
              <w:t xml:space="preserve">5 · System Health</w:t>
            </w:r>
          </w:p>
        </w:tc>
        <w:tc>
          <w:tcPr>
            <w:tcW w:type="dxa" w:w="1300"/>
            <w:tcMar>
              <w:top w:type="dxa" w:w="80"/>
              <w:left w:type="dxa" w:w="120"/>
              <w:bottom w:type="dxa" w:w="80"/>
              <w:right w:type="dxa" w:w="120"/>
            </w:tcMar>
          </w:tcPr>
          <w:p>
            <w:pPr>
              <w:spacing w:after="0" w:line="264"/>
            </w:pPr>
            <w:r>
              <w:rPr>
                <w:color w:val="141414"/>
                <w:sz w:val="22"/>
                <w:szCs w:val="22"/>
              </w:rPr>
              <w:t xml:space="preserve">Owner+Op</w:t>
            </w:r>
          </w:p>
        </w:tc>
        <w:tc>
          <w:tcPr>
            <w:tcW w:type="dxa" w:w="3960"/>
            <w:tcMar>
              <w:top w:type="dxa" w:w="80"/>
              <w:left w:type="dxa" w:w="120"/>
              <w:bottom w:type="dxa" w:w="80"/>
              <w:right w:type="dxa" w:w="120"/>
            </w:tcMar>
          </w:tcPr>
          <w:p>
            <w:pPr>
              <w:spacing w:after="0" w:line="264"/>
            </w:pPr>
            <w:r>
              <w:rPr>
                <w:color w:val="141414"/>
                <w:sz w:val="22"/>
                <w:szCs w:val="22"/>
              </w:rPr>
              <w:t xml:space="preserve">Ingestion lag per source; webhook health; OAuth token status; DLQ depth; deadline-miss risk</w:t>
            </w:r>
          </w:p>
        </w:tc>
        <w:tc>
          <w:tcPr>
            <w:tcW w:type="dxa" w:w="2000"/>
            <w:tcMar>
              <w:top w:type="dxa" w:w="80"/>
              <w:left w:type="dxa" w:w="120"/>
              <w:bottom w:type="dxa" w:w="80"/>
              <w:right w:type="dxa" w:w="120"/>
            </w:tcMar>
          </w:tcPr>
          <w:p>
            <w:pPr>
              <w:spacing w:after="0" w:line="264"/>
            </w:pPr>
            <w:r>
              <w:rPr>
                <w:color w:val="141414"/>
                <w:sz w:val="22"/>
                <w:szCs w:val="22"/>
              </w:rPr>
              <w:t xml:space="preserve">Page on red; nothing rots silently</w:t>
            </w:r>
          </w:p>
        </w:tc>
      </w:tr>
      <w:tr>
        <w:tc>
          <w:tcPr>
            <w:tcW w:type="dxa" w:w="2100"/>
            <w:shd w:fill="F2F6F4" w:color="auto" w:val="clear"/>
            <w:tcMar>
              <w:top w:type="dxa" w:w="80"/>
              <w:left w:type="dxa" w:w="120"/>
              <w:bottom w:type="dxa" w:w="80"/>
              <w:right w:type="dxa" w:w="120"/>
            </w:tcMar>
          </w:tcPr>
          <w:p>
            <w:pPr>
              <w:spacing w:after="0" w:line="264"/>
            </w:pPr>
            <w:r>
              <w:rPr>
                <w:b/>
                <w:bCs/>
                <w:i w:val="false"/>
                <w:iCs w:val="false"/>
                <w:color w:val="141414"/>
                <w:sz w:val="22"/>
                <w:szCs w:val="22"/>
              </w:rPr>
              <w:t xml:space="preserve">6 · Client Health</w:t>
            </w:r>
          </w:p>
        </w:tc>
        <w:tc>
          <w:tcPr>
            <w:tcW w:type="dxa" w:w="1300"/>
            <w:shd w:fill="F2F6F4" w:color="auto" w:val="clear"/>
            <w:tcMar>
              <w:top w:type="dxa" w:w="80"/>
              <w:left w:type="dxa" w:w="120"/>
              <w:bottom w:type="dxa" w:w="80"/>
              <w:right w:type="dxa" w:w="120"/>
            </w:tcMar>
          </w:tcPr>
          <w:p>
            <w:pPr>
              <w:spacing w:after="0" w:line="264"/>
            </w:pPr>
            <w:r>
              <w:rPr>
                <w:color w:val="141414"/>
                <w:sz w:val="22"/>
                <w:szCs w:val="22"/>
              </w:rPr>
              <w:t xml:space="preserve">Op+Client</w:t>
            </w:r>
          </w:p>
        </w:tc>
        <w:tc>
          <w:tcPr>
            <w:tcW w:type="dxa" w:w="3960"/>
            <w:shd w:fill="F2F6F4" w:color="auto" w:val="clear"/>
            <w:tcMar>
              <w:top w:type="dxa" w:w="80"/>
              <w:left w:type="dxa" w:w="120"/>
              <w:bottom w:type="dxa" w:w="80"/>
              <w:right w:type="dxa" w:w="120"/>
            </w:tcMar>
          </w:tcPr>
          <w:p>
            <w:pPr>
              <w:spacing w:after="0" w:line="264"/>
            </w:pPr>
            <w:r>
              <w:rPr>
                <w:color w:val="141414"/>
                <w:sz w:val="22"/>
                <w:szCs w:val="22"/>
              </w:rPr>
              <w:t xml:space="preserve">Recovered-to-date; open cases; pending doc requests; sync status; churn-risk score</w:t>
            </w:r>
          </w:p>
        </w:tc>
        <w:tc>
          <w:tcPr>
            <w:tcW w:type="dxa" w:w="2000"/>
            <w:shd w:fill="F2F6F4" w:color="auto" w:val="clear"/>
            <w:tcMar>
              <w:top w:type="dxa" w:w="80"/>
              <w:left w:type="dxa" w:w="120"/>
              <w:bottom w:type="dxa" w:w="80"/>
              <w:right w:type="dxa" w:w="120"/>
            </w:tcMar>
          </w:tcPr>
          <w:p>
            <w:pPr>
              <w:spacing w:after="0" w:line="264"/>
            </w:pPr>
            <w:r>
              <w:rPr>
                <w:color w:val="141414"/>
                <w:sz w:val="22"/>
                <w:szCs w:val="22"/>
              </w:rPr>
              <w:t xml:space="preserve">Save accounts; chase docs</w:t>
            </w:r>
          </w:p>
        </w:tc>
      </w:tr>
      <w:tr>
        <w:tc>
          <w:tcPr>
            <w:tcW w:type="dxa" w:w="2100"/>
            <w:tcMar>
              <w:top w:type="dxa" w:w="80"/>
              <w:left w:type="dxa" w:w="120"/>
              <w:bottom w:type="dxa" w:w="80"/>
              <w:right w:type="dxa" w:w="120"/>
            </w:tcMar>
          </w:tcPr>
          <w:p>
            <w:pPr>
              <w:spacing w:after="0" w:line="264"/>
            </w:pPr>
            <w:r>
              <w:rPr>
                <w:b/>
                <w:bCs/>
                <w:i w:val="false"/>
                <w:iCs w:val="false"/>
                <w:color w:val="141414"/>
                <w:sz w:val="22"/>
                <w:szCs w:val="22"/>
              </w:rPr>
              <w:t xml:space="preserve">7 · Partner (white-label)</w:t>
            </w:r>
          </w:p>
        </w:tc>
        <w:tc>
          <w:tcPr>
            <w:tcW w:type="dxa" w:w="1300"/>
            <w:tcMar>
              <w:top w:type="dxa" w:w="80"/>
              <w:left w:type="dxa" w:w="120"/>
              <w:bottom w:type="dxa" w:w="80"/>
              <w:right w:type="dxa" w:w="120"/>
            </w:tcMar>
          </w:tcPr>
          <w:p>
            <w:pPr>
              <w:spacing w:after="0" w:line="264"/>
            </w:pPr>
            <w:r>
              <w:rPr>
                <w:color w:val="141414"/>
                <w:sz w:val="22"/>
                <w:szCs w:val="22"/>
              </w:rPr>
              <w:t xml:space="preserve">Partner</w:t>
            </w:r>
          </w:p>
        </w:tc>
        <w:tc>
          <w:tcPr>
            <w:tcW w:type="dxa" w:w="3960"/>
            <w:tcMar>
              <w:top w:type="dxa" w:w="80"/>
              <w:left w:type="dxa" w:w="120"/>
              <w:bottom w:type="dxa" w:w="80"/>
              <w:right w:type="dxa" w:w="120"/>
            </w:tcMar>
          </w:tcPr>
          <w:p>
            <w:pPr>
              <w:spacing w:after="0" w:line="264"/>
            </w:pPr>
            <w:r>
              <w:rPr>
                <w:color w:val="141414"/>
                <w:sz w:val="22"/>
                <w:szCs w:val="22"/>
              </w:rPr>
              <w:t xml:space="preserve">Recovered value across their sellers; pipeline; payout owed; branded statement export</w:t>
            </w:r>
          </w:p>
        </w:tc>
        <w:tc>
          <w:tcPr>
            <w:tcW w:type="dxa" w:w="2000"/>
            <w:tcMar>
              <w:top w:type="dxa" w:w="80"/>
              <w:left w:type="dxa" w:w="120"/>
              <w:bottom w:type="dxa" w:w="80"/>
              <w:right w:type="dxa" w:w="120"/>
            </w:tcMar>
          </w:tcPr>
          <w:p>
            <w:pPr>
              <w:spacing w:after="0" w:line="264"/>
            </w:pPr>
            <w:r>
              <w:rPr>
                <w:color w:val="141414"/>
                <w:sz w:val="22"/>
                <w:szCs w:val="22"/>
              </w:rPr>
              <w:t xml:space="preserve">Partner self-serve, retention</w:t>
            </w:r>
          </w:p>
        </w:tc>
      </w:tr>
      <w:tr>
        <w:tc>
          <w:tcPr>
            <w:tcW w:type="dxa" w:w="2100"/>
            <w:shd w:fill="F2F6F4" w:color="auto" w:val="clear"/>
            <w:tcMar>
              <w:top w:type="dxa" w:w="80"/>
              <w:left w:type="dxa" w:w="120"/>
              <w:bottom w:type="dxa" w:w="80"/>
              <w:right w:type="dxa" w:w="120"/>
            </w:tcMar>
          </w:tcPr>
          <w:p>
            <w:pPr>
              <w:spacing w:after="0" w:line="264"/>
            </w:pPr>
            <w:r>
              <w:rPr>
                <w:b/>
                <w:bCs/>
                <w:i w:val="false"/>
                <w:iCs w:val="false"/>
                <w:color w:val="141414"/>
                <w:sz w:val="22"/>
                <w:szCs w:val="22"/>
              </w:rPr>
              <w:t xml:space="preserve">8 · Growth / Funnel</w:t>
            </w:r>
          </w:p>
        </w:tc>
        <w:tc>
          <w:tcPr>
            <w:tcW w:type="dxa" w:w="1300"/>
            <w:shd w:fill="F2F6F4" w:color="auto" w:val="clear"/>
            <w:tcMar>
              <w:top w:type="dxa" w:w="80"/>
              <w:left w:type="dxa" w:w="120"/>
              <w:bottom w:type="dxa" w:w="80"/>
              <w:right w:type="dxa" w:w="120"/>
            </w:tcMar>
          </w:tcPr>
          <w:p>
            <w:pPr>
              <w:spacing w:after="0" w:line="264"/>
            </w:pPr>
            <w:r>
              <w:rPr>
                <w:color w:val="141414"/>
                <w:sz w:val="22"/>
                <w:szCs w:val="22"/>
              </w:rPr>
              <w:t xml:space="preserve">Owner</w:t>
            </w:r>
          </w:p>
        </w:tc>
        <w:tc>
          <w:tcPr>
            <w:tcW w:type="dxa" w:w="3960"/>
            <w:shd w:fill="F2F6F4" w:color="auto" w:val="clear"/>
            <w:tcMar>
              <w:top w:type="dxa" w:w="80"/>
              <w:left w:type="dxa" w:w="120"/>
              <w:bottom w:type="dxa" w:w="80"/>
              <w:right w:type="dxa" w:w="120"/>
            </w:tcMar>
          </w:tcPr>
          <w:p>
            <w:pPr>
              <w:spacing w:after="0" w:line="264"/>
            </w:pPr>
            <w:r>
              <w:rPr>
                <w:color w:val="141414"/>
                <w:sz w:val="22"/>
                <w:szCs w:val="22"/>
              </w:rPr>
              <w:t xml:space="preserve">Leads; audits run; audit→paid conversion; CAC; activation time; cohort retention</w:t>
            </w:r>
          </w:p>
        </w:tc>
        <w:tc>
          <w:tcPr>
            <w:tcW w:type="dxa" w:w="2000"/>
            <w:shd w:fill="F2F6F4" w:color="auto" w:val="clear"/>
            <w:tcMar>
              <w:top w:type="dxa" w:w="80"/>
              <w:left w:type="dxa" w:w="120"/>
              <w:bottom w:type="dxa" w:w="80"/>
              <w:right w:type="dxa" w:w="120"/>
            </w:tcMar>
          </w:tcPr>
          <w:p>
            <w:pPr>
              <w:spacing w:after="0" w:line="264"/>
            </w:pPr>
            <w:r>
              <w:rPr>
                <w:color w:val="141414"/>
                <w:sz w:val="22"/>
                <w:szCs w:val="22"/>
              </w:rPr>
              <w:t xml:space="preserve">Where marketing spend goes</w:t>
            </w:r>
          </w:p>
        </w:tc>
      </w:tr>
    </w:tbl>
    <w:p>
      <w:pPr>
        <w:spacing w:after="60"/>
      </w:pPr>
      <w:r>
        <w:t xml:space="preserve"/>
      </w:r>
    </w:p>
    <w:p>
      <w:r>
        <w:t xml:space="preserve">Crucially, dashboards only display; every external action they surface — approve, submit, charge, chase — still routes through the human-approval gate and the hash-chained log, never the tile itself.</w:t>
      </w:r>
    </w:p>
    <w:p>
      <w:pPr>
        <w:pStyle w:val="Heading1"/>
      </w:pPr>
      <w:r>
        <w:t xml:space="preserve">18.  Business Automation — the Self-Running Operation</w:t>
      </w:r>
    </w:p>
    <w:p>
      <w:r>
        <w:t xml:space="preserve">Automation is what lets a tiny team carry a large book. Every automated act is a row on the same spine: outbound comms become outbox rows, external actions become approval-queue rows. Both are emitted only by a deterministic rule or a scheduled job. The guardrail is structural and simple: the LLM chooses a template and writes prose into named slots; code fills every number by token substitution, so the model cannot state a figure it computed (a numeric linter is a backstop, not the primary control). Comms go out through a transactional email provider from versioned templates.</w:t>
      </w:r>
    </w:p>
    <w:tbl>
      <w:tblPr>
        <w:tblW w:type="dxa" w:w="9360"/>
        <w:tblBorders>
          <w:top w:val="single" w:color="C9D6D0" w:sz="4"/>
          <w:left w:val="single" w:color="C9D6D0" w:sz="4"/>
          <w:bottom w:val="single" w:color="C9D6D0" w:sz="4"/>
          <w:right w:val="single" w:color="C9D6D0" w:sz="4"/>
          <w:insideH w:val="single" w:color="C9D6D0" w:sz="4"/>
          <w:insideV w:val="single" w:color="C9D6D0" w:sz="4"/>
        </w:tblBorders>
      </w:tblPr>
      <w:tblGrid>
        <w:gridCol w:w="2100"/>
        <w:gridCol w:w="2200"/>
        <w:gridCol w:w="3260"/>
        <w:gridCol w:w="1800"/>
      </w:tblGrid>
      <w:tr>
        <w:trPr>
          <w:tblHeader/>
        </w:trPr>
        <w:tc>
          <w:tcPr>
            <w:tcW w:type="dxa" w:w="2100"/>
            <w:shd w:fill="0B4A36" w:color="auto" w:val="clear"/>
            <w:tcMar>
              <w:top w:type="dxa" w:w="80"/>
              <w:left w:type="dxa" w:w="120"/>
              <w:bottom w:type="dxa" w:w="80"/>
              <w:right w:type="dxa" w:w="120"/>
            </w:tcMar>
          </w:tcPr>
          <w:p>
            <w:pPr>
              <w:spacing w:after="0" w:line="260"/>
            </w:pPr>
            <w:r>
              <w:rPr>
                <w:b/>
                <w:bCs/>
                <w:color w:val="FFFFFF"/>
                <w:sz w:val="22"/>
                <w:szCs w:val="22"/>
              </w:rPr>
              <w:t xml:space="preserve">Workflow</w:t>
            </w:r>
          </w:p>
        </w:tc>
        <w:tc>
          <w:tcPr>
            <w:tcW w:type="dxa" w:w="2200"/>
            <w:shd w:fill="0B4A36" w:color="auto" w:val="clear"/>
            <w:tcMar>
              <w:top w:type="dxa" w:w="80"/>
              <w:left w:type="dxa" w:w="120"/>
              <w:bottom w:type="dxa" w:w="80"/>
              <w:right w:type="dxa" w:w="120"/>
            </w:tcMar>
          </w:tcPr>
          <w:p>
            <w:pPr>
              <w:spacing w:after="0" w:line="260"/>
            </w:pPr>
            <w:r>
              <w:rPr>
                <w:b/>
                <w:bCs/>
                <w:color w:val="FFFFFF"/>
                <w:sz w:val="22"/>
                <w:szCs w:val="22"/>
              </w:rPr>
              <w:t xml:space="preserve">Trigger</w:t>
            </w:r>
          </w:p>
        </w:tc>
        <w:tc>
          <w:tcPr>
            <w:tcW w:type="dxa" w:w="3260"/>
            <w:shd w:fill="0B4A36" w:color="auto" w:val="clear"/>
            <w:tcMar>
              <w:top w:type="dxa" w:w="80"/>
              <w:left w:type="dxa" w:w="120"/>
              <w:bottom w:type="dxa" w:w="80"/>
              <w:right w:type="dxa" w:w="120"/>
            </w:tcMar>
          </w:tcPr>
          <w:p>
            <w:pPr>
              <w:spacing w:after="0" w:line="260"/>
            </w:pPr>
            <w:r>
              <w:rPr>
                <w:b/>
                <w:bCs/>
                <w:color w:val="FFFFFF"/>
                <w:sz w:val="22"/>
                <w:szCs w:val="22"/>
              </w:rPr>
              <w:t xml:space="preserve">Action</w:t>
            </w:r>
          </w:p>
        </w:tc>
        <w:tc>
          <w:tcPr>
            <w:tcW w:type="dxa" w:w="1800"/>
            <w:shd w:fill="0B4A36" w:color="auto" w:val="clear"/>
            <w:tcMar>
              <w:top w:type="dxa" w:w="80"/>
              <w:left w:type="dxa" w:w="120"/>
              <w:bottom w:type="dxa" w:w="80"/>
              <w:right w:type="dxa" w:w="120"/>
            </w:tcMar>
          </w:tcPr>
          <w:p>
            <w:pPr>
              <w:spacing w:after="0" w:line="260"/>
            </w:pPr>
            <w:r>
              <w:rPr>
                <w:b/>
                <w:bCs/>
                <w:color w:val="FFFFFF"/>
                <w:sz w:val="22"/>
                <w:szCs w:val="22"/>
              </w:rPr>
              <w:t xml:space="preserve">Mode</w:t>
            </w:r>
          </w:p>
        </w:tc>
      </w:tr>
      <w:tr>
        <w:tc>
          <w:tcPr>
            <w:tcW w:type="dxa" w:w="2100"/>
            <w:tcMar>
              <w:top w:type="dxa" w:w="80"/>
              <w:left w:type="dxa" w:w="120"/>
              <w:bottom w:type="dxa" w:w="80"/>
              <w:right w:type="dxa" w:w="120"/>
            </w:tcMar>
          </w:tcPr>
          <w:p>
            <w:pPr>
              <w:spacing w:after="0" w:line="264"/>
            </w:pPr>
            <w:r>
              <w:rPr>
                <w:color w:val="141414"/>
                <w:sz w:val="22"/>
                <w:szCs w:val="22"/>
              </w:rPr>
              <w:t xml:space="preserve">Onboarding + first audit</w:t>
            </w:r>
          </w:p>
        </w:tc>
        <w:tc>
          <w:tcPr>
            <w:tcW w:type="dxa" w:w="2200"/>
            <w:tcMar>
              <w:top w:type="dxa" w:w="80"/>
              <w:left w:type="dxa" w:w="120"/>
              <w:bottom w:type="dxa" w:w="80"/>
              <w:right w:type="dxa" w:w="120"/>
            </w:tcMar>
          </w:tcPr>
          <w:p>
            <w:pPr>
              <w:spacing w:after="0" w:line="264"/>
            </w:pPr>
            <w:r>
              <w:rPr>
                <w:color w:val="141414"/>
                <w:sz w:val="22"/>
                <w:szCs w:val="22"/>
              </w:rPr>
              <w:t xml:space="preserve">OAuth connect</w:t>
            </w:r>
          </w:p>
        </w:tc>
        <w:tc>
          <w:tcPr>
            <w:tcW w:type="dxa" w:w="3260"/>
            <w:tcMar>
              <w:top w:type="dxa" w:w="80"/>
              <w:left w:type="dxa" w:w="120"/>
              <w:bottom w:type="dxa" w:w="80"/>
              <w:right w:type="dxa" w:w="120"/>
            </w:tcMar>
          </w:tcPr>
          <w:p>
            <w:pPr>
              <w:spacing w:after="0" w:line="264"/>
            </w:pPr>
            <w:r>
              <w:rPr>
                <w:color w:val="141414"/>
                <w:sz w:val="22"/>
                <w:szCs w:val="22"/>
              </w:rPr>
              <w:t xml:space="preserve">Store read-only tokens, run 7 rules in shadow, welcome sequence, capture mandate</w:t>
            </w:r>
          </w:p>
        </w:tc>
        <w:tc>
          <w:tcPr>
            <w:tcW w:type="dxa" w:w="1800"/>
            <w:tcMar>
              <w:top w:type="dxa" w:w="80"/>
              <w:left w:type="dxa" w:w="120"/>
              <w:bottom w:type="dxa" w:w="80"/>
              <w:right w:type="dxa" w:w="120"/>
            </w:tcMar>
          </w:tcPr>
          <w:p>
            <w:pPr>
              <w:spacing w:after="0" w:line="264"/>
            </w:pPr>
            <w:r>
              <w:rPr>
                <w:color w:val="141414"/>
                <w:sz w:val="22"/>
                <w:szCs w:val="22"/>
              </w:rPr>
              <w:t xml:space="preserve">Auto (human countersigns mandate)</w:t>
            </w:r>
          </w:p>
        </w:tc>
      </w:tr>
      <w:tr>
        <w:tc>
          <w:tcPr>
            <w:tcW w:type="dxa" w:w="2100"/>
            <w:shd w:fill="F2F6F4" w:color="auto" w:val="clear"/>
            <w:tcMar>
              <w:top w:type="dxa" w:w="80"/>
              <w:left w:type="dxa" w:w="120"/>
              <w:bottom w:type="dxa" w:w="80"/>
              <w:right w:type="dxa" w:w="120"/>
            </w:tcMar>
          </w:tcPr>
          <w:p>
            <w:pPr>
              <w:spacing w:after="0" w:line="264"/>
            </w:pPr>
            <w:r>
              <w:rPr>
                <w:color w:val="141414"/>
                <w:sz w:val="22"/>
                <w:szCs w:val="22"/>
              </w:rPr>
              <w:t xml:space="preserve">Inbound inquiry</w:t>
            </w:r>
          </w:p>
        </w:tc>
        <w:tc>
          <w:tcPr>
            <w:tcW w:type="dxa" w:w="2200"/>
            <w:shd w:fill="F2F6F4" w:color="auto" w:val="clear"/>
            <w:tcMar>
              <w:top w:type="dxa" w:w="80"/>
              <w:left w:type="dxa" w:w="120"/>
              <w:bottom w:type="dxa" w:w="80"/>
              <w:right w:type="dxa" w:w="120"/>
            </w:tcMar>
          </w:tcPr>
          <w:p>
            <w:pPr>
              <w:spacing w:after="0" w:line="264"/>
            </w:pPr>
            <w:r>
              <w:rPr>
                <w:color w:val="141414"/>
                <w:sz w:val="22"/>
                <w:szCs w:val="22"/>
              </w:rPr>
              <w:t xml:space="preserve">Inbound email</w:t>
            </w:r>
          </w:p>
        </w:tc>
        <w:tc>
          <w:tcPr>
            <w:tcW w:type="dxa" w:w="3260"/>
            <w:shd w:fill="F2F6F4" w:color="auto" w:val="clear"/>
            <w:tcMar>
              <w:top w:type="dxa" w:w="80"/>
              <w:left w:type="dxa" w:w="120"/>
              <w:bottom w:type="dxa" w:w="80"/>
              <w:right w:type="dxa" w:w="120"/>
            </w:tcMar>
          </w:tcPr>
          <w:p>
            <w:pPr>
              <w:spacing w:after="0" w:line="264"/>
            </w:pPr>
            <w:r>
              <w:rPr>
                <w:color w:val="141414"/>
                <w:sz w:val="22"/>
                <w:szCs w:val="22"/>
              </w:rPr>
              <w:t xml:space="preserve">Parse, match seller/case, draft grounded reply, queue for send</w:t>
            </w:r>
          </w:p>
        </w:tc>
        <w:tc>
          <w:tcPr>
            <w:tcW w:type="dxa" w:w="1800"/>
            <w:shd w:fill="F2F6F4" w:color="auto" w:val="clear"/>
            <w:tcMar>
              <w:top w:type="dxa" w:w="80"/>
              <w:left w:type="dxa" w:w="120"/>
              <w:bottom w:type="dxa" w:w="80"/>
              <w:right w:type="dxa" w:w="120"/>
            </w:tcMar>
          </w:tcPr>
          <w:p>
            <w:pPr>
              <w:spacing w:after="0" w:line="264"/>
            </w:pPr>
            <w:r>
              <w:rPr>
                <w:color w:val="141414"/>
                <w:sz w:val="22"/>
                <w:szCs w:val="22"/>
              </w:rPr>
              <w:t xml:space="preserve">AI-draft + human send (material)</w:t>
            </w:r>
          </w:p>
        </w:tc>
      </w:tr>
      <w:tr>
        <w:tc>
          <w:tcPr>
            <w:tcW w:type="dxa" w:w="2100"/>
            <w:tcMar>
              <w:top w:type="dxa" w:w="80"/>
              <w:left w:type="dxa" w:w="120"/>
              <w:bottom w:type="dxa" w:w="80"/>
              <w:right w:type="dxa" w:w="120"/>
            </w:tcMar>
          </w:tcPr>
          <w:p>
            <w:pPr>
              <w:spacing w:after="0" w:line="264"/>
            </w:pPr>
            <w:r>
              <w:rPr>
                <w:color w:val="141414"/>
                <w:sz w:val="22"/>
                <w:szCs w:val="22"/>
              </w:rPr>
              <w:t xml:space="preserve">Doc-chase</w:t>
            </w:r>
          </w:p>
        </w:tc>
        <w:tc>
          <w:tcPr>
            <w:tcW w:type="dxa" w:w="2200"/>
            <w:tcMar>
              <w:top w:type="dxa" w:w="80"/>
              <w:left w:type="dxa" w:w="120"/>
              <w:bottom w:type="dxa" w:w="80"/>
              <w:right w:type="dxa" w:w="120"/>
            </w:tcMar>
          </w:tcPr>
          <w:p>
            <w:pPr>
              <w:spacing w:after="0" w:line="264"/>
            </w:pPr>
            <w:r>
              <w:rPr>
                <w:color w:val="141414"/>
                <w:sz w:val="22"/>
                <w:szCs w:val="22"/>
              </w:rPr>
              <w:t xml:space="preserve">Missing-evidence event / daily sweep</w:t>
            </w:r>
          </w:p>
        </w:tc>
        <w:tc>
          <w:tcPr>
            <w:tcW w:type="dxa" w:w="3260"/>
            <w:tcMar>
              <w:top w:type="dxa" w:w="80"/>
              <w:left w:type="dxa" w:w="120"/>
              <w:bottom w:type="dxa" w:w="80"/>
              <w:right w:type="dxa" w:w="120"/>
            </w:tcMar>
          </w:tcPr>
          <w:p>
            <w:pPr>
              <w:spacing w:after="0" w:line="264"/>
            </w:pPr>
            <w:r>
              <w:rPr>
                <w:color w:val="141414"/>
                <w:sz w:val="22"/>
                <w:szCs w:val="22"/>
              </w:rPr>
              <w:t xml:space="preserve">Request the exact missing doc; remind +3d/+7d; escalate +10d</w:t>
            </w:r>
          </w:p>
        </w:tc>
        <w:tc>
          <w:tcPr>
            <w:tcW w:type="dxa" w:w="1800"/>
            <w:tcMar>
              <w:top w:type="dxa" w:w="80"/>
              <w:left w:type="dxa" w:w="120"/>
              <w:bottom w:type="dxa" w:w="80"/>
              <w:right w:type="dxa" w:w="120"/>
            </w:tcMar>
          </w:tcPr>
          <w:p>
            <w:pPr>
              <w:spacing w:after="0" w:line="264"/>
            </w:pPr>
            <w:r>
              <w:rPr>
                <w:color w:val="141414"/>
                <w:sz w:val="22"/>
                <w:szCs w:val="22"/>
              </w:rPr>
              <w:t xml:space="preserve">Auto request / human escalate</w:t>
            </w:r>
          </w:p>
        </w:tc>
      </w:tr>
      <w:tr>
        <w:tc>
          <w:tcPr>
            <w:tcW w:type="dxa" w:w="2100"/>
            <w:shd w:fill="F2F6F4" w:color="auto" w:val="clear"/>
            <w:tcMar>
              <w:top w:type="dxa" w:w="80"/>
              <w:left w:type="dxa" w:w="120"/>
              <w:bottom w:type="dxa" w:w="80"/>
              <w:right w:type="dxa" w:w="120"/>
            </w:tcMar>
          </w:tcPr>
          <w:p>
            <w:pPr>
              <w:spacing w:after="0" w:line="264"/>
            </w:pPr>
            <w:r>
              <w:rPr>
                <w:color w:val="141414"/>
                <w:sz w:val="22"/>
                <w:szCs w:val="22"/>
              </w:rPr>
              <w:t xml:space="preserve">Deadline alert</w:t>
            </w:r>
          </w:p>
        </w:tc>
        <w:tc>
          <w:tcPr>
            <w:tcW w:type="dxa" w:w="2200"/>
            <w:shd w:fill="F2F6F4" w:color="auto" w:val="clear"/>
            <w:tcMar>
              <w:top w:type="dxa" w:w="80"/>
              <w:left w:type="dxa" w:w="120"/>
              <w:bottom w:type="dxa" w:w="80"/>
              <w:right w:type="dxa" w:w="120"/>
            </w:tcMar>
          </w:tcPr>
          <w:p>
            <w:pPr>
              <w:spacing w:after="0" w:line="264"/>
            </w:pPr>
            <w:r>
              <w:rPr>
                <w:color w:val="141414"/>
                <w:sz w:val="22"/>
                <w:szCs w:val="22"/>
              </w:rPr>
              <w:t xml:space="preserve">CLAIM_ACTION_DEADLINE / sweep</w:t>
            </w:r>
          </w:p>
        </w:tc>
        <w:tc>
          <w:tcPr>
            <w:tcW w:type="dxa" w:w="3260"/>
            <w:shd w:fill="F2F6F4" w:color="auto" w:val="clear"/>
            <w:tcMar>
              <w:top w:type="dxa" w:w="80"/>
              <w:left w:type="dxa" w:w="120"/>
              <w:bottom w:type="dxa" w:w="80"/>
              <w:right w:type="dxa" w:w="120"/>
            </w:tcMar>
          </w:tcPr>
          <w:p>
            <w:pPr>
              <w:spacing w:after="0" w:line="264"/>
            </w:pPr>
            <w:r>
              <w:rPr>
                <w:color w:val="141414"/>
                <w:sz w:val="22"/>
                <w:szCs w:val="22"/>
              </w:rPr>
              <w:t xml:space="preserve">Operator alert at T-5/T-2/T-1; optional seller notice</w:t>
            </w:r>
          </w:p>
        </w:tc>
        <w:tc>
          <w:tcPr>
            <w:tcW w:type="dxa" w:w="1800"/>
            <w:shd w:fill="F2F6F4" w:color="auto" w:val="clear"/>
            <w:tcMar>
              <w:top w:type="dxa" w:w="80"/>
              <w:left w:type="dxa" w:w="120"/>
              <w:bottom w:type="dxa" w:w="80"/>
              <w:right w:type="dxa" w:w="120"/>
            </w:tcMar>
          </w:tcPr>
          <w:p>
            <w:pPr>
              <w:spacing w:after="0" w:line="264"/>
            </w:pPr>
            <w:r>
              <w:rPr>
                <w:color w:val="141414"/>
                <w:sz w:val="22"/>
                <w:szCs w:val="22"/>
              </w:rPr>
              <w:t xml:space="preserve">AI-assist + human</w:t>
            </w:r>
          </w:p>
        </w:tc>
      </w:tr>
      <w:tr>
        <w:tc>
          <w:tcPr>
            <w:tcW w:type="dxa" w:w="2100"/>
            <w:tcMar>
              <w:top w:type="dxa" w:w="80"/>
              <w:left w:type="dxa" w:w="120"/>
              <w:bottom w:type="dxa" w:w="80"/>
              <w:right w:type="dxa" w:w="120"/>
            </w:tcMar>
          </w:tcPr>
          <w:p>
            <w:pPr>
              <w:spacing w:after="0" w:line="264"/>
            </w:pPr>
            <w:r>
              <w:rPr>
                <w:color w:val="141414"/>
                <w:sz w:val="22"/>
                <w:szCs w:val="22"/>
              </w:rPr>
              <w:t xml:space="preserve">Monthly statement</w:t>
            </w:r>
          </w:p>
        </w:tc>
        <w:tc>
          <w:tcPr>
            <w:tcW w:type="dxa" w:w="2200"/>
            <w:tcMar>
              <w:top w:type="dxa" w:w="80"/>
              <w:left w:type="dxa" w:w="120"/>
              <w:bottom w:type="dxa" w:w="80"/>
              <w:right w:type="dxa" w:w="120"/>
            </w:tcMar>
          </w:tcPr>
          <w:p>
            <w:pPr>
              <w:spacing w:after="0" w:line="264"/>
            </w:pPr>
            <w:r>
              <w:rPr>
                <w:color w:val="141414"/>
                <w:sz w:val="22"/>
                <w:szCs w:val="22"/>
              </w:rPr>
              <w:t xml:space="preserve">1st-of-month</w:t>
            </w:r>
          </w:p>
        </w:tc>
        <w:tc>
          <w:tcPr>
            <w:tcW w:type="dxa" w:w="3260"/>
            <w:tcMar>
              <w:top w:type="dxa" w:w="80"/>
              <w:left w:type="dxa" w:w="120"/>
              <w:bottom w:type="dxa" w:w="80"/>
              <w:right w:type="dxa" w:w="120"/>
            </w:tcMar>
          </w:tcPr>
          <w:p>
            <w:pPr>
              <w:spacing w:after="0" w:line="264"/>
            </w:pPr>
            <w:r>
              <w:rPr>
                <w:color w:val="141414"/>
                <w:sz w:val="22"/>
                <w:szCs w:val="22"/>
              </w:rPr>
              <w:t xml:space="preserve">Build recovered-value statement from the ledger view → PDF → send</w:t>
            </w:r>
          </w:p>
        </w:tc>
        <w:tc>
          <w:tcPr>
            <w:tcW w:type="dxa" w:w="1800"/>
            <w:tcMar>
              <w:top w:type="dxa" w:w="80"/>
              <w:left w:type="dxa" w:w="120"/>
              <w:bottom w:type="dxa" w:w="80"/>
              <w:right w:type="dxa" w:w="120"/>
            </w:tcMar>
          </w:tcPr>
          <w:p>
            <w:pPr>
              <w:spacing w:after="0" w:line="264"/>
            </w:pPr>
            <w:r>
              <w:rPr>
                <w:color w:val="141414"/>
                <w:sz w:val="22"/>
                <w:szCs w:val="22"/>
              </w:rPr>
              <w:t xml:space="preserve">Auto (numbers from code)</w:t>
            </w:r>
          </w:p>
        </w:tc>
      </w:tr>
      <w:tr>
        <w:tc>
          <w:tcPr>
            <w:tcW w:type="dxa" w:w="2100"/>
            <w:shd w:fill="F2F6F4" w:color="auto" w:val="clear"/>
            <w:tcMar>
              <w:top w:type="dxa" w:w="80"/>
              <w:left w:type="dxa" w:w="120"/>
              <w:bottom w:type="dxa" w:w="80"/>
              <w:right w:type="dxa" w:w="120"/>
            </w:tcMar>
          </w:tcPr>
          <w:p>
            <w:pPr>
              <w:spacing w:after="0" w:line="264"/>
            </w:pPr>
            <w:r>
              <w:rPr>
                <w:color w:val="141414"/>
                <w:sz w:val="22"/>
                <w:szCs w:val="22"/>
              </w:rPr>
              <w:t xml:space="preserve">Billing</w:t>
            </w:r>
          </w:p>
        </w:tc>
        <w:tc>
          <w:tcPr>
            <w:tcW w:type="dxa" w:w="2200"/>
            <w:shd w:fill="F2F6F4" w:color="auto" w:val="clear"/>
            <w:tcMar>
              <w:top w:type="dxa" w:w="80"/>
              <w:left w:type="dxa" w:w="120"/>
              <w:bottom w:type="dxa" w:w="80"/>
              <w:right w:type="dxa" w:w="120"/>
            </w:tcMar>
          </w:tcPr>
          <w:p>
            <w:pPr>
              <w:spacing w:after="0" w:line="264"/>
            </w:pPr>
            <w:r>
              <w:rPr>
                <w:color w:val="141414"/>
                <w:sz w:val="22"/>
                <w:szCs w:val="22"/>
              </w:rPr>
              <w:t xml:space="preserve">Credit confirmed in MP report</w:t>
            </w:r>
          </w:p>
        </w:tc>
        <w:tc>
          <w:tcPr>
            <w:tcW w:type="dxa" w:w="3260"/>
            <w:shd w:fill="F2F6F4" w:color="auto" w:val="clear"/>
            <w:tcMar>
              <w:top w:type="dxa" w:w="80"/>
              <w:left w:type="dxa" w:w="120"/>
              <w:bottom w:type="dxa" w:w="80"/>
              <w:right w:type="dxa" w:w="120"/>
            </w:tcMar>
          </w:tcPr>
          <w:p>
            <w:pPr>
              <w:spacing w:after="0" w:line="264"/>
            </w:pPr>
            <w:r>
              <w:rPr>
                <w:color w:val="141414"/>
                <w:sz w:val="22"/>
                <w:szCs w:val="22"/>
              </w:rPr>
              <w:t xml:space="preserve">Compute fee in code → issue NFS-e → charge pre-authorized method</w:t>
            </w:r>
          </w:p>
        </w:tc>
        <w:tc>
          <w:tcPr>
            <w:tcW w:type="dxa" w:w="1800"/>
            <w:shd w:fill="F2F6F4" w:color="auto" w:val="clear"/>
            <w:tcMar>
              <w:top w:type="dxa" w:w="80"/>
              <w:left w:type="dxa" w:w="120"/>
              <w:bottom w:type="dxa" w:w="80"/>
              <w:right w:type="dxa" w:w="120"/>
            </w:tcMar>
          </w:tcPr>
          <w:p>
            <w:pPr>
              <w:spacing w:after="0" w:line="264"/>
            </w:pPr>
            <w:r>
              <w:rPr>
                <w:color w:val="141414"/>
                <w:sz w:val="22"/>
                <w:szCs w:val="22"/>
              </w:rPr>
              <w:t xml:space="preserve">Auto; human release for large/ambiguous</w:t>
            </w:r>
          </w:p>
        </w:tc>
      </w:tr>
      <w:tr>
        <w:tc>
          <w:tcPr>
            <w:tcW w:type="dxa" w:w="2100"/>
            <w:tcMar>
              <w:top w:type="dxa" w:w="80"/>
              <w:left w:type="dxa" w:w="120"/>
              <w:bottom w:type="dxa" w:w="80"/>
              <w:right w:type="dxa" w:w="120"/>
            </w:tcMar>
          </w:tcPr>
          <w:p>
            <w:pPr>
              <w:spacing w:after="0" w:line="264"/>
            </w:pPr>
            <w:r>
              <w:rPr>
                <w:color w:val="141414"/>
                <w:sz w:val="22"/>
                <w:szCs w:val="22"/>
              </w:rPr>
              <w:t xml:space="preserve">Dunning</w:t>
            </w:r>
          </w:p>
        </w:tc>
        <w:tc>
          <w:tcPr>
            <w:tcW w:type="dxa" w:w="2200"/>
            <w:tcMar>
              <w:top w:type="dxa" w:w="80"/>
              <w:left w:type="dxa" w:w="120"/>
              <w:bottom w:type="dxa" w:w="80"/>
              <w:right w:type="dxa" w:w="120"/>
            </w:tcMar>
          </w:tcPr>
          <w:p>
            <w:pPr>
              <w:spacing w:after="0" w:line="264"/>
            </w:pPr>
            <w:r>
              <w:rPr>
                <w:color w:val="141414"/>
                <w:sz w:val="22"/>
                <w:szCs w:val="22"/>
              </w:rPr>
              <w:t xml:space="preserve">Charge failed</w:t>
            </w:r>
          </w:p>
        </w:tc>
        <w:tc>
          <w:tcPr>
            <w:tcW w:type="dxa" w:w="3260"/>
            <w:tcMar>
              <w:top w:type="dxa" w:w="80"/>
              <w:left w:type="dxa" w:w="120"/>
              <w:bottom w:type="dxa" w:w="80"/>
              <w:right w:type="dxa" w:w="120"/>
            </w:tcMar>
          </w:tcPr>
          <w:p>
            <w:pPr>
              <w:spacing w:after="0" w:line="264"/>
            </w:pPr>
            <w:r>
              <w:rPr>
                <w:color w:val="141414"/>
                <w:sz w:val="22"/>
                <w:szCs w:val="22"/>
              </w:rPr>
              <w:t xml:space="preserve">Retry +1/+3/+7d, dunning emails, escalate +10d</w:t>
            </w:r>
          </w:p>
        </w:tc>
        <w:tc>
          <w:tcPr>
            <w:tcW w:type="dxa" w:w="1800"/>
            <w:tcMar>
              <w:top w:type="dxa" w:w="80"/>
              <w:left w:type="dxa" w:w="120"/>
              <w:bottom w:type="dxa" w:w="80"/>
              <w:right w:type="dxa" w:w="120"/>
            </w:tcMar>
          </w:tcPr>
          <w:p>
            <w:pPr>
              <w:spacing w:after="0" w:line="264"/>
            </w:pPr>
            <w:r>
              <w:rPr>
                <w:color w:val="141414"/>
                <w:sz w:val="22"/>
                <w:szCs w:val="22"/>
              </w:rPr>
              <w:t xml:space="preserve">Auto retries / human escalate</w:t>
            </w:r>
          </w:p>
        </w:tc>
      </w:tr>
      <w:tr>
        <w:tc>
          <w:tcPr>
            <w:tcW w:type="dxa" w:w="2100"/>
            <w:shd w:fill="F2F6F4" w:color="auto" w:val="clear"/>
            <w:tcMar>
              <w:top w:type="dxa" w:w="80"/>
              <w:left w:type="dxa" w:w="120"/>
              <w:bottom w:type="dxa" w:w="80"/>
              <w:right w:type="dxa" w:w="120"/>
            </w:tcMar>
          </w:tcPr>
          <w:p>
            <w:pPr>
              <w:spacing w:after="0" w:line="264"/>
            </w:pPr>
            <w:r>
              <w:rPr>
                <w:color w:val="141414"/>
                <w:sz w:val="22"/>
                <w:szCs w:val="22"/>
              </w:rPr>
              <w:t xml:space="preserve">Status notify</w:t>
            </w:r>
          </w:p>
        </w:tc>
        <w:tc>
          <w:tcPr>
            <w:tcW w:type="dxa" w:w="2200"/>
            <w:shd w:fill="F2F6F4" w:color="auto" w:val="clear"/>
            <w:tcMar>
              <w:top w:type="dxa" w:w="80"/>
              <w:left w:type="dxa" w:w="120"/>
              <w:bottom w:type="dxa" w:w="80"/>
              <w:right w:type="dxa" w:w="120"/>
            </w:tcMar>
          </w:tcPr>
          <w:p>
            <w:pPr>
              <w:spacing w:after="0" w:line="264"/>
            </w:pPr>
            <w:r>
              <w:rPr>
                <w:color w:val="141414"/>
                <w:sz w:val="22"/>
                <w:szCs w:val="22"/>
              </w:rPr>
              <w:t xml:space="preserve">Credit confirmed</w:t>
            </w:r>
          </w:p>
        </w:tc>
        <w:tc>
          <w:tcPr>
            <w:tcW w:type="dxa" w:w="3260"/>
            <w:shd w:fill="F2F6F4" w:color="auto" w:val="clear"/>
            <w:tcMar>
              <w:top w:type="dxa" w:w="80"/>
              <w:left w:type="dxa" w:w="120"/>
              <w:bottom w:type="dxa" w:w="80"/>
              <w:right w:type="dxa" w:w="120"/>
            </w:tcMar>
          </w:tcPr>
          <w:p>
            <w:pPr>
              <w:spacing w:after="0" w:line="264"/>
            </w:pPr>
            <w:r>
              <w:rPr>
                <w:color w:val="141414"/>
                <w:sz w:val="22"/>
                <w:szCs w:val="22"/>
              </w:rPr>
              <w:t xml:space="preserve">Notify seller + partner, figure from code</w:t>
            </w:r>
          </w:p>
        </w:tc>
        <w:tc>
          <w:tcPr>
            <w:tcW w:type="dxa" w:w="1800"/>
            <w:shd w:fill="F2F6F4" w:color="auto" w:val="clear"/>
            <w:tcMar>
              <w:top w:type="dxa" w:w="80"/>
              <w:left w:type="dxa" w:w="120"/>
              <w:bottom w:type="dxa" w:w="80"/>
              <w:right w:type="dxa" w:w="120"/>
            </w:tcMar>
          </w:tcPr>
          <w:p>
            <w:pPr>
              <w:spacing w:after="0" w:line="264"/>
            </w:pPr>
            <w:r>
              <w:rPr>
                <w:color w:val="141414"/>
                <w:sz w:val="22"/>
                <w:szCs w:val="22"/>
              </w:rPr>
              <w:t xml:space="preserve">Auto</w:t>
            </w:r>
          </w:p>
        </w:tc>
      </w:tr>
      <w:tr>
        <w:tc>
          <w:tcPr>
            <w:tcW w:type="dxa" w:w="2100"/>
            <w:tcMar>
              <w:top w:type="dxa" w:w="80"/>
              <w:left w:type="dxa" w:w="120"/>
              <w:bottom w:type="dxa" w:w="80"/>
              <w:right w:type="dxa" w:w="120"/>
            </w:tcMar>
          </w:tcPr>
          <w:p>
            <w:pPr>
              <w:spacing w:after="0" w:line="264"/>
            </w:pPr>
            <w:r>
              <w:rPr>
                <w:color w:val="141414"/>
                <w:sz w:val="22"/>
                <w:szCs w:val="22"/>
              </w:rPr>
              <w:t xml:space="preserve">Partner report</w:t>
            </w:r>
          </w:p>
        </w:tc>
        <w:tc>
          <w:tcPr>
            <w:tcW w:type="dxa" w:w="2200"/>
            <w:tcMar>
              <w:top w:type="dxa" w:w="80"/>
              <w:left w:type="dxa" w:w="120"/>
              <w:bottom w:type="dxa" w:w="80"/>
              <w:right w:type="dxa" w:w="120"/>
            </w:tcMar>
          </w:tcPr>
          <w:p>
            <w:pPr>
              <w:spacing w:after="0" w:line="264"/>
            </w:pPr>
            <w:r>
              <w:rPr>
                <w:color w:val="141414"/>
                <w:sz w:val="22"/>
                <w:szCs w:val="22"/>
              </w:rPr>
              <w:t xml:space="preserve">Weekly/monthly per partner</w:t>
            </w:r>
          </w:p>
        </w:tc>
        <w:tc>
          <w:tcPr>
            <w:tcW w:type="dxa" w:w="3260"/>
            <w:tcMar>
              <w:top w:type="dxa" w:w="80"/>
              <w:left w:type="dxa" w:w="120"/>
              <w:bottom w:type="dxa" w:w="80"/>
              <w:right w:type="dxa" w:w="120"/>
            </w:tcMar>
          </w:tcPr>
          <w:p>
            <w:pPr>
              <w:spacing w:after="0" w:line="264"/>
            </w:pPr>
            <w:r>
              <w:rPr>
                <w:color w:val="141414"/>
                <w:sz w:val="22"/>
                <w:szCs w:val="22"/>
              </w:rPr>
              <w:t xml:space="preserve">White-label rollup → statement → send</w:t>
            </w:r>
          </w:p>
        </w:tc>
        <w:tc>
          <w:tcPr>
            <w:tcW w:type="dxa" w:w="1800"/>
            <w:tcMar>
              <w:top w:type="dxa" w:w="80"/>
              <w:left w:type="dxa" w:w="120"/>
              <w:bottom w:type="dxa" w:w="80"/>
              <w:right w:type="dxa" w:w="120"/>
            </w:tcMar>
          </w:tcPr>
          <w:p>
            <w:pPr>
              <w:spacing w:after="0" w:line="264"/>
            </w:pPr>
            <w:r>
              <w:rPr>
                <w:color w:val="141414"/>
                <w:sz w:val="22"/>
                <w:szCs w:val="22"/>
              </w:rPr>
              <w:t xml:space="preserve">Auto (human-approve first run)</w:t>
            </w:r>
          </w:p>
        </w:tc>
      </w:tr>
      <w:tr>
        <w:tc>
          <w:tcPr>
            <w:tcW w:type="dxa" w:w="2100"/>
            <w:shd w:fill="F2F6F4" w:color="auto" w:val="clear"/>
            <w:tcMar>
              <w:top w:type="dxa" w:w="80"/>
              <w:left w:type="dxa" w:w="120"/>
              <w:bottom w:type="dxa" w:w="80"/>
              <w:right w:type="dxa" w:w="120"/>
            </w:tcMar>
          </w:tcPr>
          <w:p>
            <w:pPr>
              <w:spacing w:after="0" w:line="264"/>
            </w:pPr>
            <w:r>
              <w:rPr>
                <w:color w:val="141414"/>
                <w:sz w:val="22"/>
                <w:szCs w:val="22"/>
              </w:rPr>
              <w:t xml:space="preserve">Internal alerts</w:t>
            </w:r>
          </w:p>
        </w:tc>
        <w:tc>
          <w:tcPr>
            <w:tcW w:type="dxa" w:w="2200"/>
            <w:shd w:fill="F2F6F4" w:color="auto" w:val="clear"/>
            <w:tcMar>
              <w:top w:type="dxa" w:w="80"/>
              <w:left w:type="dxa" w:w="120"/>
              <w:bottom w:type="dxa" w:w="80"/>
              <w:right w:type="dxa" w:w="120"/>
            </w:tcMar>
          </w:tcPr>
          <w:p>
            <w:pPr>
              <w:spacing w:after="0" w:line="264"/>
            </w:pPr>
            <w:r>
              <w:rPr>
                <w:color w:val="141414"/>
                <w:sz w:val="22"/>
                <w:szCs w:val="22"/>
              </w:rPr>
              <w:t xml:space="preserve">FP-rate / freshness / token / DLQ jobs</w:t>
            </w:r>
          </w:p>
        </w:tc>
        <w:tc>
          <w:tcPr>
            <w:tcW w:type="dxa" w:w="3260"/>
            <w:shd w:fill="F2F6F4" w:color="auto" w:val="clear"/>
            <w:tcMar>
              <w:top w:type="dxa" w:w="80"/>
              <w:left w:type="dxa" w:w="120"/>
              <w:bottom w:type="dxa" w:w="80"/>
              <w:right w:type="dxa" w:w="120"/>
            </w:tcMar>
          </w:tcPr>
          <w:p>
            <w:pPr>
              <w:spacing w:after="0" w:line="264"/>
            </w:pPr>
            <w:r>
              <w:rPr>
                <w:color w:val="141414"/>
                <w:sz w:val="22"/>
                <w:szCs w:val="22"/>
              </w:rPr>
              <w:t xml:space="preserve">Alert the operator on threshold breach</w:t>
            </w:r>
          </w:p>
        </w:tc>
        <w:tc>
          <w:tcPr>
            <w:tcW w:type="dxa" w:w="1800"/>
            <w:shd w:fill="F2F6F4" w:color="auto" w:val="clear"/>
            <w:tcMar>
              <w:top w:type="dxa" w:w="80"/>
              <w:left w:type="dxa" w:w="120"/>
              <w:bottom w:type="dxa" w:w="80"/>
              <w:right w:type="dxa" w:w="120"/>
            </w:tcMar>
          </w:tcPr>
          <w:p>
            <w:pPr>
              <w:spacing w:after="0" w:line="264"/>
            </w:pPr>
            <w:r>
              <w:rPr>
                <w:color w:val="141414"/>
                <w:sz w:val="22"/>
                <w:szCs w:val="22"/>
              </w:rPr>
              <w:t xml:space="preserve">Auto</w:t>
            </w:r>
          </w:p>
        </w:tc>
      </w:tr>
    </w:tbl>
    <w:p>
      <w:pPr>
        <w:spacing w:after="60"/>
      </w:pPr>
      <w:r>
        <w:t xml:space="preserve"/>
      </w:r>
    </w:p>
    <w:p>
      <w:r>
        <w:t xml:space="preserve">The split is strict: automate the repetitive, never the accountability. Nothing customer-facing or externally-consequential fires without the right human gate or a pre-approved operating rule. The scale path needs no re-architecture — a well-worn template (welcome, statement, credit-confirmed) graduates from “human-approves-each-send” to “auto-send” by flipping one flag once its edit-rate in the approvals queue is consistently near zero. The human gate becomes a monitored pre-approved rule; the spine and the invariants are unchanged from ten sellers to ten thousand.</w:t>
      </w:r>
    </w:p>
    <w:p>
      <w:pPr>
        <w:pStyle w:val="Heading1"/>
      </w:pPr>
      <w:r>
        <w:t xml:space="preserve">19.  The Operator Workbench</w:t>
      </w:r>
    </w:p>
    <w:p>
      <w:r>
        <w:t xml:space="preserve">The operator decides; they never assemble. Every case arrives pre-reconciled, pre-drafted, pre-scored; the workbench compresses “read → judge → act” to under 20 minutes, target sub-5. It is keyboard-first and server-rendered. The central screen, the Case Detail cockpit, shows: a header (case, seller, type, priority, deadline, confidence); the money math as a code-computed “Esperado vs Recebido” ledger diff with hover-provenance to the source event; an AI-built evidence checklist (green ticks, red missing items that block submission); an AI-drafted Portuguese explanation with the numbers injected by code; and an action bar (Aprovar / Rejeitar / Pedir documento / Escalar) that logs an immutable approval. Approve advances to the submission gate; it never itself fires anything external.</w:t>
      </w:r>
    </w:p>
    <w:p>
      <w:pPr>
        <w:pStyle w:val="Heading1"/>
      </w:pPr>
      <w:r>
        <w:t xml:space="preserve">20.  AI Operating Layer &amp; Guardrails</w:t>
      </w:r>
    </w:p>
    <w:p>
      <w:r>
        <w:t xml:space="preserve">AI proposes, code computes, a human approves — enforced by architecture, not instruction. A case-facts table, populated only by the rules engine, is the single grounding source the model may reference.</w:t>
      </w:r>
    </w:p>
    <w:tbl>
      <w:tblPr>
        <w:tblW w:type="dxa" w:w="9360"/>
        <w:tblBorders>
          <w:top w:val="single" w:color="C9D6D0" w:sz="4"/>
          <w:left w:val="single" w:color="C9D6D0" w:sz="4"/>
          <w:bottom w:val="single" w:color="C9D6D0" w:sz="4"/>
          <w:right w:val="single" w:color="C9D6D0" w:sz="4"/>
          <w:insideH w:val="single" w:color="C9D6D0" w:sz="4"/>
          <w:insideV w:val="single" w:color="C9D6D0" w:sz="4"/>
        </w:tblBorders>
      </w:tblPr>
      <w:tblGrid>
        <w:gridCol w:w="3120"/>
        <w:gridCol w:w="3120"/>
        <w:gridCol w:w="3120"/>
      </w:tblGrid>
      <w:tr>
        <w:trPr>
          <w:tblHeader/>
        </w:trPr>
        <w:tc>
          <w:tcPr>
            <w:tcW w:type="dxa" w:w="3120"/>
            <w:shd w:fill="0B4A36" w:color="auto" w:val="clear"/>
            <w:tcMar>
              <w:top w:type="dxa" w:w="80"/>
              <w:left w:type="dxa" w:w="120"/>
              <w:bottom w:type="dxa" w:w="80"/>
              <w:right w:type="dxa" w:w="120"/>
            </w:tcMar>
          </w:tcPr>
          <w:p>
            <w:pPr>
              <w:spacing w:after="0" w:line="260"/>
            </w:pPr>
            <w:r>
              <w:rPr>
                <w:b/>
                <w:bCs/>
                <w:color w:val="FFFFFF"/>
                <w:sz w:val="22"/>
                <w:szCs w:val="22"/>
              </w:rPr>
              <w:t xml:space="preserve">Fully automated (code)</w:t>
            </w:r>
          </w:p>
        </w:tc>
        <w:tc>
          <w:tcPr>
            <w:tcW w:type="dxa" w:w="3120"/>
            <w:shd w:fill="0B4A36" w:color="auto" w:val="clear"/>
            <w:tcMar>
              <w:top w:type="dxa" w:w="80"/>
              <w:left w:type="dxa" w:w="120"/>
              <w:bottom w:type="dxa" w:w="80"/>
              <w:right w:type="dxa" w:w="120"/>
            </w:tcMar>
          </w:tcPr>
          <w:p>
            <w:pPr>
              <w:spacing w:after="0" w:line="260"/>
            </w:pPr>
            <w:r>
              <w:rPr>
                <w:b/>
                <w:bCs/>
                <w:color w:val="FFFFFF"/>
                <w:sz w:val="22"/>
                <w:szCs w:val="22"/>
              </w:rPr>
              <w:t xml:space="preserve">AI-assisted (drafts)</w:t>
            </w:r>
          </w:p>
        </w:tc>
        <w:tc>
          <w:tcPr>
            <w:tcW w:type="dxa" w:w="3120"/>
            <w:shd w:fill="0B4A36" w:color="auto" w:val="clear"/>
            <w:tcMar>
              <w:top w:type="dxa" w:w="80"/>
              <w:left w:type="dxa" w:w="120"/>
              <w:bottom w:type="dxa" w:w="80"/>
              <w:right w:type="dxa" w:w="120"/>
            </w:tcMar>
          </w:tcPr>
          <w:p>
            <w:pPr>
              <w:spacing w:after="0" w:line="260"/>
            </w:pPr>
            <w:r>
              <w:rPr>
                <w:b/>
                <w:bCs/>
                <w:color w:val="FFFFFF"/>
                <w:sz w:val="22"/>
                <w:szCs w:val="22"/>
              </w:rPr>
              <w:t xml:space="preserve">Human-approved</w:t>
            </w:r>
          </w:p>
        </w:tc>
      </w:tr>
      <w:tr>
        <w:tc>
          <w:tcPr>
            <w:tcW w:type="dxa" w:w="3120"/>
            <w:tcMar>
              <w:top w:type="dxa" w:w="80"/>
              <w:left w:type="dxa" w:w="120"/>
              <w:bottom w:type="dxa" w:w="80"/>
              <w:right w:type="dxa" w:w="120"/>
            </w:tcMar>
          </w:tcPr>
          <w:p>
            <w:pPr>
              <w:spacing w:after="0" w:line="264"/>
            </w:pPr>
            <w:r>
              <w:rPr>
                <w:color w:val="141414"/>
                <w:sz w:val="22"/>
                <w:szCs w:val="22"/>
              </w:rPr>
              <w:t xml:space="preserve">Imports, normalization, matching</w:t>
            </w:r>
          </w:p>
        </w:tc>
        <w:tc>
          <w:tcPr>
            <w:tcW w:type="dxa" w:w="3120"/>
            <w:tcMar>
              <w:top w:type="dxa" w:w="80"/>
              <w:left w:type="dxa" w:w="120"/>
              <w:bottom w:type="dxa" w:w="80"/>
              <w:right w:type="dxa" w:w="120"/>
            </w:tcMar>
          </w:tcPr>
          <w:p>
            <w:pPr>
              <w:spacing w:after="0" w:line="264"/>
            </w:pPr>
            <w:r>
              <w:rPr>
                <w:color w:val="141414"/>
                <w:sz w:val="22"/>
                <w:szCs w:val="22"/>
              </w:rPr>
              <w:t xml:space="preserve">Document / NF-e interpretation*</w:t>
            </w:r>
          </w:p>
        </w:tc>
        <w:tc>
          <w:tcPr>
            <w:tcW w:type="dxa" w:w="3120"/>
            <w:tcMar>
              <w:top w:type="dxa" w:w="80"/>
              <w:left w:type="dxa" w:w="120"/>
              <w:bottom w:type="dxa" w:w="80"/>
              <w:right w:type="dxa" w:w="120"/>
            </w:tcMar>
          </w:tcPr>
          <w:p>
            <w:pPr>
              <w:spacing w:after="0" w:line="264"/>
            </w:pPr>
            <w:r>
              <w:rPr>
                <w:color w:val="141414"/>
                <w:sz w:val="22"/>
                <w:szCs w:val="22"/>
              </w:rPr>
              <w:t xml:space="preserve">Case eligibility</w:t>
            </w:r>
          </w:p>
        </w:tc>
      </w:tr>
      <w:tr>
        <w:tc>
          <w:tcPr>
            <w:tcW w:type="dxa" w:w="3120"/>
            <w:shd w:fill="F2F6F4" w:color="auto" w:val="clear"/>
            <w:tcMar>
              <w:top w:type="dxa" w:w="80"/>
              <w:left w:type="dxa" w:w="120"/>
              <w:bottom w:type="dxa" w:w="80"/>
              <w:right w:type="dxa" w:w="120"/>
            </w:tcMar>
          </w:tcPr>
          <w:p>
            <w:pPr>
              <w:spacing w:after="0" w:line="264"/>
            </w:pPr>
            <w:r>
              <w:rPr>
                <w:color w:val="141414"/>
                <w:sz w:val="22"/>
                <w:szCs w:val="22"/>
              </w:rPr>
              <w:t xml:space="preserve">Detection, deadline calc, reconciliation</w:t>
            </w:r>
          </w:p>
        </w:tc>
        <w:tc>
          <w:tcPr>
            <w:tcW w:type="dxa" w:w="3120"/>
            <w:shd w:fill="F2F6F4" w:color="auto" w:val="clear"/>
            <w:tcMar>
              <w:top w:type="dxa" w:w="80"/>
              <w:left w:type="dxa" w:w="120"/>
              <w:bottom w:type="dxa" w:w="80"/>
              <w:right w:type="dxa" w:w="120"/>
            </w:tcMar>
          </w:tcPr>
          <w:p>
            <w:pPr>
              <w:spacing w:after="0" w:line="264"/>
            </w:pPr>
            <w:r>
              <w:rPr>
                <w:color w:val="141414"/>
                <w:sz w:val="22"/>
                <w:szCs w:val="22"/>
              </w:rPr>
              <w:t xml:space="preserve">Evidence-checklist creation</w:t>
            </w:r>
          </w:p>
        </w:tc>
        <w:tc>
          <w:tcPr>
            <w:tcW w:type="dxa" w:w="3120"/>
            <w:shd w:fill="F2F6F4" w:color="auto" w:val="clear"/>
            <w:tcMar>
              <w:top w:type="dxa" w:w="80"/>
              <w:left w:type="dxa" w:w="120"/>
              <w:bottom w:type="dxa" w:w="80"/>
              <w:right w:type="dxa" w:w="120"/>
            </w:tcMar>
          </w:tcPr>
          <w:p>
            <w:pPr>
              <w:spacing w:after="0" w:line="264"/>
            </w:pPr>
            <w:r>
              <w:rPr>
                <w:color w:val="141414"/>
                <w:sz w:val="22"/>
                <w:szCs w:val="22"/>
              </w:rPr>
              <w:t xml:space="preserve">Monetary basis</w:t>
            </w:r>
          </w:p>
        </w:tc>
      </w:tr>
      <w:tr>
        <w:tc>
          <w:tcPr>
            <w:tcW w:type="dxa" w:w="3120"/>
            <w:tcMar>
              <w:top w:type="dxa" w:w="80"/>
              <w:left w:type="dxa" w:w="120"/>
              <w:bottom w:type="dxa" w:w="80"/>
              <w:right w:type="dxa" w:w="120"/>
            </w:tcMar>
          </w:tcPr>
          <w:p>
            <w:pPr>
              <w:spacing w:after="0" w:line="264"/>
            </w:pPr>
            <w:r>
              <w:rPr>
                <w:color w:val="141414"/>
                <w:sz w:val="22"/>
                <w:szCs w:val="22"/>
              </w:rPr>
              <w:t xml:space="preserve">Prioritization, fee calculation</w:t>
            </w:r>
          </w:p>
        </w:tc>
        <w:tc>
          <w:tcPr>
            <w:tcW w:type="dxa" w:w="3120"/>
            <w:tcMar>
              <w:top w:type="dxa" w:w="80"/>
              <w:left w:type="dxa" w:w="120"/>
              <w:bottom w:type="dxa" w:w="80"/>
              <w:right w:type="dxa" w:w="120"/>
            </w:tcMar>
          </w:tcPr>
          <w:p>
            <w:pPr>
              <w:spacing w:after="0" w:line="264"/>
            </w:pPr>
            <w:r>
              <w:rPr>
                <w:color w:val="141414"/>
                <w:sz w:val="22"/>
                <w:szCs w:val="22"/>
              </w:rPr>
              <w:t xml:space="preserve">PT explanation &amp; reply drafting</w:t>
            </w:r>
          </w:p>
        </w:tc>
        <w:tc>
          <w:tcPr>
            <w:tcW w:type="dxa" w:w="3120"/>
            <w:tcMar>
              <w:top w:type="dxa" w:w="80"/>
              <w:left w:type="dxa" w:w="120"/>
              <w:bottom w:type="dxa" w:w="80"/>
              <w:right w:type="dxa" w:w="120"/>
            </w:tcMar>
          </w:tcPr>
          <w:p>
            <w:pPr>
              <w:spacing w:after="0" w:line="264"/>
            </w:pPr>
            <w:r>
              <w:rPr>
                <w:color w:val="141414"/>
                <w:sz w:val="22"/>
                <w:szCs w:val="22"/>
              </w:rPr>
              <w:t xml:space="preserve">External submissions</w:t>
            </w:r>
          </w:p>
        </w:tc>
      </w:tr>
      <w:tr>
        <w:tc>
          <w:tcPr>
            <w:tcW w:type="dxa" w:w="3120"/>
            <w:shd w:fill="F2F6F4" w:color="auto" w:val="clear"/>
            <w:tcMar>
              <w:top w:type="dxa" w:w="80"/>
              <w:left w:type="dxa" w:w="120"/>
              <w:bottom w:type="dxa" w:w="80"/>
              <w:right w:type="dxa" w:w="120"/>
            </w:tcMar>
          </w:tcPr>
          <w:p>
            <w:pPr>
              <w:spacing w:after="0" w:line="264"/>
            </w:pPr>
            <w:r>
              <w:rPr>
                <w:color w:val="141414"/>
                <w:sz w:val="22"/>
                <w:szCs w:val="22"/>
              </w:rPr>
              <w:t xml:space="preserve">All dashboard metrics</w:t>
            </w:r>
          </w:p>
        </w:tc>
        <w:tc>
          <w:tcPr>
            <w:tcW w:type="dxa" w:w="3120"/>
            <w:shd w:fill="F2F6F4" w:color="auto" w:val="clear"/>
            <w:tcMar>
              <w:top w:type="dxa" w:w="80"/>
              <w:left w:type="dxa" w:w="120"/>
              <w:bottom w:type="dxa" w:w="80"/>
              <w:right w:type="dxa" w:w="120"/>
            </w:tcMar>
          </w:tcPr>
          <w:p>
            <w:pPr>
              <w:spacing w:after="0" w:line="264"/>
            </w:pPr>
            <w:r>
              <w:rPr>
                <w:color w:val="141414"/>
                <w:sz w:val="22"/>
                <w:szCs w:val="22"/>
              </w:rPr>
              <w:t xml:space="preserve">Response &amp; inquiry summarization</w:t>
            </w:r>
          </w:p>
        </w:tc>
        <w:tc>
          <w:tcPr>
            <w:tcW w:type="dxa" w:w="3120"/>
            <w:shd w:fill="F2F6F4" w:color="auto" w:val="clear"/>
            <w:tcMar>
              <w:top w:type="dxa" w:w="80"/>
              <w:left w:type="dxa" w:w="120"/>
              <w:bottom w:type="dxa" w:w="80"/>
              <w:right w:type="dxa" w:w="120"/>
            </w:tcMar>
          </w:tcPr>
          <w:p>
            <w:pPr>
              <w:spacing w:after="0" w:line="264"/>
            </w:pPr>
            <w:r>
              <w:rPr>
                <w:color w:val="141414"/>
                <w:sz w:val="22"/>
                <w:szCs w:val="22"/>
              </w:rPr>
              <w:t xml:space="preserve">Seller communications, closure</w:t>
            </w:r>
          </w:p>
        </w:tc>
      </w:tr>
    </w:tbl>
    <w:p>
      <w:pPr>
        <w:spacing w:after="60"/>
      </w:pPr>
      <w:r>
        <w:t xml:space="preserve"/>
      </w:r>
    </w:p>
    <w:p>
      <w:r>
        <w:t xml:space="preserve">The model never emits a free-typed number into anything that reaches a human or a customer: it selects a template and writes prose into named slots, and code fills the figures. Guardrails add structured outputs, retrieval scoped to one case in one tenant, five human gates, a golden-set eval where the numeric-leak rate must be zero, a full prompt/response audit, and zero-retention endpoints so no seller or buyer data trains public models. NF-e is parsed in code from the structured XML; AI only touches degraded scans, and its output is a candidate with a confidence score, never the case number.</w:t>
      </w:r>
    </w:p>
    <w:p>
      <w:pPr>
        <w:pStyle w:val="Heading1"/>
      </w:pPr>
      <w:r>
        <w:t xml:space="preserve">21.  Integrations &amp; the Unsafe-Access Boundary</w:t>
      </w:r>
    </w:p>
    <w:p>
      <w:r>
        <w:t xml:space="preserve">Read-only, idempotent, per-seller ingestion. One connect screen runs two OAuth handshakes (Mercado Livre, then Mercado Pago). Default scope is read plus offline access — never write at onboarding. Write is a separate per-seller consent requested only when a Managed Recovery contract is signed, and every write still passes the approval gate. Webhooks are the trigger; a periodic poll is the safety net that re-pulls near-deadline claims and catches missed notifications.</w:t>
      </w:r>
    </w:p>
    <w:p>
      <w:pPr>
        <w:pStyle w:val="Heading3"/>
      </w:pPr>
      <w:r>
        <w:t xml:space="preserve">The unsafe-access boundary — the crux of the business</w:t>
      </w:r>
    </w:p>
    <w:p>
      <w:pPr>
        <w:pStyle w:val="ListParagraph"/>
        <w:numPr>
          <w:ilvl w:val="0"/>
          <w:numId w:val="1"/>
        </w:numPr>
        <w:spacing w:after="90" w:line="340"/>
      </w:pPr>
      <w:r>
        <w:rPr>
          <w:b/>
          <w:bCs/>
        </w:rPr>
        <w:t xml:space="preserve">API-executable after human approval: </w:t>
      </w:r>
      <w:r>
        <w:t xml:space="preserve">claim messaging and evidence — send message, add shipping evidence, send attachments, open dispute.</w:t>
      </w:r>
    </w:p>
    <w:p>
      <w:pPr>
        <w:pStyle w:val="ListParagraph"/>
        <w:numPr>
          <w:ilvl w:val="0"/>
          <w:numId w:val="1"/>
        </w:numPr>
        <w:spacing w:after="90" w:line="340"/>
      </w:pPr>
      <w:r>
        <w:rPr>
          <w:b/>
          <w:bCs/>
        </w:rPr>
        <w:t xml:space="preserve">Manual / administrative only </w:t>
      </w:r>
      <w:r>
        <w:t xml:space="preserve">(VOLTA detects, quantifies, and prepares; a human files in the dashboard): accepting/declining resolutions, Full-inventory reimbursement filing, final adjudication.</w:t>
      </w:r>
    </w:p>
    <w:p>
      <w:pPr>
        <w:pStyle w:val="ListParagraph"/>
        <w:numPr>
          <w:ilvl w:val="0"/>
          <w:numId w:val="1"/>
        </w:numPr>
        <w:spacing w:after="90" w:line="340"/>
      </w:pPr>
      <w:r>
        <w:rPr>
          <w:b/>
          <w:bCs/>
        </w:rPr>
        <w:t xml:space="preserve">Blocklisted: </w:t>
      </w:r>
      <w:r>
        <w:t xml:space="preserve">the Mercado Pago refund endpoint moves money out — never used for recovery.</w:t>
      </w:r>
    </w:p>
    <w:p>
      <w:r>
        <w:t xml:space="preserve">No action executes under a seller’s identity without explicit authorization or a pre-approved operating rule. Confirm target sellers are not Model-6, and verify current developer policy on programmatic claim submission before automating any filing.</w:t>
      </w:r>
    </w:p>
    <w:p>
      <w:pPr>
        <w:pStyle w:val="Heading1"/>
      </w:pPr>
      <w:r>
        <w:t xml:space="preserve">22.  Security, Compliance &amp; Trust (LGPD)</w:t>
      </w:r>
    </w:p>
    <w:p>
      <w:r>
        <w:t xml:space="preserve">Trust is the product — a seller is handing VOLTA a live pipe into the data about their money — so every control exists to kill the “can I trust you?” objection before value is even shown.</w:t>
      </w:r>
    </w:p>
    <w:p>
      <w:pPr>
        <w:pStyle w:val="ListParagraph"/>
        <w:numPr>
          <w:ilvl w:val="0"/>
          <w:numId w:val="1"/>
        </w:numPr>
        <w:spacing w:after="90" w:line="340"/>
      </w:pPr>
      <w:r>
        <w:rPr>
          <w:b/>
          <w:bCs/>
        </w:rPr>
        <w:t xml:space="preserve">Token vault: </w:t>
      </w:r>
      <w:r>
        <w:t xml:space="preserve">per-tenant envelope encryption; a narrow broker behind mutual TLS is the only holder of the decrypt key; short-lived access tokens; one click revokes access and pauses jobs.</w:t>
      </w:r>
    </w:p>
    <w:p>
      <w:pPr>
        <w:pStyle w:val="ListParagraph"/>
        <w:numPr>
          <w:ilvl w:val="0"/>
          <w:numId w:val="1"/>
        </w:numPr>
        <w:spacing w:after="90" w:line="340"/>
      </w:pPr>
      <w:r>
        <w:rPr>
          <w:b/>
          <w:bCs/>
        </w:rPr>
        <w:t xml:space="preserve">Isolation: </w:t>
      </w:r>
      <w:r>
        <w:t xml:space="preserve">Postgres row-level security on every table, a per-request tenant setting, a per-tenant storage prefix, proven by a cross-tenant test in CI. Dashboards and partner views enforce the same tenant/partner scoping.</w:t>
      </w:r>
    </w:p>
    <w:p>
      <w:pPr>
        <w:pStyle w:val="ListParagraph"/>
        <w:numPr>
          <w:ilvl w:val="0"/>
          <w:numId w:val="1"/>
        </w:numPr>
        <w:spacing w:after="90" w:line="340"/>
      </w:pPr>
      <w:r>
        <w:rPr>
          <w:b/>
          <w:bCs/>
        </w:rPr>
        <w:t xml:space="preserve">PII minimization: </w:t>
      </w:r>
      <w:r>
        <w:t xml:space="preserve">buyer identifiers become a pseudonymous reference at ingestion; reports and every prompt see only that reference.</w:t>
      </w:r>
    </w:p>
    <w:p>
      <w:pPr>
        <w:pStyle w:val="ListParagraph"/>
        <w:numPr>
          <w:ilvl w:val="0"/>
          <w:numId w:val="1"/>
        </w:numPr>
        <w:spacing w:after="90" w:line="340"/>
      </w:pPr>
      <w:r>
        <w:rPr>
          <w:b/>
          <w:bCs/>
        </w:rPr>
        <w:t xml:space="preserve">Immutable audit + approval trail: </w:t>
      </w:r>
      <w:r>
        <w:t xml:space="preserve">append-only and hash-chained — at once the LGPD accountability record and the dispute asset.</w:t>
      </w:r>
    </w:p>
    <w:p>
      <w:r>
        <w:t xml:space="preserve">LGPD posture: VOLTA is a controller of its own data and an operator when querying marketplace data on seller instruction (a signed data-processing agreement per client). Retention aligns to the five-year fiscal minimum, then hard purge. Cross-border AI or cloud use requires ANPD standard clauses or in-region processing; model calls run under a zero-retention, no-training agreement behind a PII-redaction gateway. VOLTA performs administrative recovery support only — not legal representation, accounting opinions, or litigation. The guarantee to the seller: official login only (never a password), read-only, nothing sent without case-by-case approval, data isolated and processed in Brazil, one-click revoke, no training of public models, full audit trail, and payment only on confirmed credit.</w:t>
      </w:r>
    </w:p>
    <w:p>
      <w:pPr>
        <w:pStyle w:val="Heading1"/>
      </w:pPr>
      <w:r>
        <w:t xml:space="preserve">23.  Billing &amp; Collections Subsystem</w:t>
      </w:r>
    </w:p>
    <w:p>
      <w:r>
        <w:t xml:space="preserve">The fee is a small state machine that runs itself: detected → submitted → credit-confirmed → fee-computed → NFS-e-issued → charged → paid, with side-paths for reversal (clawback) and charge-failure retry (dunning). It integrates a fiscal API (to issue the NFS-e across Brazil’s municipal systems) and a payment processor (to debit the pre-authorized mandate). The seller’s mandate, captured at onboarding, is the standing human authorization for routine fees; a human release gate still covers any fee above a value threshold or with an ambiguous credit match, so the “human authorizes external money movement” invariant holds. Every fee row is immutable and traces to the confirming Mercado Pago movement, the matched case, the rule-version, and the approval — so any dispute is answered by replay. Because collection costs roughly zero human minutes, it is a direct contributor to the north-star metric, and it appears live on the Financial dashboard.</w:t>
      </w:r>
    </w:p>
    <w:p>
      <w:pPr>
        <w:pStyle w:val="Heading1"/>
      </w:pPr>
      <w:r>
        <w:t xml:space="preserve">24.  The KISS Build Stack</w:t>
      </w:r>
    </w:p>
    <w:p>
      <w:r>
        <w:t xml:space="preserve">The whole system is one Python process, one database, and a server-rendered UI — plus the two isolated processes and the external services VOLTA rents rather than builds.</w:t>
      </w:r>
    </w:p>
    <w:tbl>
      <w:tblPr>
        <w:tblW w:type="dxa" w:w="9360"/>
        <w:tblBorders>
          <w:top w:val="single" w:color="C9D6D0" w:sz="4"/>
          <w:left w:val="single" w:color="C9D6D0" w:sz="4"/>
          <w:bottom w:val="single" w:color="C9D6D0" w:sz="4"/>
          <w:right w:val="single" w:color="C9D6D0" w:sz="4"/>
          <w:insideH w:val="single" w:color="C9D6D0" w:sz="4"/>
          <w:insideV w:val="single" w:color="C9D6D0" w:sz="4"/>
        </w:tblBorders>
      </w:tblPr>
      <w:tblGrid>
        <w:gridCol w:w="2200"/>
        <w:gridCol w:w="3760"/>
        <w:gridCol w:w="3400"/>
      </w:tblGrid>
      <w:tr>
        <w:trPr>
          <w:tblHeader/>
        </w:trPr>
        <w:tc>
          <w:tcPr>
            <w:tcW w:type="dxa" w:w="2200"/>
            <w:shd w:fill="0B4A36" w:color="auto" w:val="clear"/>
            <w:tcMar>
              <w:top w:type="dxa" w:w="80"/>
              <w:left w:type="dxa" w:w="120"/>
              <w:bottom w:type="dxa" w:w="80"/>
              <w:right w:type="dxa" w:w="120"/>
            </w:tcMar>
          </w:tcPr>
          <w:p>
            <w:pPr>
              <w:spacing w:after="0" w:line="260"/>
            </w:pPr>
            <w:r>
              <w:rPr>
                <w:b/>
                <w:bCs/>
                <w:color w:val="FFFFFF"/>
                <w:sz w:val="22"/>
                <w:szCs w:val="22"/>
              </w:rPr>
              <w:t xml:space="preserve">Layer</w:t>
            </w:r>
          </w:p>
        </w:tc>
        <w:tc>
          <w:tcPr>
            <w:tcW w:type="dxa" w:w="3760"/>
            <w:shd w:fill="0B4A36" w:color="auto" w:val="clear"/>
            <w:tcMar>
              <w:top w:type="dxa" w:w="80"/>
              <w:left w:type="dxa" w:w="120"/>
              <w:bottom w:type="dxa" w:w="80"/>
              <w:right w:type="dxa" w:w="120"/>
            </w:tcMar>
          </w:tcPr>
          <w:p>
            <w:pPr>
              <w:spacing w:after="0" w:line="260"/>
            </w:pPr>
            <w:r>
              <w:rPr>
                <w:b/>
                <w:bCs/>
                <w:color w:val="FFFFFF"/>
                <w:sz w:val="22"/>
                <w:szCs w:val="22"/>
              </w:rPr>
              <w:t xml:space="preserve">KISS choice</w:t>
            </w:r>
          </w:p>
        </w:tc>
        <w:tc>
          <w:tcPr>
            <w:tcW w:type="dxa" w:w="3400"/>
            <w:shd w:fill="0B4A36" w:color="auto" w:val="clear"/>
            <w:tcMar>
              <w:top w:type="dxa" w:w="80"/>
              <w:left w:type="dxa" w:w="120"/>
              <w:bottom w:type="dxa" w:w="80"/>
              <w:right w:type="dxa" w:w="120"/>
            </w:tcMar>
          </w:tcPr>
          <w:p>
            <w:pPr>
              <w:spacing w:after="0" w:line="260"/>
            </w:pPr>
            <w:r>
              <w:rPr>
                <w:b/>
                <w:bCs/>
                <w:color w:val="FFFFFF"/>
                <w:sz w:val="22"/>
                <w:szCs w:val="22"/>
              </w:rPr>
              <w:t xml:space="preserve">What to cut / defer</w:t>
            </w:r>
          </w:p>
        </w:tc>
      </w:tr>
      <w:tr>
        <w:tc>
          <w:tcPr>
            <w:tcW w:type="dxa" w:w="2200"/>
            <w:tcMar>
              <w:top w:type="dxa" w:w="80"/>
              <w:left w:type="dxa" w:w="120"/>
              <w:bottom w:type="dxa" w:w="80"/>
              <w:right w:type="dxa" w:w="120"/>
            </w:tcMar>
          </w:tcPr>
          <w:p>
            <w:pPr>
              <w:spacing w:after="0" w:line="264"/>
            </w:pPr>
            <w:r>
              <w:rPr>
                <w:color w:val="141414"/>
                <w:sz w:val="22"/>
                <w:szCs w:val="22"/>
              </w:rPr>
              <w:t xml:space="preserve">Language + API</w:t>
            </w:r>
          </w:p>
        </w:tc>
        <w:tc>
          <w:tcPr>
            <w:tcW w:type="dxa" w:w="3760"/>
            <w:tcMar>
              <w:top w:type="dxa" w:w="80"/>
              <w:left w:type="dxa" w:w="120"/>
              <w:bottom w:type="dxa" w:w="80"/>
              <w:right w:type="dxa" w:w="120"/>
            </w:tcMar>
          </w:tcPr>
          <w:p>
            <w:pPr>
              <w:spacing w:after="0" w:line="264"/>
            </w:pPr>
            <w:r>
              <w:rPr>
                <w:color w:val="141414"/>
                <w:sz w:val="22"/>
                <w:szCs w:val="22"/>
              </w:rPr>
              <w:t xml:space="preserve">Python 3.12 + FastAPI, single deployable</w:t>
            </w:r>
          </w:p>
        </w:tc>
        <w:tc>
          <w:tcPr>
            <w:tcW w:type="dxa" w:w="3400"/>
            <w:tcMar>
              <w:top w:type="dxa" w:w="80"/>
              <w:left w:type="dxa" w:w="120"/>
              <w:bottom w:type="dxa" w:w="80"/>
              <w:right w:type="dxa" w:w="120"/>
            </w:tcMar>
          </w:tcPr>
          <w:p>
            <w:pPr>
              <w:spacing w:after="0" w:line="264"/>
            </w:pPr>
            <w:r>
              <w:rPr>
                <w:color w:val="141414"/>
                <w:sz w:val="22"/>
                <w:szCs w:val="22"/>
              </w:rPr>
              <w:t xml:space="preserve">Microservices</w:t>
            </w:r>
          </w:p>
        </w:tc>
      </w:tr>
      <w:tr>
        <w:tc>
          <w:tcPr>
            <w:tcW w:type="dxa" w:w="2200"/>
            <w:shd w:fill="F2F6F4" w:color="auto" w:val="clear"/>
            <w:tcMar>
              <w:top w:type="dxa" w:w="80"/>
              <w:left w:type="dxa" w:w="120"/>
              <w:bottom w:type="dxa" w:w="80"/>
              <w:right w:type="dxa" w:w="120"/>
            </w:tcMar>
          </w:tcPr>
          <w:p>
            <w:pPr>
              <w:spacing w:after="0" w:line="264"/>
            </w:pPr>
            <w:r>
              <w:rPr>
                <w:color w:val="141414"/>
                <w:sz w:val="22"/>
                <w:szCs w:val="22"/>
              </w:rPr>
              <w:t xml:space="preserve">Database + spine + metrics</w:t>
            </w:r>
          </w:p>
        </w:tc>
        <w:tc>
          <w:tcPr>
            <w:tcW w:type="dxa" w:w="3760"/>
            <w:shd w:fill="F2F6F4" w:color="auto" w:val="clear"/>
            <w:tcMar>
              <w:top w:type="dxa" w:w="80"/>
              <w:left w:type="dxa" w:w="120"/>
              <w:bottom w:type="dxa" w:w="80"/>
              <w:right w:type="dxa" w:w="120"/>
            </w:tcMar>
          </w:tcPr>
          <w:p>
            <w:pPr>
              <w:spacing w:after="0" w:line="264"/>
            </w:pPr>
            <w:r>
              <w:rPr>
                <w:color w:val="141414"/>
                <w:sz w:val="22"/>
                <w:szCs w:val="22"/>
              </w:rPr>
              <w:t xml:space="preserve">PostgreSQL via Supabase (São Paulo)</w:t>
            </w:r>
          </w:p>
        </w:tc>
        <w:tc>
          <w:tcPr>
            <w:tcW w:type="dxa" w:w="3400"/>
            <w:shd w:fill="F2F6F4" w:color="auto" w:val="clear"/>
            <w:tcMar>
              <w:top w:type="dxa" w:w="80"/>
              <w:left w:type="dxa" w:w="120"/>
              <w:bottom w:type="dxa" w:w="80"/>
              <w:right w:type="dxa" w:w="120"/>
            </w:tcMar>
          </w:tcPr>
          <w:p>
            <w:pPr>
              <w:spacing w:after="0" w:line="264"/>
            </w:pPr>
            <w:r>
              <w:rPr>
                <w:color w:val="141414"/>
                <w:sz w:val="22"/>
                <w:szCs w:val="22"/>
              </w:rPr>
              <w:t xml:space="preserve">Any second datastore; a warehouse</w:t>
            </w:r>
          </w:p>
        </w:tc>
      </w:tr>
      <w:tr>
        <w:tc>
          <w:tcPr>
            <w:tcW w:type="dxa" w:w="2200"/>
            <w:tcMar>
              <w:top w:type="dxa" w:w="80"/>
              <w:left w:type="dxa" w:w="120"/>
              <w:bottom w:type="dxa" w:w="80"/>
              <w:right w:type="dxa" w:w="120"/>
            </w:tcMar>
          </w:tcPr>
          <w:p>
            <w:pPr>
              <w:spacing w:after="0" w:line="264"/>
            </w:pPr>
            <w:r>
              <w:rPr>
                <w:color w:val="141414"/>
                <w:sz w:val="22"/>
                <w:szCs w:val="22"/>
              </w:rPr>
              <w:t xml:space="preserve">Storage</w:t>
            </w:r>
          </w:p>
        </w:tc>
        <w:tc>
          <w:tcPr>
            <w:tcW w:type="dxa" w:w="3760"/>
            <w:tcMar>
              <w:top w:type="dxa" w:w="80"/>
              <w:left w:type="dxa" w:w="120"/>
              <w:bottom w:type="dxa" w:w="80"/>
              <w:right w:type="dxa" w:w="120"/>
            </w:tcMar>
          </w:tcPr>
          <w:p>
            <w:pPr>
              <w:spacing w:after="0" w:line="264"/>
            </w:pPr>
            <w:r>
              <w:rPr>
                <w:color w:val="141414"/>
                <w:sz w:val="22"/>
                <w:szCs w:val="22"/>
              </w:rPr>
              <w:t xml:space="preserve">Supabase Storage (NF-e XML, evidence)</w:t>
            </w:r>
          </w:p>
        </w:tc>
        <w:tc>
          <w:tcPr>
            <w:tcW w:type="dxa" w:w="3400"/>
            <w:tcMar>
              <w:top w:type="dxa" w:w="80"/>
              <w:left w:type="dxa" w:w="120"/>
              <w:bottom w:type="dxa" w:w="80"/>
              <w:right w:type="dxa" w:w="120"/>
            </w:tcMar>
          </w:tcPr>
          <w:p>
            <w:pPr>
              <w:spacing w:after="0" w:line="264"/>
            </w:pPr>
            <w:r>
              <w:rPr>
                <w:color w:val="141414"/>
                <w:sz w:val="22"/>
                <w:szCs w:val="22"/>
              </w:rPr>
              <w:t xml:space="preserve">—</w:t>
            </w:r>
          </w:p>
        </w:tc>
      </w:tr>
      <w:tr>
        <w:tc>
          <w:tcPr>
            <w:tcW w:type="dxa" w:w="2200"/>
            <w:shd w:fill="F2F6F4" w:color="auto" w:val="clear"/>
            <w:tcMar>
              <w:top w:type="dxa" w:w="80"/>
              <w:left w:type="dxa" w:w="120"/>
              <w:bottom w:type="dxa" w:w="80"/>
              <w:right w:type="dxa" w:w="120"/>
            </w:tcMar>
          </w:tcPr>
          <w:p>
            <w:pPr>
              <w:spacing w:after="0" w:line="264"/>
            </w:pPr>
            <w:r>
              <w:rPr>
                <w:color w:val="141414"/>
                <w:sz w:val="22"/>
                <w:szCs w:val="22"/>
              </w:rPr>
              <w:t xml:space="preserve">Queue + scheduler</w:t>
            </w:r>
          </w:p>
        </w:tc>
        <w:tc>
          <w:tcPr>
            <w:tcW w:type="dxa" w:w="3760"/>
            <w:shd w:fill="F2F6F4" w:color="auto" w:val="clear"/>
            <w:tcMar>
              <w:top w:type="dxa" w:w="80"/>
              <w:left w:type="dxa" w:w="120"/>
              <w:bottom w:type="dxa" w:w="80"/>
              <w:right w:type="dxa" w:w="120"/>
            </w:tcMar>
          </w:tcPr>
          <w:p>
            <w:pPr>
              <w:spacing w:after="0" w:line="264"/>
            </w:pPr>
            <w:r>
              <w:rPr>
                <w:color w:val="141414"/>
                <w:sz w:val="22"/>
                <w:szCs w:val="22"/>
              </w:rPr>
              <w:t xml:space="preserve">In-Postgres queue + APScheduler</w:t>
            </w:r>
          </w:p>
        </w:tc>
        <w:tc>
          <w:tcPr>
            <w:tcW w:type="dxa" w:w="3400"/>
            <w:shd w:fill="F2F6F4" w:color="auto" w:val="clear"/>
            <w:tcMar>
              <w:top w:type="dxa" w:w="80"/>
              <w:left w:type="dxa" w:w="120"/>
              <w:bottom w:type="dxa" w:w="80"/>
              <w:right w:type="dxa" w:w="120"/>
            </w:tcMar>
          </w:tcPr>
          <w:p>
            <w:pPr>
              <w:spacing w:after="0" w:line="264"/>
            </w:pPr>
            <w:r>
              <w:rPr>
                <w:color w:val="141414"/>
                <w:sz w:val="22"/>
                <w:szCs w:val="22"/>
              </w:rPr>
              <w:t xml:space="preserve">Redis until real burst load (Phase 2)</w:t>
            </w:r>
          </w:p>
        </w:tc>
      </w:tr>
      <w:tr>
        <w:tc>
          <w:tcPr>
            <w:tcW w:type="dxa" w:w="2200"/>
            <w:tcMar>
              <w:top w:type="dxa" w:w="80"/>
              <w:left w:type="dxa" w:w="120"/>
              <w:bottom w:type="dxa" w:w="80"/>
              <w:right w:type="dxa" w:w="120"/>
            </w:tcMar>
          </w:tcPr>
          <w:p>
            <w:pPr>
              <w:spacing w:after="0" w:line="264"/>
            </w:pPr>
            <w:r>
              <w:rPr>
                <w:color w:val="141414"/>
                <w:sz w:val="22"/>
                <w:szCs w:val="22"/>
              </w:rPr>
              <w:t xml:space="preserve">Workbench + dashboards</w:t>
            </w:r>
          </w:p>
        </w:tc>
        <w:tc>
          <w:tcPr>
            <w:tcW w:type="dxa" w:w="3760"/>
            <w:tcMar>
              <w:top w:type="dxa" w:w="80"/>
              <w:left w:type="dxa" w:w="120"/>
              <w:bottom w:type="dxa" w:w="80"/>
              <w:right w:type="dxa" w:w="120"/>
            </w:tcMar>
          </w:tcPr>
          <w:p>
            <w:pPr>
              <w:spacing w:after="0" w:line="264"/>
            </w:pPr>
            <w:r>
              <w:rPr>
                <w:color w:val="141414"/>
                <w:sz w:val="22"/>
                <w:szCs w:val="22"/>
              </w:rPr>
              <w:t xml:space="preserve">HTMX + Jinja + Tailwind tiles</w:t>
            </w:r>
          </w:p>
        </w:tc>
        <w:tc>
          <w:tcPr>
            <w:tcW w:type="dxa" w:w="3400"/>
            <w:tcMar>
              <w:top w:type="dxa" w:w="80"/>
              <w:left w:type="dxa" w:w="120"/>
              <w:bottom w:type="dxa" w:w="80"/>
              <w:right w:type="dxa" w:w="120"/>
            </w:tcMar>
          </w:tcPr>
          <w:p>
            <w:pPr>
              <w:spacing w:after="0" w:line="264"/>
            </w:pPr>
            <w:r>
              <w:rPr>
                <w:color w:val="141414"/>
                <w:sz w:val="22"/>
                <w:szCs w:val="22"/>
              </w:rPr>
              <w:t xml:space="preserve">A separate frontend build; a BI stack; Metabase until an analyst needs it</w:t>
            </w:r>
          </w:p>
        </w:tc>
      </w:tr>
      <w:tr>
        <w:tc>
          <w:tcPr>
            <w:tcW w:type="dxa" w:w="2200"/>
            <w:shd w:fill="F2F6F4" w:color="auto" w:val="clear"/>
            <w:tcMar>
              <w:top w:type="dxa" w:w="80"/>
              <w:left w:type="dxa" w:w="120"/>
              <w:bottom w:type="dxa" w:w="80"/>
              <w:right w:type="dxa" w:w="120"/>
            </w:tcMar>
          </w:tcPr>
          <w:p>
            <w:pPr>
              <w:spacing w:after="0" w:line="264"/>
            </w:pPr>
            <w:r>
              <w:rPr>
                <w:color w:val="141414"/>
                <w:sz w:val="22"/>
                <w:szCs w:val="22"/>
              </w:rPr>
              <w:t xml:space="preserve">LLM</w:t>
            </w:r>
          </w:p>
        </w:tc>
        <w:tc>
          <w:tcPr>
            <w:tcW w:type="dxa" w:w="3760"/>
            <w:shd w:fill="F2F6F4" w:color="auto" w:val="clear"/>
            <w:tcMar>
              <w:top w:type="dxa" w:w="80"/>
              <w:left w:type="dxa" w:w="120"/>
              <w:bottom w:type="dxa" w:w="80"/>
              <w:right w:type="dxa" w:w="120"/>
            </w:tcMar>
          </w:tcPr>
          <w:p>
            <w:pPr>
              <w:spacing w:after="0" w:line="264"/>
            </w:pPr>
            <w:r>
              <w:rPr>
                <w:color w:val="141414"/>
                <w:sz w:val="22"/>
                <w:szCs w:val="22"/>
              </w:rPr>
              <w:t xml:space="preserve">Anthropic API, template-slot outputs</w:t>
            </w:r>
          </w:p>
        </w:tc>
        <w:tc>
          <w:tcPr>
            <w:tcW w:type="dxa" w:w="3400"/>
            <w:shd w:fill="F2F6F4" w:color="auto" w:val="clear"/>
            <w:tcMar>
              <w:top w:type="dxa" w:w="80"/>
              <w:left w:type="dxa" w:w="120"/>
              <w:bottom w:type="dxa" w:w="80"/>
              <w:right w:type="dxa" w:w="120"/>
            </w:tcMar>
          </w:tcPr>
          <w:p>
            <w:pPr>
              <w:spacing w:after="0" w:line="264"/>
            </w:pPr>
            <w:r>
              <w:rPr>
                <w:color w:val="141414"/>
                <w:sz w:val="22"/>
                <w:szCs w:val="22"/>
              </w:rPr>
              <w:t xml:space="preserve">—</w:t>
            </w:r>
          </w:p>
        </w:tc>
      </w:tr>
      <w:tr>
        <w:tc>
          <w:tcPr>
            <w:tcW w:type="dxa" w:w="2200"/>
            <w:tcMar>
              <w:top w:type="dxa" w:w="80"/>
              <w:left w:type="dxa" w:w="120"/>
              <w:bottom w:type="dxa" w:w="80"/>
              <w:right w:type="dxa" w:w="120"/>
            </w:tcMar>
          </w:tcPr>
          <w:p>
            <w:pPr>
              <w:spacing w:after="0" w:line="264"/>
            </w:pPr>
            <w:r>
              <w:rPr>
                <w:color w:val="141414"/>
                <w:sz w:val="22"/>
                <w:szCs w:val="22"/>
              </w:rPr>
              <w:t xml:space="preserve">Comms</w:t>
            </w:r>
          </w:p>
        </w:tc>
        <w:tc>
          <w:tcPr>
            <w:tcW w:type="dxa" w:w="3760"/>
            <w:tcMar>
              <w:top w:type="dxa" w:w="80"/>
              <w:left w:type="dxa" w:w="120"/>
              <w:bottom w:type="dxa" w:w="80"/>
              <w:right w:type="dxa" w:w="120"/>
            </w:tcMar>
          </w:tcPr>
          <w:p>
            <w:pPr>
              <w:spacing w:after="0" w:line="264"/>
            </w:pPr>
            <w:r>
              <w:rPr>
                <w:color w:val="141414"/>
                <w:sz w:val="22"/>
                <w:szCs w:val="22"/>
              </w:rPr>
              <w:t xml:space="preserve">Transactional email provider (e.g. Resend)</w:t>
            </w:r>
          </w:p>
        </w:tc>
        <w:tc>
          <w:tcPr>
            <w:tcW w:type="dxa" w:w="3400"/>
            <w:tcMar>
              <w:top w:type="dxa" w:w="80"/>
              <w:left w:type="dxa" w:w="120"/>
              <w:bottom w:type="dxa" w:w="80"/>
              <w:right w:type="dxa" w:w="120"/>
            </w:tcMar>
          </w:tcPr>
          <w:p>
            <w:pPr>
              <w:spacing w:after="0" w:line="264"/>
            </w:pPr>
            <w:r>
              <w:rPr>
                <w:color w:val="141414"/>
                <w:sz w:val="22"/>
                <w:szCs w:val="22"/>
              </w:rPr>
              <w:t xml:space="preserve">A marketing-automation platform</w:t>
            </w:r>
          </w:p>
        </w:tc>
      </w:tr>
      <w:tr>
        <w:tc>
          <w:tcPr>
            <w:tcW w:type="dxa" w:w="2200"/>
            <w:shd w:fill="F2F6F4" w:color="auto" w:val="clear"/>
            <w:tcMar>
              <w:top w:type="dxa" w:w="80"/>
              <w:left w:type="dxa" w:w="120"/>
              <w:bottom w:type="dxa" w:w="80"/>
              <w:right w:type="dxa" w:w="120"/>
            </w:tcMar>
          </w:tcPr>
          <w:p>
            <w:pPr>
              <w:spacing w:after="0" w:line="264"/>
            </w:pPr>
            <w:r>
              <w:rPr>
                <w:color w:val="141414"/>
                <w:sz w:val="22"/>
                <w:szCs w:val="22"/>
              </w:rPr>
              <w:t xml:space="preserve">Fiscal + payments</w:t>
            </w:r>
          </w:p>
        </w:tc>
        <w:tc>
          <w:tcPr>
            <w:tcW w:type="dxa" w:w="3760"/>
            <w:shd w:fill="F2F6F4" w:color="auto" w:val="clear"/>
            <w:tcMar>
              <w:top w:type="dxa" w:w="80"/>
              <w:left w:type="dxa" w:w="120"/>
              <w:bottom w:type="dxa" w:w="80"/>
              <w:right w:type="dxa" w:w="120"/>
            </w:tcMar>
          </w:tcPr>
          <w:p>
            <w:pPr>
              <w:spacing w:after="0" w:line="264"/>
            </w:pPr>
            <w:r>
              <w:rPr>
                <w:color w:val="141414"/>
                <w:sz w:val="22"/>
                <w:szCs w:val="22"/>
              </w:rPr>
              <w:t xml:space="preserve">Fiscal API + processor (Asaas / Pix Automático)</w:t>
            </w:r>
          </w:p>
        </w:tc>
        <w:tc>
          <w:tcPr>
            <w:tcW w:type="dxa" w:w="3400"/>
            <w:shd w:fill="F2F6F4" w:color="auto" w:val="clear"/>
            <w:tcMar>
              <w:top w:type="dxa" w:w="80"/>
              <w:left w:type="dxa" w:w="120"/>
              <w:bottom w:type="dxa" w:w="80"/>
              <w:right w:type="dxa" w:w="120"/>
            </w:tcMar>
          </w:tcPr>
          <w:p>
            <w:pPr>
              <w:spacing w:after="0" w:line="264"/>
            </w:pPr>
            <w:r>
              <w:rPr>
                <w:color w:val="141414"/>
                <w:sz w:val="22"/>
                <w:szCs w:val="22"/>
              </w:rPr>
              <w:t xml:space="preserve">Deferred until the first fee is collected</w:t>
            </w:r>
          </w:p>
        </w:tc>
      </w:tr>
      <w:tr>
        <w:tc>
          <w:tcPr>
            <w:tcW w:type="dxa" w:w="2200"/>
            <w:tcMar>
              <w:top w:type="dxa" w:w="80"/>
              <w:left w:type="dxa" w:w="120"/>
              <w:bottom w:type="dxa" w:w="80"/>
              <w:right w:type="dxa" w:w="120"/>
            </w:tcMar>
          </w:tcPr>
          <w:p>
            <w:pPr>
              <w:spacing w:after="0" w:line="264"/>
            </w:pPr>
            <w:r>
              <w:rPr>
                <w:color w:val="141414"/>
                <w:sz w:val="22"/>
                <w:szCs w:val="22"/>
              </w:rPr>
              <w:t xml:space="preserve">Deploy</w:t>
            </w:r>
          </w:p>
        </w:tc>
        <w:tc>
          <w:tcPr>
            <w:tcW w:type="dxa" w:w="3760"/>
            <w:tcMar>
              <w:top w:type="dxa" w:w="80"/>
              <w:left w:type="dxa" w:w="120"/>
              <w:bottom w:type="dxa" w:w="80"/>
              <w:right w:type="dxa" w:w="120"/>
            </w:tcMar>
          </w:tcPr>
          <w:p>
            <w:pPr>
              <w:spacing w:after="0" w:line="264"/>
            </w:pPr>
            <w:r>
              <w:rPr>
                <w:color w:val="141414"/>
                <w:sz w:val="22"/>
                <w:szCs w:val="22"/>
              </w:rPr>
              <w:t xml:space="preserve">One container (Fly.io / Render, GRU)</w:t>
            </w:r>
          </w:p>
        </w:tc>
        <w:tc>
          <w:tcPr>
            <w:tcW w:type="dxa" w:w="3400"/>
            <w:tcMar>
              <w:top w:type="dxa" w:w="80"/>
              <w:left w:type="dxa" w:w="120"/>
              <w:bottom w:type="dxa" w:w="80"/>
              <w:right w:type="dxa" w:w="120"/>
            </w:tcMar>
          </w:tcPr>
          <w:p>
            <w:pPr>
              <w:spacing w:after="0" w:line="264"/>
            </w:pPr>
            <w:r>
              <w:rPr>
                <w:color w:val="141414"/>
                <w:sz w:val="22"/>
                <w:szCs w:val="22"/>
              </w:rPr>
              <w:t xml:space="preserve">Kubernetes; multi-region</w:t>
            </w:r>
          </w:p>
        </w:tc>
      </w:tr>
    </w:tbl>
    <w:p>
      <w:pPr>
        <w:spacing w:after="60"/>
      </w:pPr>
      <w:r>
        <w:t xml:space="preserve"/>
      </w:r>
    </w:p>
    <w:tbl>
      <w:tblPr>
        <w:tblW w:type="dxa" w:w="9360"/>
        <w:tblBorders>
          <w:top w:val="single" w:color="BCD8CC" w:sz="6"/>
          <w:left w:val="single" w:color="0A6E4C" w:sz="24"/>
          <w:bottom w:val="single" w:color="BCD8CC" w:sz="6"/>
          <w:right w:val="single" w:color="BCD8CC" w:sz="6"/>
          <w:insideH w:val="none"/>
          <w:insideV w:val="none"/>
        </w:tblBorders>
      </w:tblPr>
      <w:tblGrid>
        <w:gridCol w:w="9360"/>
      </w:tblGrid>
      <w:tr>
        <w:tc>
          <w:tcPr>
            <w:tcW w:type="dxa" w:w="9360"/>
            <w:shd w:fill="E9F2ED" w:color="auto" w:val="clear"/>
            <w:tcMar>
              <w:top w:type="dxa" w:w="130"/>
              <w:left w:type="dxa" w:w="180"/>
              <w:bottom w:type="dxa" w:w="130"/>
              <w:right w:type="dxa" w:w="180"/>
            </w:tcMar>
          </w:tcPr>
          <w:p>
            <w:r>
              <w:rPr>
                <w:b/>
                <w:bCs/>
                <w:color w:val="0B4A36"/>
              </w:rPr>
              <w:t xml:space="preserve">What we deliberately DO NOT build, to stay KISS.  </w:t>
            </w:r>
            <w:r>
              <w:t xml:space="preserve">No BI stack (dashboards are the same tiles as the workbench). No separate time-tracking subsystem (minutes-per-case comes from event spacing). No data warehouse or bitemporal store (the hash-chained spine is the audit trail; point-in-time is recomputed only on a rare dispute). No business logic in config (rules live in versioned code; only numeric thresholds are tunable). No message bus, no multi-region, no multi-currency — Brazil-only removes that entire tax. Every one of these is added later only if a real, repeated pain forces it.</w:t>
            </w:r>
          </w:p>
        </w:tc>
      </w:tr>
    </w:tbl>
    <w:p>
      <w:r>
        <w:t xml:space="preserve">Honest velocity: a runnable skeleton (spine, two rules, the reconciliation ledger, the workbench, a few dashboard tiles, the drafter, the audit log) against realistic fixtures can be written quickly. A pilotable Phase-1 codebase is a focused few-day build. “Fully operational,” recovering real money, is gated by things code cannot produce: a registered Mercado Livre developer app, a real seller, live Mercado Pago access, CNPJ-backed fiscal and payment accounts, and legal sign-off. Software is the fast part; proving value first is the correct sequence.</w:t>
      </w:r>
    </w:p>
    <w:p>
      <w:pPr>
        <w:pStyle w:val="Heading1"/>
      </w:pPr>
      <w:r>
        <w:t xml:space="preserve">25.  Build Roadmap &amp; Phasing</w:t>
      </w:r>
    </w:p>
    <w:p>
      <w:r>
        <w:t xml:space="preserve">Prove the economics by hand before writing a schema; let the first real cases decide which rules deserve code; automate ingestion, arithmetic, and comms, never accountability. Each phase ships only after the prior one moved the north star. Dashboards and automation are phased in from the first real build, not bolted on later.</w:t>
      </w:r>
    </w:p>
    <w:tbl>
      <w:tblPr>
        <w:tblW w:type="dxa" w:w="9360"/>
        <w:tblBorders>
          <w:top w:val="single" w:color="C9D6D0" w:sz="4"/>
          <w:left w:val="single" w:color="C9D6D0" w:sz="4"/>
          <w:bottom w:val="single" w:color="C9D6D0" w:sz="4"/>
          <w:right w:val="single" w:color="C9D6D0" w:sz="4"/>
          <w:insideH w:val="single" w:color="C9D6D0" w:sz="4"/>
          <w:insideV w:val="single" w:color="C9D6D0" w:sz="4"/>
        </w:tblBorders>
      </w:tblPr>
      <w:tblGrid>
        <w:gridCol w:w="2200"/>
        <w:gridCol w:w="1700"/>
        <w:gridCol w:w="3260"/>
        <w:gridCol w:w="2200"/>
      </w:tblGrid>
      <w:tr>
        <w:trPr>
          <w:tblHeader/>
        </w:trPr>
        <w:tc>
          <w:tcPr>
            <w:tcW w:type="dxa" w:w="2200"/>
            <w:shd w:fill="0B4A36" w:color="auto" w:val="clear"/>
            <w:tcMar>
              <w:top w:type="dxa" w:w="80"/>
              <w:left w:type="dxa" w:w="120"/>
              <w:bottom w:type="dxa" w:w="80"/>
              <w:right w:type="dxa" w:w="120"/>
            </w:tcMar>
          </w:tcPr>
          <w:p>
            <w:pPr>
              <w:spacing w:after="0" w:line="260"/>
            </w:pPr>
            <w:r>
              <w:rPr>
                <w:b/>
                <w:bCs/>
                <w:color w:val="FFFFFF"/>
                <w:sz w:val="22"/>
                <w:szCs w:val="22"/>
              </w:rPr>
              <w:t xml:space="preserve">Phase</w:t>
            </w:r>
          </w:p>
        </w:tc>
        <w:tc>
          <w:tcPr>
            <w:tcW w:type="dxa" w:w="1700"/>
            <w:shd w:fill="0B4A36" w:color="auto" w:val="clear"/>
            <w:tcMar>
              <w:top w:type="dxa" w:w="80"/>
              <w:left w:type="dxa" w:w="120"/>
              <w:bottom w:type="dxa" w:w="80"/>
              <w:right w:type="dxa" w:w="120"/>
            </w:tcMar>
          </w:tcPr>
          <w:p>
            <w:pPr>
              <w:spacing w:after="0" w:line="260"/>
            </w:pPr>
            <w:r>
              <w:rPr>
                <w:b/>
                <w:bCs/>
                <w:color w:val="FFFFFF"/>
                <w:sz w:val="22"/>
                <w:szCs w:val="22"/>
              </w:rPr>
              <w:t xml:space="preserve">Goal</w:t>
            </w:r>
          </w:p>
        </w:tc>
        <w:tc>
          <w:tcPr>
            <w:tcW w:type="dxa" w:w="3260"/>
            <w:shd w:fill="0B4A36" w:color="auto" w:val="clear"/>
            <w:tcMar>
              <w:top w:type="dxa" w:w="80"/>
              <w:left w:type="dxa" w:w="120"/>
              <w:bottom w:type="dxa" w:w="80"/>
              <w:right w:type="dxa" w:w="120"/>
            </w:tcMar>
          </w:tcPr>
          <w:p>
            <w:pPr>
              <w:spacing w:after="0" w:line="260"/>
            </w:pPr>
            <w:r>
              <w:rPr>
                <w:b/>
                <w:bCs/>
                <w:color w:val="FFFFFF"/>
                <w:sz w:val="22"/>
                <w:szCs w:val="22"/>
              </w:rPr>
              <w:t xml:space="preserve">Build (thinnest)</w:t>
            </w:r>
          </w:p>
        </w:tc>
        <w:tc>
          <w:tcPr>
            <w:tcW w:type="dxa" w:w="2200"/>
            <w:shd w:fill="0B4A36" w:color="auto" w:val="clear"/>
            <w:tcMar>
              <w:top w:type="dxa" w:w="80"/>
              <w:left w:type="dxa" w:w="120"/>
              <w:bottom w:type="dxa" w:w="80"/>
              <w:right w:type="dxa" w:w="120"/>
            </w:tcMar>
          </w:tcPr>
          <w:p>
            <w:pPr>
              <w:spacing w:after="0" w:line="260"/>
            </w:pPr>
            <w:r>
              <w:rPr>
                <w:b/>
                <w:bCs/>
                <w:color w:val="FFFFFF"/>
                <w:sz w:val="22"/>
                <w:szCs w:val="22"/>
              </w:rPr>
              <w:t xml:space="preserve">Exit gate</w:t>
            </w:r>
          </w:p>
        </w:tc>
      </w:tr>
      <w:tr>
        <w:tc>
          <w:tcPr>
            <w:tcW w:type="dxa" w:w="2200"/>
            <w:tcMar>
              <w:top w:type="dxa" w:w="80"/>
              <w:left w:type="dxa" w:w="120"/>
              <w:bottom w:type="dxa" w:w="80"/>
              <w:right w:type="dxa" w:w="120"/>
            </w:tcMar>
          </w:tcPr>
          <w:p>
            <w:pPr>
              <w:spacing w:after="0" w:line="264"/>
            </w:pPr>
            <w:r>
              <w:rPr>
                <w:b/>
                <w:bCs/>
                <w:i w:val="false"/>
                <w:iCs w:val="false"/>
                <w:color w:val="141414"/>
                <w:sz w:val="22"/>
                <w:szCs w:val="22"/>
              </w:rPr>
              <w:t xml:space="preserve">0 · Pilot · 45d · R$15–25k</w:t>
            </w:r>
          </w:p>
        </w:tc>
        <w:tc>
          <w:tcPr>
            <w:tcW w:type="dxa" w:w="1700"/>
            <w:tcMar>
              <w:top w:type="dxa" w:w="80"/>
              <w:left w:type="dxa" w:w="120"/>
              <w:bottom w:type="dxa" w:w="80"/>
              <w:right w:type="dxa" w:w="120"/>
            </w:tcMar>
          </w:tcPr>
          <w:p>
            <w:pPr>
              <w:spacing w:after="0" w:line="264"/>
            </w:pPr>
            <w:r>
              <w:rPr>
                <w:color w:val="141414"/>
                <w:sz w:val="22"/>
                <w:szCs w:val="22"/>
              </w:rPr>
              <w:t xml:space="preserve">Does the money exist?</w:t>
            </w:r>
          </w:p>
        </w:tc>
        <w:tc>
          <w:tcPr>
            <w:tcW w:type="dxa" w:w="3260"/>
            <w:tcMar>
              <w:top w:type="dxa" w:w="80"/>
              <w:left w:type="dxa" w:w="120"/>
              <w:bottom w:type="dxa" w:w="80"/>
              <w:right w:type="dxa" w:w="120"/>
            </w:tcMar>
          </w:tcPr>
          <w:p>
            <w:pPr>
              <w:spacing w:after="0" w:line="264"/>
            </w:pPr>
            <w:r>
              <w:rPr>
                <w:color w:val="141414"/>
                <w:sz w:val="22"/>
                <w:szCs w:val="22"/>
              </w:rPr>
              <w:t xml:space="preserve">Scripts + spreadsheet case store; 2 rules; AI drafts; founder files manually; run the submit-vs-hold A/B</w:t>
            </w:r>
          </w:p>
        </w:tc>
        <w:tc>
          <w:tcPr>
            <w:tcW w:type="dxa" w:w="2200"/>
            <w:tcMar>
              <w:top w:type="dxa" w:w="80"/>
              <w:left w:type="dxa" w:w="120"/>
              <w:bottom w:type="dxa" w:w="80"/>
              <w:right w:type="dxa" w:w="120"/>
            </w:tcMar>
          </w:tcPr>
          <w:p>
            <w:pPr>
              <w:spacing w:after="0" w:line="264"/>
            </w:pPr>
            <w:r>
              <w:rPr>
                <w:color w:val="141414"/>
                <w:sz w:val="22"/>
                <w:szCs w:val="22"/>
              </w:rPr>
              <w:t xml:space="preserve">≥3 signed · ≥10 submitted · ≥1 confirmed · case types repeat · prep &lt;20 min</w:t>
            </w:r>
          </w:p>
        </w:tc>
      </w:tr>
      <w:tr>
        <w:tc>
          <w:tcPr>
            <w:tcW w:type="dxa" w:w="2200"/>
            <w:shd w:fill="F2F6F4" w:color="auto" w:val="clear"/>
            <w:tcMar>
              <w:top w:type="dxa" w:w="80"/>
              <w:left w:type="dxa" w:w="120"/>
              <w:bottom w:type="dxa" w:w="80"/>
              <w:right w:type="dxa" w:w="120"/>
            </w:tcMar>
          </w:tcPr>
          <w:p>
            <w:pPr>
              <w:spacing w:after="0" w:line="264"/>
            </w:pPr>
            <w:r>
              <w:rPr>
                <w:b/>
                <w:bCs/>
                <w:i w:val="false"/>
                <w:iCs w:val="false"/>
                <w:color w:val="141414"/>
                <w:sz w:val="22"/>
                <w:szCs w:val="22"/>
              </w:rPr>
              <w:t xml:space="preserve">1 · Thin Workbench · ~60d · R$40–70k</w:t>
            </w:r>
          </w:p>
        </w:tc>
        <w:tc>
          <w:tcPr>
            <w:tcW w:type="dxa" w:w="1700"/>
            <w:shd w:fill="F2F6F4" w:color="auto" w:val="clear"/>
            <w:tcMar>
              <w:top w:type="dxa" w:w="80"/>
              <w:left w:type="dxa" w:w="120"/>
              <w:bottom w:type="dxa" w:w="80"/>
              <w:right w:type="dxa" w:w="120"/>
            </w:tcMar>
          </w:tcPr>
          <w:p>
            <w:pPr>
              <w:spacing w:after="0" w:line="264"/>
            </w:pPr>
            <w:r>
              <w:rPr>
                <w:color w:val="141414"/>
                <w:sz w:val="22"/>
                <w:szCs w:val="22"/>
              </w:rPr>
              <w:t xml:space="preserve">Beat the spreadsheet; run on glass</w:t>
            </w:r>
          </w:p>
        </w:tc>
        <w:tc>
          <w:tcPr>
            <w:tcW w:type="dxa" w:w="3260"/>
            <w:shd w:fill="F2F6F4" w:color="auto" w:val="clear"/>
            <w:tcMar>
              <w:top w:type="dxa" w:w="80"/>
              <w:left w:type="dxa" w:w="120"/>
              <w:bottom w:type="dxa" w:w="80"/>
              <w:right w:type="dxa" w:w="120"/>
            </w:tcMar>
          </w:tcPr>
          <w:p>
            <w:pPr>
              <w:spacing w:after="0" w:line="264"/>
            </w:pPr>
            <w:r>
              <w:rPr>
                <w:color w:val="141414"/>
                <w:sz w:val="22"/>
                <w:szCs w:val="22"/>
              </w:rPr>
              <w:t xml:space="preserve">Spine + 2 rules; workbench; Operations + Owner dashboard tiles; onboarding + doc-chase automation; audit log</w:t>
            </w:r>
          </w:p>
        </w:tc>
        <w:tc>
          <w:tcPr>
            <w:tcW w:type="dxa" w:w="2200"/>
            <w:shd w:fill="F2F6F4" w:color="auto" w:val="clear"/>
            <w:tcMar>
              <w:top w:type="dxa" w:w="80"/>
              <w:left w:type="dxa" w:w="120"/>
              <w:bottom w:type="dxa" w:w="80"/>
              <w:right w:type="dxa" w:w="120"/>
            </w:tcMar>
          </w:tcPr>
          <w:p>
            <w:pPr>
              <w:spacing w:after="0" w:line="264"/>
            </w:pPr>
            <w:r>
              <w:rPr>
                <w:color w:val="141414"/>
                <w:sz w:val="22"/>
                <w:szCs w:val="22"/>
              </w:rPr>
              <w:t xml:space="preserve">credits/human-hour ~2× pilot · 3+ paying clients · prep &lt;10 min</w:t>
            </w:r>
          </w:p>
        </w:tc>
      </w:tr>
      <w:tr>
        <w:tc>
          <w:tcPr>
            <w:tcW w:type="dxa" w:w="2200"/>
            <w:tcMar>
              <w:top w:type="dxa" w:w="80"/>
              <w:left w:type="dxa" w:w="120"/>
              <w:bottom w:type="dxa" w:w="80"/>
              <w:right w:type="dxa" w:w="120"/>
            </w:tcMar>
          </w:tcPr>
          <w:p>
            <w:pPr>
              <w:spacing w:after="0" w:line="264"/>
            </w:pPr>
            <w:r>
              <w:rPr>
                <w:b/>
                <w:bCs/>
                <w:i w:val="false"/>
                <w:iCs w:val="false"/>
                <w:color w:val="141414"/>
                <w:sz w:val="22"/>
                <w:szCs w:val="22"/>
              </w:rPr>
              <w:t xml:space="preserve">2 · Continuous · ~90d · R$60–100k</w:t>
            </w:r>
          </w:p>
        </w:tc>
        <w:tc>
          <w:tcPr>
            <w:tcW w:type="dxa" w:w="1700"/>
            <w:tcMar>
              <w:top w:type="dxa" w:w="80"/>
              <w:left w:type="dxa" w:w="120"/>
              <w:bottom w:type="dxa" w:w="80"/>
              <w:right w:type="dxa" w:w="120"/>
            </w:tcMar>
          </w:tcPr>
          <w:p>
            <w:pPr>
              <w:spacing w:after="0" w:line="264"/>
            </w:pPr>
            <w:r>
              <w:rPr>
                <w:color w:val="141414"/>
                <w:sz w:val="22"/>
                <w:szCs w:val="22"/>
              </w:rPr>
              <w:t xml:space="preserve">Always-on; self-running</w:t>
            </w:r>
          </w:p>
        </w:tc>
        <w:tc>
          <w:tcPr>
            <w:tcW w:type="dxa" w:w="3260"/>
            <w:tcMar>
              <w:top w:type="dxa" w:w="80"/>
              <w:left w:type="dxa" w:w="120"/>
              <w:bottom w:type="dxa" w:w="80"/>
              <w:right w:type="dxa" w:w="120"/>
            </w:tcMar>
          </w:tcPr>
          <w:p>
            <w:pPr>
              <w:spacing w:after="0" w:line="264"/>
            </w:pPr>
            <w:r>
              <w:rPr>
                <w:color w:val="141414"/>
                <w:sz w:val="22"/>
                <w:szCs w:val="22"/>
              </w:rPr>
              <w:t xml:space="preserve">Webhooks + queue; deadline monitor; +2 rules; all 8 dashboards; billing/dunning/statements automation</w:t>
            </w:r>
          </w:p>
        </w:tc>
        <w:tc>
          <w:tcPr>
            <w:tcW w:type="dxa" w:w="2200"/>
            <w:tcMar>
              <w:top w:type="dxa" w:w="80"/>
              <w:left w:type="dxa" w:w="120"/>
              <w:bottom w:type="dxa" w:w="80"/>
              <w:right w:type="dxa" w:w="120"/>
            </w:tcMar>
          </w:tcPr>
          <w:p>
            <w:pPr>
              <w:spacing w:after="0" w:line="264"/>
            </w:pPr>
            <w:r>
              <w:rPr>
                <w:color w:val="141414"/>
                <w:sz w:val="22"/>
                <w:szCs w:val="22"/>
              </w:rPr>
              <w:t xml:space="preserve">FP rate &lt;5% · deadline-miss ≈0 · 10+ clients · MRR covers ops</w:t>
            </w:r>
          </w:p>
        </w:tc>
      </w:tr>
      <w:tr>
        <w:tc>
          <w:tcPr>
            <w:tcW w:type="dxa" w:w="2200"/>
            <w:shd w:fill="F2F6F4" w:color="auto" w:val="clear"/>
            <w:tcMar>
              <w:top w:type="dxa" w:w="80"/>
              <w:left w:type="dxa" w:w="120"/>
              <w:bottom w:type="dxa" w:w="80"/>
              <w:right w:type="dxa" w:w="120"/>
            </w:tcMar>
          </w:tcPr>
          <w:p>
            <w:pPr>
              <w:spacing w:after="0" w:line="264"/>
            </w:pPr>
            <w:r>
              <w:rPr>
                <w:b/>
                <w:bCs/>
                <w:i w:val="false"/>
                <w:iCs w:val="false"/>
                <w:color w:val="141414"/>
                <w:sz w:val="22"/>
                <w:szCs w:val="22"/>
              </w:rPr>
              <w:t xml:space="preserve">3 · White-Label · ~120d · R$150k+</w:t>
            </w:r>
          </w:p>
        </w:tc>
        <w:tc>
          <w:tcPr>
            <w:tcW w:type="dxa" w:w="1700"/>
            <w:shd w:fill="F2F6F4" w:color="auto" w:val="clear"/>
            <w:tcMar>
              <w:top w:type="dxa" w:w="80"/>
              <w:left w:type="dxa" w:w="120"/>
              <w:bottom w:type="dxa" w:w="80"/>
              <w:right w:type="dxa" w:w="120"/>
            </w:tcMar>
          </w:tcPr>
          <w:p>
            <w:pPr>
              <w:spacing w:after="0" w:line="264"/>
            </w:pPr>
            <w:r>
              <w:rPr>
                <w:color w:val="141414"/>
                <w:sz w:val="22"/>
                <w:szCs w:val="22"/>
              </w:rPr>
              <w:t xml:space="preserve">Scale through partners</w:t>
            </w:r>
          </w:p>
        </w:tc>
        <w:tc>
          <w:tcPr>
            <w:tcW w:type="dxa" w:w="3260"/>
            <w:shd w:fill="F2F6F4" w:color="auto" w:val="clear"/>
            <w:tcMar>
              <w:top w:type="dxa" w:w="80"/>
              <w:left w:type="dxa" w:w="120"/>
              <w:bottom w:type="dxa" w:w="80"/>
              <w:right w:type="dxa" w:w="120"/>
            </w:tcMar>
          </w:tcPr>
          <w:p>
            <w:pPr>
              <w:spacing w:after="0" w:line="264"/>
            </w:pPr>
            <w:r>
              <w:rPr>
                <w:color w:val="141414"/>
                <w:sz w:val="22"/>
                <w:szCs w:val="22"/>
              </w:rPr>
              <w:t xml:space="preserve">Partner dashboards + rev-share reporting; remaining rules; optional Brazilian-marketplace connector behind the KISS gate</w:t>
            </w:r>
          </w:p>
        </w:tc>
        <w:tc>
          <w:tcPr>
            <w:tcW w:type="dxa" w:w="2200"/>
            <w:shd w:fill="F2F6F4" w:color="auto" w:val="clear"/>
            <w:tcMar>
              <w:top w:type="dxa" w:w="80"/>
              <w:left w:type="dxa" w:w="120"/>
              <w:bottom w:type="dxa" w:w="80"/>
              <w:right w:type="dxa" w:w="120"/>
            </w:tcMar>
          </w:tcPr>
          <w:p>
            <w:pPr>
              <w:spacing w:after="0" w:line="264"/>
            </w:pPr>
            <w:r>
              <w:rPr>
                <w:color w:val="141414"/>
                <w:sz w:val="22"/>
                <w:szCs w:val="22"/>
              </w:rPr>
              <w:t xml:space="preserve">2+ partners · partner-sourced recoveries exceed direct</w:t>
            </w:r>
          </w:p>
        </w:tc>
      </w:tr>
    </w:tbl>
    <w:p>
      <w:r>
        <w:br w:type="page"/>
      </w:r>
    </w:p>
    <w:p>
      <w:pPr>
        <w:spacing w:after="40" w:before="200"/>
      </w:pPr>
      <w:r>
        <w:rPr>
          <w:b/>
          <w:bCs/>
          <w:caps/>
          <w:color w:val="0A6E4C"/>
          <w:sz w:val="22"/>
          <w:szCs w:val="22"/>
        </w:rPr>
        <w:t xml:space="preserve">Part III</w:t>
      </w:r>
    </w:p>
    <w:p>
      <w:pPr>
        <w:pBdr>
          <w:bottom w:val="single" w:color="0B4A36" w:sz="18" w:space="4"/>
        </w:pBdr>
        <w:spacing w:after="60"/>
      </w:pPr>
      <w:r>
        <w:rPr>
          <w:b/>
          <w:bCs/>
          <w:color w:val="0B4A36"/>
          <w:sz w:val="46"/>
          <w:szCs w:val="46"/>
        </w:rPr>
        <w:t xml:space="preserve">Operating &amp; Reference</w:t>
      </w:r>
    </w:p>
    <w:p>
      <w:pPr>
        <w:spacing w:after="120"/>
      </w:pPr>
      <w:r>
        <w:t xml:space="preserve"/>
      </w:r>
    </w:p>
    <w:p>
      <w:pPr>
        <w:pStyle w:val="Heading1"/>
      </w:pPr>
      <w:r>
        <w:t xml:space="preserve">26.  The Operating Model — Running It From the Dashboards</w:t>
      </w:r>
    </w:p>
    <w:p>
      <w:r>
        <w:t xml:space="preserve">This section proves the KISS claim: the business is legibly runnable by a handful of people because everything important is on a dashboard and everything repetitive is automated.</w:t>
      </w:r>
    </w:p>
    <w:p>
      <w:pPr>
        <w:pStyle w:val="Heading3"/>
      </w:pPr>
      <w:r>
        <w:t xml:space="preserve">The daily loop</w:t>
      </w:r>
    </w:p>
    <w:p>
      <w:r>
        <w:t xml:space="preserve">The operator opens the Operations dashboard and works top-down: clear every RED deadline-risk card first (money about to expire); drain the triage queue at a target under five minutes per case (approve, reject-to-shadow, or request docs — which fires the doc-chaser); sweep the approvals queue, each click writing an approval to the hash-chained log and releasing a code-drafted, human-approved submission; then resolve any credit-reconciliation exceptions where an expected credit did not land. The founder opens Owner → Growth → Financial, in that order, and acts only on tiles that moved the wrong way.</w:t>
      </w:r>
    </w:p>
    <w:p>
      <w:pPr>
        <w:pStyle w:val="Heading3"/>
      </w:pPr>
      <w:r>
        <w:t xml:space="preserve">The weekly loop</w:t>
      </w:r>
    </w:p>
    <w:p>
      <w:r>
        <w:t xml:space="preserve">One 60-minute review on Rule Health + Owner: demote any rule-version over its false-positive ceiling to shadow; promote shadow versions that beat the incumbent on submit-to-confirm yield (a config flag, not a deploy); review recovery per seller-cohort; and review cash, dunning aging, and write-offs.</w:t>
      </w:r>
    </w:p>
    <w:p>
      <w:pPr>
        <w:pStyle w:val="Heading3"/>
      </w:pPr>
      <w:r>
        <w:t xml:space="preserve">Exception-driven, with sharp alerting</w:t>
      </w:r>
    </w:p>
    <w:p>
      <w:r>
        <w:t xml:space="preserve">Automation is the norm; humans handle only what a dashboard paints red. A scheduled job pages a phone only for irreversible or systemic risk — a case inside the breach window still unapproved, the webhook receiver silent beyond a threshold, an OAuth token expiring, or a dunning cascade. Everything else waits on a dashboard. Nothing pages that a human cannot act on, and no page ever asks a human to write a number.</w:t>
      </w:r>
    </w:p>
    <w:p>
      <w:pPr>
        <w:pStyle w:val="Heading3"/>
      </w:pPr>
      <w:r>
        <w:t xml:space="preserve">Why headcount stays flat</w:t>
      </w:r>
    </w:p>
    <w:p>
      <w:r>
        <w:t xml:space="preserve">Blended human time per case is about a minute: Tier-A cases are a single approval click, only Tier B/C need real review, and the large majority auto-clear the evidence gate. At a few hundred productive minutes a day, one operator clears hundreds of case-actions; if a mature seller generates a couple of human-touch actions a week, one operator can serve roughly 400–500 sellers. Adding sellers raises the north star rather than headcount, because the marginal case is auto-handled. You hire when the triage queue’s median age — a tile on the Operations dashboard — persistently exceeds SLA, not when seller count crosses a line.</w:t>
      </w:r>
    </w:p>
    <w:p>
      <w:pPr>
        <w:pStyle w:val="Heading3"/>
      </w:pPr>
      <w:r>
        <w:t xml:space="preserve">Org as it scales (Brazil only)</w:t>
      </w:r>
    </w:p>
    <w:p>
      <w:pPr>
        <w:pStyle w:val="ListParagraph"/>
        <w:numPr>
          <w:ilvl w:val="0"/>
          <w:numId w:val="1"/>
        </w:numPr>
        <w:spacing w:after="90" w:line="340"/>
      </w:pPr>
      <w:r>
        <w:t xml:space="preserve">0 → ~400 sellers: founder + 1 operator.</w:t>
      </w:r>
    </w:p>
    <w:p>
      <w:pPr>
        <w:pStyle w:val="ListParagraph"/>
        <w:numPr>
          <w:ilvl w:val="0"/>
          <w:numId w:val="1"/>
        </w:numPr>
        <w:spacing w:after="90" w:line="340"/>
      </w:pPr>
      <w:r>
        <w:t xml:space="preserve">~500: a 2nd operator; split Operations by rule family via a queue filter — no new tooling.</w:t>
      </w:r>
    </w:p>
    <w:p>
      <w:pPr>
        <w:pStyle w:val="ListParagraph"/>
        <w:numPr>
          <w:ilvl w:val="0"/>
          <w:numId w:val="1"/>
        </w:numPr>
        <w:spacing w:after="90" w:line="340"/>
      </w:pPr>
      <w:r>
        <w:t xml:space="preserve">~1,200: a 3rd operator + an ops lead who owns the weekly Rule Health loop and the SLA tiles.</w:t>
      </w:r>
    </w:p>
    <w:p>
      <w:pPr>
        <w:pStyle w:val="ListParagraph"/>
        <w:numPr>
          <w:ilvl w:val="0"/>
          <w:numId w:val="1"/>
        </w:numPr>
        <w:spacing w:after="90" w:line="340"/>
      </w:pPr>
      <w:r>
        <w:t xml:space="preserve">~2,000 / partner-heavy: a partnerships lead who owns the Partner dashboards and white-label onboarding. A new Brazilian marketplace is a source adapter feeding the same spine and the same dashboards — never a new operating model.</w:t>
      </w:r>
    </w:p>
    <w:p>
      <w:pPr>
        <w:pStyle w:val="Heading1"/>
      </w:pPr>
      <w:r>
        <w:t xml:space="preserve">27.  Recommendation</w:t>
      </w:r>
    </w:p>
    <w:p>
      <w:pPr>
        <w:spacing w:after="110" w:line="340"/>
        <w:ind w:left="360" w:hanging="360"/>
      </w:pPr>
      <w:r>
        <w:rPr>
          <w:b/>
          <w:bCs/>
          <w:color w:val="0A6E4C"/>
        </w:rPr>
        <w:t xml:space="preserve">1.  </w:t>
      </w:r>
      <w:r>
        <w:rPr>
          <w:b/>
          <w:bCs/>
        </w:rPr>
        <w:t xml:space="preserve">Build the system, not the chatbot </w:t>
      </w:r>
      <w:r>
        <w:t xml:space="preserve">— but earn the right first. Run Phase 0 on scripts and a human, and treat the submit-vs-hold A/B as the go/no-go. It costs ~R$15–25k and answers the only question that matters.</w:t>
      </w:r>
    </w:p>
    <w:p>
      <w:pPr>
        <w:spacing w:after="110" w:line="340"/>
        <w:ind w:left="360" w:hanging="360"/>
      </w:pPr>
      <w:r>
        <w:rPr>
          <w:b/>
          <w:bCs/>
          <w:color w:val="0A6E4C"/>
        </w:rPr>
        <w:t xml:space="preserve">2.  </w:t>
      </w:r>
      <w:r>
        <w:rPr>
          <w:b/>
          <w:bCs/>
        </w:rPr>
        <w:t xml:space="preserve">Make the event spine the first thing you build </w:t>
      </w:r>
      <w:r>
        <w:t xml:space="preserve">in Phase 1 — append-only and hash-chained. The workbench, every dashboard, and every automation are consumers of it; audit, LGPD, and dispute defence all follow from it.</w:t>
      </w:r>
    </w:p>
    <w:p>
      <w:pPr>
        <w:spacing w:after="110" w:line="340"/>
        <w:ind w:left="360" w:hanging="360"/>
      </w:pPr>
      <w:r>
        <w:rPr>
          <w:b/>
          <w:bCs/>
          <w:color w:val="0A6E4C"/>
        </w:rPr>
        <w:t xml:space="preserve">3.  </w:t>
      </w:r>
      <w:r>
        <w:rPr>
          <w:b/>
          <w:bCs/>
        </w:rPr>
        <w:t xml:space="preserve">Treat dashboards and automation as core, from Phase 1. </w:t>
      </w:r>
      <w:r>
        <w:t xml:space="preserve">The business is meant to be run from glass by a tiny team; build the Operations and Owner tiles and the onboarding/doc-chase automation as soon as there is a spine to read.</w:t>
      </w:r>
    </w:p>
    <w:p>
      <w:pPr>
        <w:spacing w:after="110" w:line="340"/>
        <w:ind w:left="360" w:hanging="360"/>
      </w:pPr>
      <w:r>
        <w:rPr>
          <w:b/>
          <w:bCs/>
          <w:color w:val="0A6E4C"/>
        </w:rPr>
        <w:t xml:space="preserve">4.  </w:t>
      </w:r>
      <w:r>
        <w:rPr>
          <w:b/>
          <w:bCs/>
        </w:rPr>
        <w:t xml:space="preserve">Reconcile both pools from one connection </w:t>
      </w:r>
      <w:r>
        <w:t xml:space="preserve">— Full and Mercado Pago — and keep the whole thing Brazil-only to hold the KISS line.</w:t>
      </w:r>
    </w:p>
    <w:p>
      <w:pPr>
        <w:spacing w:after="110" w:line="340"/>
        <w:ind w:left="360" w:hanging="360"/>
      </w:pPr>
      <w:r>
        <w:rPr>
          <w:b/>
          <w:bCs/>
          <w:color w:val="0A6E4C"/>
        </w:rPr>
        <w:t xml:space="preserve">5.  </w:t>
      </w:r>
      <w:r>
        <w:rPr>
          <w:b/>
          <w:bCs/>
        </w:rPr>
        <w:t xml:space="preserve">Design for the north star. </w:t>
      </w:r>
      <w:r>
        <w:t xml:space="preserve">Confirmed client credits per human operating hour is the one number; if it does not rise with volume after 45 days, redesign, do not push harder.</w:t>
      </w:r>
    </w:p>
    <w:p>
      <w:r>
        <w:t xml:space="preserve">The prize, if the pilot passes, is the first credible automated recovery layer for Brazilian Mercado Livre sellers — run from dashboards, executed by automation, and scalable to a strong Brazil-only business on a few hundred good books. The discipline throughout is that each rung is earned by the one below it paying for itself, and that nothing is added to the system until a real pain forces it.</w:t>
      </w:r>
    </w:p>
    <w:p>
      <w:pPr>
        <w:pStyle w:val="Heading1"/>
      </w:pPr>
      <w:r>
        <w:t xml:space="preserve">28.  Appendix</w:t>
      </w:r>
    </w:p>
    <w:p>
      <w:pPr>
        <w:pStyle w:val="Heading3"/>
      </w:pPr>
      <w:r>
        <w:t xml:space="preserve">A. Platform / API notes (verify before building the write path)</w:t>
      </w:r>
    </w:p>
    <w:p>
      <w:pPr>
        <w:pStyle w:val="ListParagraph"/>
        <w:numPr>
          <w:ilvl w:val="0"/>
          <w:numId w:val="1"/>
        </w:numPr>
        <w:spacing w:after="90" w:line="340"/>
      </w:pPr>
      <w:r>
        <w:t xml:space="preserve">Full stock movements are the key detection surface (a searchable operations history, default 15-day window; pushed via a stock-fulfilment webhook topic).</w:t>
      </w:r>
    </w:p>
    <w:p>
      <w:pPr>
        <w:pStyle w:val="ListParagraph"/>
        <w:numPr>
          <w:ilvl w:val="0"/>
          <w:numId w:val="1"/>
        </w:numPr>
        <w:spacing w:after="90" w:line="340"/>
      </w:pPr>
      <w:r>
        <w:t xml:space="preserve">Claims carry available actions with a mandatory flag and an expiration; API actions are messaging and evidence only — refund acceptance and final adjudication are dashboard-only. Model-6 sellers receive 403 on these endpoints.</w:t>
      </w:r>
    </w:p>
    <w:p>
      <w:pPr>
        <w:pStyle w:val="ListParagraph"/>
        <w:numPr>
          <w:ilvl w:val="0"/>
          <w:numId w:val="1"/>
        </w:numPr>
        <w:spacing w:after="90" w:line="340"/>
      </w:pPr>
      <w:r>
        <w:t xml:space="preserve">Mercado Pago provides a Release report and an Account-Money report (schedulable). Its refund endpoint requires an idempotency key and is blocklisted for VOLTA.</w:t>
      </w:r>
    </w:p>
    <w:p>
      <w:pPr>
        <w:pStyle w:val="ListParagraph"/>
        <w:numPr>
          <w:ilvl w:val="0"/>
          <w:numId w:val="1"/>
        </w:numPr>
        <w:spacing w:after="90" w:line="340"/>
      </w:pPr>
      <w:r>
        <w:t xml:space="preserve">OAuth 2.0 authorization code; access token ~6h; refresh rotates; rate limit ~1,500 requests/min per seller.</w:t>
      </w:r>
    </w:p>
    <w:p>
      <w:pPr>
        <w:pStyle w:val="Heading3"/>
      </w:pPr>
      <w:r>
        <w:t xml:space="preserve">B. Assumptions to verify with primary sources and Brazilian advisors</w:t>
      </w:r>
    </w:p>
    <w:p>
      <w:pPr>
        <w:pStyle w:val="ListParagraph"/>
        <w:numPr>
          <w:ilvl w:val="0"/>
          <w:numId w:val="1"/>
        </w:numPr>
        <w:spacing w:after="90" w:line="340"/>
      </w:pPr>
      <w:r>
        <w:t xml:space="preserve">The ~1–3% recoverable-of-revenue figure, for Mercado Livre specifically (the pilot).</w:t>
      </w:r>
    </w:p>
    <w:p>
      <w:pPr>
        <w:pStyle w:val="ListParagraph"/>
        <w:numPr>
          <w:ilvl w:val="0"/>
          <w:numId w:val="1"/>
        </w:numPr>
        <w:spacing w:after="90" w:line="340"/>
      </w:pPr>
      <w:r>
        <w:t xml:space="preserve">Developer-policy permission for third-party, seller-authorized recovery workflows and any limit on programmatic claim submission.</w:t>
      </w:r>
    </w:p>
    <w:p>
      <w:pPr>
        <w:pStyle w:val="ListParagraph"/>
        <w:numPr>
          <w:ilvl w:val="0"/>
          <w:numId w:val="1"/>
        </w:numPr>
        <w:spacing w:after="90" w:line="340"/>
      </w:pPr>
      <w:r>
        <w:t xml:space="preserve">LGPD cross-border basis (ANPD standard clauses) and the legality/tax treatment of contingency service fees (NFS-e, ISS, retentions) — with counsel and an accountant.</w:t>
      </w:r>
    </w:p>
    <w:p>
      <w:pPr>
        <w:pStyle w:val="ListParagraph"/>
        <w:numPr>
          <w:ilvl w:val="0"/>
          <w:numId w:val="1"/>
        </w:numPr>
        <w:spacing w:after="90" w:line="340"/>
      </w:pPr>
      <w:r>
        <w:t xml:space="preserve">Pix Automático / mandate mechanics with a Brazilian payments provider.</w:t>
      </w:r>
    </w:p>
    <w:p>
      <w:pPr>
        <w:pStyle w:val="Heading3"/>
      </w:pPr>
      <w:r>
        <w:t xml:space="preserve">C. Glossary</w:t>
      </w:r>
    </w:p>
    <w:p>
      <w:pPr>
        <w:pStyle w:val="ListParagraph"/>
        <w:numPr>
          <w:ilvl w:val="0"/>
          <w:numId w:val="1"/>
        </w:numPr>
        <w:spacing w:after="90" w:line="340"/>
      </w:pPr>
      <w:r>
        <w:rPr>
          <w:b/>
          <w:bCs/>
        </w:rPr>
        <w:t xml:space="preserve">Full / Mercado Envios Full — </w:t>
      </w:r>
      <w:r>
        <w:t xml:space="preserve">Mercado Livre’s fulfilment programme, the FBA analog.</w:t>
      </w:r>
    </w:p>
    <w:p>
      <w:pPr>
        <w:pStyle w:val="ListParagraph"/>
        <w:numPr>
          <w:ilvl w:val="0"/>
          <w:numId w:val="1"/>
        </w:numPr>
        <w:spacing w:after="90" w:line="340"/>
      </w:pPr>
      <w:r>
        <w:rPr>
          <w:b/>
          <w:bCs/>
        </w:rPr>
        <w:t xml:space="preserve">Mercado Pago — </w:t>
      </w:r>
      <w:r>
        <w:t xml:space="preserve">Mercado Livre’s payments arm; source of the financial reports VOLTA reconciles against.</w:t>
      </w:r>
    </w:p>
    <w:p>
      <w:pPr>
        <w:pStyle w:val="ListParagraph"/>
        <w:numPr>
          <w:ilvl w:val="0"/>
          <w:numId w:val="1"/>
        </w:numPr>
        <w:spacing w:after="90" w:line="340"/>
      </w:pPr>
      <w:r>
        <w:rPr>
          <w:b/>
          <w:bCs/>
        </w:rPr>
        <w:t xml:space="preserve">NF-e / DANFE — </w:t>
      </w:r>
      <w:r>
        <w:t xml:space="preserve">the Brazilian electronic invoice; the XML is the legal document, the DANFE only its printout.</w:t>
      </w:r>
    </w:p>
    <w:p>
      <w:pPr>
        <w:pStyle w:val="ListParagraph"/>
        <w:numPr>
          <w:ilvl w:val="0"/>
          <w:numId w:val="1"/>
        </w:numPr>
        <w:spacing w:after="90" w:line="340"/>
      </w:pPr>
      <w:r>
        <w:rPr>
          <w:b/>
          <w:bCs/>
        </w:rPr>
        <w:t xml:space="preserve">NFS-e — </w:t>
      </w:r>
      <w:r>
        <w:t xml:space="preserve">the municipal service invoice VOLTA issues for its own fee.</w:t>
      </w:r>
    </w:p>
    <w:p>
      <w:pPr>
        <w:pStyle w:val="ListParagraph"/>
        <w:numPr>
          <w:ilvl w:val="0"/>
          <w:numId w:val="1"/>
        </w:numPr>
        <w:spacing w:after="90" w:line="340"/>
      </w:pPr>
      <w:r>
        <w:rPr>
          <w:b/>
          <w:bCs/>
        </w:rPr>
        <w:t xml:space="preserve">Model-6 seller — </w:t>
      </w:r>
      <w:r>
        <w:t xml:space="preserve">an account tier that receives 403 on the claims/returns endpoints VOLTA needs.</w:t>
      </w:r>
    </w:p>
    <w:p>
      <w:pPr>
        <w:pStyle w:val="ListParagraph"/>
        <w:numPr>
          <w:ilvl w:val="0"/>
          <w:numId w:val="1"/>
        </w:numPr>
        <w:spacing w:after="90" w:line="340"/>
      </w:pPr>
      <w:r>
        <w:rPr>
          <w:b/>
          <w:bCs/>
        </w:rPr>
        <w:t xml:space="preserve">Event spine — </w:t>
      </w:r>
      <w:r>
        <w:t xml:space="preserve">the append-only, hash-chained raw-event and case-event tables that are VOLTA’s system of record.</w:t>
      </w:r>
    </w:p>
    <w:p>
      <w:pPr>
        <w:pStyle w:val="ListParagraph"/>
        <w:numPr>
          <w:ilvl w:val="0"/>
          <w:numId w:val="1"/>
        </w:numPr>
        <w:spacing w:after="90" w:line="340"/>
      </w:pPr>
      <w:r>
        <w:rPr>
          <w:b/>
          <w:bCs/>
        </w:rPr>
        <w:t xml:space="preserve">Materialized view — </w:t>
      </w:r>
      <w:r>
        <w:t xml:space="preserve">a pre-computed SQL result the dashboards read; VOLTA’s metrics are all materialized views over the spine.</w:t>
      </w:r>
    </w:p>
    <w:p>
      <w:pPr>
        <w:pStyle w:val="ListParagraph"/>
        <w:numPr>
          <w:ilvl w:val="0"/>
          <w:numId w:val="1"/>
        </w:numPr>
        <w:spacing w:after="90" w:line="340"/>
      </w:pPr>
      <w:r>
        <w:rPr>
          <w:b/>
          <w:bCs/>
        </w:rPr>
        <w:t xml:space="preserve">North star — </w:t>
      </w:r>
      <w:r>
        <w:t xml:space="preserve">confirmed client credits per human operating hour.</w:t>
      </w:r>
    </w:p>
    <w:p>
      <w:pPr>
        <w:spacing w:after="120"/>
      </w:pPr>
      <w:r>
        <w:t xml:space="preserve"/>
      </w:r>
    </w:p>
    <w:p>
      <w:pPr>
        <w:pBdr>
          <w:bottom w:val="single" w:color="C9D6D0" w:sz="8" w:space="1"/>
        </w:pBdr>
        <w:spacing w:after="160" w:before="60"/>
      </w:pPr>
      <w:r>
        <w:t xml:space="preserve"/>
      </w:r>
    </w:p>
    <w:p>
      <w:r>
        <w:t xml:space="preserve">Version 2 — confidential working draft, 23 July 2026. Market, legal, tax, and platform specifics are to be verified with primary sources and Brazilian counsel before launch. This document describes a plan and an architecture; it is not legal, tax, or investment advice.</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0" w:sz="4" w:space="6"/>
      </w:pBdr>
      <w:spacing w:after="0" w:before="0"/>
      <w:jc w:val="center"/>
    </w:pPr>
    <w:r>
      <w:rPr>
        <w:color w:val="5B6B66"/>
        <w:sz w:val="17"/>
        <w:szCs w:val="17"/>
      </w:rPr>
      <w:t xml:space="preserve">VOLTA  ·  Business Plan &amp; Technology Overview (v2)  ·  Confidential  ·  </w:t>
    </w:r>
    <w:r>
      <w:rPr>
        <w:color w:val="5B6B66"/>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1414"/>
        <w:sz w:val="26"/>
        <w:szCs w:val="26"/>
      </w:rPr>
    </w:rPrDefault>
    <w:pPrDefault>
      <w:pPr>
        <w:spacing w:after="16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0B4A36"/>
      <w:sz w:val="40"/>
      <w:szCs w:val="40"/>
    </w:rPr>
  </w:style>
  <w:style w:type="paragraph" w:styleId="Heading2">
    <w:name w:val="Heading 2"/>
    <w:basedOn w:val="Normal"/>
    <w:next w:val="Normal"/>
    <w:qFormat/>
    <w:pPr>
      <w:keepNext/>
      <w:spacing w:after="100" w:before="260"/>
      <w:outlineLvl w:val="1"/>
    </w:pPr>
    <w:rPr>
      <w:rFonts w:ascii="Calibri" w:cs="Calibri" w:eastAsia="Calibri" w:hAnsi="Calibri"/>
      <w:b/>
      <w:bCs/>
      <w:color w:val="0A6E4C"/>
      <w:sz w:val="30"/>
      <w:szCs w:val="30"/>
    </w:rPr>
  </w:style>
  <w:style w:type="paragraph" w:styleId="Heading3">
    <w:name w:val="Heading 3"/>
    <w:basedOn w:val="Normal"/>
    <w:next w:val="Normal"/>
    <w:qFormat/>
    <w:pPr>
      <w:keepNext/>
      <w:spacing w:after="80" w:before="200"/>
      <w:outlineLvl w:val="2"/>
    </w:pPr>
    <w:rPr>
      <w:rFonts w:ascii="Calibri" w:cs="Calibri" w:eastAsia="Calibri" w:hAnsi="Calibri"/>
      <w:b/>
      <w:bCs/>
      <w:color w:val="141414"/>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VOLTA — Business Plan &amp; Technology Overview (v2)</dc:title>
  <dc:creator>VOLTA</dc:creator>
  <dc:description>Ground-up v2: dashboard-run, automated, Brazil-focused, KISS.</dc:description>
  <cp:lastModifiedBy>Un-named</cp:lastModifiedBy>
  <cp:revision>1</cp:revision>
  <dcterms:created xsi:type="dcterms:W3CDTF">2026-07-23T01:23:56.925Z</dcterms:created>
  <dcterms:modified xsi:type="dcterms:W3CDTF">2026-07-23T01:23:56.938Z</dcterms:modified>
</cp:coreProperties>
</file>

<file path=docProps/custom.xml><?xml version="1.0" encoding="utf-8"?>
<Properties xmlns="http://schemas.openxmlformats.org/officeDocument/2006/custom-properties" xmlns:vt="http://schemas.openxmlformats.org/officeDocument/2006/docPropsVTypes"/>
</file>