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</w:pPr>
      <w:r>
        <w:rPr>
          <w:b/>
          <w:bCs/>
          <w:color w:val="3B2F1E"/>
          <w:sz w:val="72"/>
          <w:szCs w:val="72"/>
        </w:rPr>
        <w:t xml:space="preserve">TITLE FORGE</w:t>
      </w:r>
    </w:p>
    <w:p>
      <w:pPr>
        <w:pBdr>
          <w:bottom w:val="single" w:color="8A5A2B" w:sz="12" w:space="4"/>
        </w:pBdr>
        <w:spacing w:after="40"/>
      </w:pPr>
      <w:r>
        <w:rPr>
          <w:b/>
          <w:bCs/>
          <w:color w:val="8A5A2B"/>
          <w:sz w:val="30"/>
          <w:szCs w:val="30"/>
        </w:rPr>
        <w:t xml:space="preserve">Business Overview &amp; Execution Plan</w:t>
      </w:r>
    </w:p>
    <w:p>
      <w:pPr>
        <w:spacing w:after="40" w:before="160"/>
      </w:pPr>
      <w:r>
        <w:rPr>
          <w:i/>
          <w:iCs/>
          <w:color w:val="5A5045"/>
          <w:sz w:val="24"/>
          <w:szCs w:val="24"/>
        </w:rPr>
        <w:t xml:space="preserve">The AI-Native Land Title &amp; Curative Factory for the Energy, Transmission, and Data-Center Land Rush</w:t>
      </w:r>
    </w:p>
    <w:p>
      <w:pPr>
        <w:spacing w:after="300"/>
      </w:pPr>
      <w:r>
        <w:rPr>
          <w:color w:val="5A5045"/>
          <w:sz w:val="20"/>
          <w:szCs w:val="20"/>
        </w:rPr>
        <w:t xml:space="preserve">Target: </w:t>
      </w:r>
      <w:r>
        <w:rPr>
          <w:b/>
          <w:bCs/>
          <w:color w:val="3B2F1E"/>
          <w:sz w:val="20"/>
          <w:szCs w:val="20"/>
        </w:rPr>
        <w:t xml:space="preserve">$1,000,000+/mo pre-tax net profit by month 36</w:t>
      </w:r>
      <w:r>
        <w:rPr>
          <w:color w:val="5A5045"/>
          <w:sz w:val="20"/>
          <w:szCs w:val="20"/>
        </w:rPr>
        <w:t xml:space="preserve">     Starting capital: </w:t>
      </w:r>
      <w:r>
        <w:rPr>
          <w:b/>
          <w:bCs/>
          <w:color w:val="3B2F1E"/>
          <w:sz w:val="20"/>
          <w:szCs w:val="20"/>
        </w:rPr>
        <w:t xml:space="preserve">$250,000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1.  The Business in One Paragraph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TITLE FORGE sells finished, liability-bearing land-title work product </w:t>
      </w:r>
      <w:r>
        <w:rPr>
          <w:sz w:val="21"/>
          <w:szCs w:val="21"/>
        </w:rPr>
        <w:t xml:space="preserve">— certified patent-to-present runsheets, mineral-severance reports, heirship research, and counsel-supervised curative programs — to the buyers racing through the US energy, transmission, and data-center land rush. It is not software and not day-rate labor: fixed-price, SLA-backed, E&amp;O-insured deliverables produced by a vision-LLM pipeline with </w:t>
      </w:r>
      <w:r>
        <w:rPr>
          <w:b/>
          <w:bCs/>
          <w:sz w:val="21"/>
          <w:szCs w:val="21"/>
        </w:rPr>
        <w:t xml:space="preserve">100% instrument-level human verification.</w:t>
      </w:r>
      <w:r>
        <w:rPr>
          <w:sz w:val="21"/>
          <w:szCs w:val="21"/>
        </w:rPr>
        <w:t xml:space="preserve"> We are built to survive a flood of funded AI copycats because our core asset — an adjudicated title plant, built county by county from paid work — cannot be bought or rushed; it can only be earned one certified tract at a time.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2.  The Problem We Solve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Utility-scale solar/storage/transmission developers, data-center site teams, and mineral/E&amp;P land departments all need proven chain of title on rural land — on the critical path to site control and project financing.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Landmen bill $400–600/day</w:t>
      </w:r>
      <w:r>
        <w:rPr>
          <w:sz w:val="21"/>
          <w:szCs w:val="21"/>
        </w:rPr>
        <w:t xml:space="preserve"> and produce </w:t>
      </w:r>
      <w:r>
        <w:rPr>
          <w:b/>
          <w:bCs/>
          <w:sz w:val="21"/>
          <w:szCs w:val="21"/>
        </w:rPr>
        <w:t xml:space="preserve">1–3 tracts per week.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A typical 200-tract project costs $300,000–$600,000 and takes 3–6 months</w:t>
      </w:r>
      <w:r>
        <w:rPr>
          <w:sz w:val="21"/>
          <w:szCs w:val="21"/>
        </w:rPr>
        <w:t xml:space="preserve"> the old way.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Delay costs $10,000–$300,000 per day</w:t>
      </w:r>
      <w:r>
        <w:rPr>
          <w:sz w:val="21"/>
          <w:szCs w:val="21"/>
        </w:rPr>
        <w:t xml:space="preserve"> once a project is financed and waiting on title.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The professional abstractor workforce is aging out exactly as demand peaks</w:t>
      </w:r>
      <w:r>
        <w:rPr>
          <w:sz w:val="21"/>
          <w:szCs w:val="21"/>
        </w:rPr>
        <w:t xml:space="preserve"> — 2,600+ GW of projects sit in interconnection queues today.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The budget already exists</w:t>
      </w:r>
      <w:r>
        <w:rPr>
          <w:sz w:val="21"/>
          <w:szCs w:val="21"/>
        </w:rPr>
        <w:t xml:space="preserve"> and already flows to day-rate brokerages — brokerages that structurally cannot automate without cannibalizing their own billable-day P&amp;L. TITLE FORGE redirects that existing spend instead of creating a new category.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3.  The Customer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Buyer universe (publicly enumerable, ~700 named organizations):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~200 mineral funds / E&amp;P land departments</w:t>
      </w:r>
      <w:r>
        <w:rPr>
          <w:sz w:val="21"/>
          <w:szCs w:val="21"/>
        </w:rPr>
        <w:t xml:space="preserve"> — fastest sales cycle (2–6 weeks), first wave.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~500 utility-scale developers</w:t>
      </w:r>
      <w:r>
        <w:rPr>
          <w:sz w:val="21"/>
          <w:szCs w:val="21"/>
        </w:rPr>
        <w:t xml:space="preserve"> — 6–12 month MSA cycles, second wave (months 10–24).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~40 energy project law firms</w:t>
      </w:r>
      <w:r>
        <w:rPr>
          <w:sz w:val="21"/>
          <w:szCs w:val="21"/>
        </w:rPr>
        <w:t xml:space="preserve"> — channel partners and curative fulfillment partners from month 18+.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Launch geography: </w:t>
      </w:r>
      <w:r>
        <w:rPr>
          <w:sz w:val="21"/>
          <w:szCs w:val="21"/>
        </w:rPr>
        <w:t xml:space="preserve">Texas counties only. Oklahoma and New Mexico orders are declined-and-waitlisted until the relevant abstractor certificates/licenses are held — stated plainly to buyers rather than overpromised.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Why they’ll pay us: </w:t>
      </w:r>
      <w:r>
        <w:rPr>
          <w:sz w:val="21"/>
          <w:szCs w:val="21"/>
        </w:rPr>
        <w:t xml:space="preserve">we cost less than a day-rate landman crew, deliver faster, and — critically — we get cheaper and faster on repeat work in the same county as our plant matures. No incumbent brokerage can say that.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4.  The Offer &amp; Pricing (With Honest Price-Decay Built In)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Because a flood of copycats will attack our exposed tiers with pricing pressure, every SKU has its decay path modeled up front — no hiding from it.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2600"/>
        <w:gridCol w:w="2100"/>
        <w:gridCol w:w="2100"/>
        <w:gridCol w:w="2560"/>
      </w:tblGrid>
      <w:tr>
        <w:trPr>
          <w:tblHeader/>
        </w:trPr>
        <w:tc>
          <w:tcPr>
            <w:tcW w:type="dxa" w:w="26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21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Price path</w:t>
            </w:r>
          </w:p>
        </w:tc>
        <w:tc>
          <w:tcPr>
            <w:tcW w:type="dxa" w:w="21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Displaced cost</w:t>
            </w:r>
          </w:p>
        </w:tc>
        <w:tc>
          <w:tcPr>
            <w:tcW w:type="dxa" w:w="256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GM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Runsheet — plant-cached repeat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$550 → $450 by mo 36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$1,500–3,000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76%</w:t>
            </w:r>
          </w:p>
        </w:tc>
      </w:tr>
      <w:tr>
        <w:trPr>
          <w:tblHeader w:val="false"/>
        </w:trPr>
        <w:tc>
          <w:tcPr>
            <w:tcW w:type="dxa" w:w="2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Runsheet — digitized first touch</w:t>
            </w:r>
          </w:p>
        </w:tc>
        <w:tc>
          <w:tcPr>
            <w:tcW w:type="dxa" w:w="21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$750 → $385 by mo 36</w:t>
            </w:r>
          </w:p>
        </w:tc>
        <w:tc>
          <w:tcPr>
            <w:tcW w:type="dxa" w:w="21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$700–1,400</w:t>
            </w:r>
          </w:p>
        </w:tc>
        <w:tc>
          <w:tcPr>
            <w:tcW w:type="dxa" w:w="2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~26%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Runsheet — scanned-only county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$1,950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$2,500–3,500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57%</w:t>
            </w:r>
          </w:p>
        </w:tc>
      </w:tr>
      <w:tr>
        <w:trPr>
          <w:tblHeader w:val="false"/>
        </w:trPr>
        <w:tc>
          <w:tcPr>
            <w:tcW w:type="dxa" w:w="2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Financing-reliance certification</w:t>
            </w:r>
          </w:p>
        </w:tc>
        <w:tc>
          <w:tcPr>
            <w:tcW w:type="dxa" w:w="21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+$250/tract ($1M cap)</w:t>
            </w:r>
          </w:p>
        </w:tc>
        <w:tc>
          <w:tcPr>
            <w:tcW w:type="dxa" w:w="21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category</w:t>
            </w:r>
          </w:p>
        </w:tc>
        <w:tc>
          <w:tcPr>
            <w:tcW w:type="dxa" w:w="2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85%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Heirship research report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$3,500 (≤8 heirs) +$300/heir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$5,000–15,000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45%</w:t>
            </w:r>
          </w:p>
        </w:tc>
      </w:tr>
      <w:tr>
        <w:trPr>
          <w:tblHeader w:val="false"/>
        </w:trPr>
        <w:tc>
          <w:tcPr>
            <w:tcW w:type="dxa" w:w="2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Curative program</w:t>
            </w:r>
          </w:p>
        </w:tc>
        <w:tc>
          <w:tcPr>
            <w:tcW w:type="dxa" w:w="21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$3,000/defect; $75–400k/project</w:t>
            </w:r>
          </w:p>
        </w:tc>
        <w:tc>
          <w:tcPr>
            <w:tcW w:type="dxa" w:w="21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compresses counsel hrs</w:t>
            </w:r>
          </w:p>
        </w:tc>
        <w:tc>
          <w:tcPr>
            <w:tcW w:type="dxa" w:w="2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55%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Portfolio monitoring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$5–15/parcel/mo</w:t>
            </w:r>
          </w:p>
        </w:tc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new category</w:t>
            </w:r>
          </w:p>
        </w:tc>
        <w:tc>
          <w:tcPr>
            <w:tcW w:type="dxa" w:w="2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85%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SLA: </w:t>
      </w:r>
      <w:r>
        <w:rPr>
          <w:sz w:val="21"/>
          <w:szCs w:val="21"/>
        </w:rPr>
        <w:t xml:space="preserve">5 business days for cached/digitized work, 15–25 days for first-touch scanned work. Miss the SLA → 25% credit. Liability capped at 2x fees on standard work; the $1M reliance cap applies only where our carrier has endorsed it in writing.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5.  Why Copycats Can’t Just Show Up (The Flood-Test Moats)</w:t>
      </w:r>
    </w:p>
    <w:p>
      <w:pPr>
        <w:spacing w:after="120" w:line="276"/>
      </w:pPr>
      <w:r>
        <w:rPr>
          <w:color w:val="222222"/>
          <w:sz w:val="21"/>
          <w:szCs w:val="21"/>
        </w:rPr>
        <w:t xml:space="preserve">Every AI category eventually floods with funded competitors. Here is what survives that, with honest time-to-replicate: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1. The compounding title plant</w:t>
      </w:r>
      <w:r>
        <w:rPr>
          <w:sz w:val="21"/>
          <w:szCs w:val="21"/>
        </w:rPr>
        <w:t xml:space="preserve"> (the core moat — ~2 years to replicate, capital cannot compress it). Roughly a third of relevant county records — precisely the rural counties where energy projects land — have no complete online index before the 1970s. Someone has to physically send runners into courthouse basements. Raw scanning isn’t the moat (a funded copycat can blanket-scan 100 counties in months); the moat is the adjudicated chain graph — which only gets built by delivering paid, certified work. After ~150–200 delivered tracts in a survey area, repeat orders reuse 60–80% of prior work, cutting our cost and turnaround time simultaneously. A copycat has to win that same paid volume, county by county, earning zero revenue while they catch 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2. Courthouse grit + counsel trust</w:t>
      </w:r>
      <w:r>
        <w:rPr>
          <w:sz w:val="21"/>
          <w:szCs w:val="21"/>
        </w:rPr>
        <w:t xml:space="preserve"> (18–36 months). Handwritten pre-1970 deeds, state-specific mineral-severance doctrine, clerk-by-clerk quirks, a vetted paid runner network. Conservative energy land departments switch vendors on their attorney’s recommendation — not because a demo looked good.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3. Monitoring lock-in.</w:t>
      </w:r>
      <w:r>
        <w:rPr>
          <w:sz w:val="21"/>
          <w:szCs w:val="21"/>
        </w:rPr>
        <w:t xml:space="preserve"> Portfolio monitoring is default-on in every contract and embeds us in the customer’s financing diligence chain. Ripping us out mid-project jeopardizes the deal. 1%/mo churn, 85% margin.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4. Licensing/bonding</w:t>
      </w:r>
      <w:r>
        <w:rPr>
          <w:sz w:val="21"/>
          <w:szCs w:val="21"/>
        </w:rPr>
        <w:t xml:space="preserve"> (an operational prerequisite, not a moat by itself). Disclosed-AI E&amp;O coverage and credentialed signers are cleared in year 1. True regulatory moats — Oklahoma/North Dakota abstract-plant certificates — are deliberately staged as year-2/3 capital projects; the flood-test case doesn’t depend on them.</w:t>
      </w:r>
    </w:p>
    <w:p>
      <w:pPr>
        <w:pBdr>
          <w:left w:val="single" w:color="8A5A2B" w:sz="18" w:space="6"/>
        </w:pBdr>
        <w:shd w:fill="F2EAE0" w:color="auto" w:val="clear"/>
        <w:spacing w:after="120" w:before="100" w:line="264"/>
      </w:pPr>
      <w:r>
        <w:rPr>
          <w:b/>
          <w:bCs/>
          <w:sz w:val="20"/>
          <w:szCs w:val="20"/>
        </w:rPr>
        <w:t xml:space="preserve">The honest verdict: </w:t>
      </w:r>
      <w:r>
        <w:rPr>
          <w:sz w:val="20"/>
          <w:szCs w:val="20"/>
        </w:rPr>
        <w:t xml:space="preserve">50 funded copycats can replicate our LLM pipeline in a quarter and will crater prices in the easy, already-digitized counties. They cannot replicate our scanned-county corpus, our licensing/claims history, or our counsel trust inside two-plus years. We price against landman day rates, not software comps — and our cost floor in plant-covered counties sits below any entrant’s marginal cost.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6.  How It Works — The AI + Human Stack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Design principle: </w:t>
      </w:r>
      <w:r>
        <w:rPr>
          <w:sz w:val="21"/>
          <w:szCs w:val="21"/>
        </w:rPr>
        <w:t xml:space="preserve">correctness is conjunctive. At 99% per-instrument accuracy, a 120-instrument chain is fully correct only ~30% of the time. The killer error class is omission — the document the model never extracted — which a simple diff UI is structurally blind to. So verification is redesigned per instrument type: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 type</w:t>
            </w:r>
          </w:p>
        </w:tc>
        <w:tc>
          <w:tcPr>
            <w:tcW w:type="dxa" w:w="456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Verification method</w:t>
            </w:r>
          </w:p>
        </w:tc>
        <w:tc>
          <w:tcPr>
            <w:tcW w:type="dxa" w:w="22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Typed/digitized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Field diff + AI-generated clause inventory, checked against highlighted source image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~1.5 min</w:t>
            </w:r>
          </w:p>
        </w:tc>
      </w:tr>
      <w:tr>
        <w:trPr>
          <w:tblHeader w:val="false"/>
        </w:trPr>
        <w:tc>
          <w:tcPr>
            <w:tcW w:type="dxa" w:w="2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Handwritten pre-1970</w:t>
            </w:r>
          </w:p>
        </w:tc>
        <w:tc>
          <w:tcPr>
            <w:tcW w:type="dxa" w:w="4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Mandatory full read with transcription overlaid on the source image</w:t>
            </w:r>
          </w:p>
        </w:tc>
        <w:tc>
          <w:tcPr>
            <w:tcW w:type="dxa" w:w="22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4–8 min (5 budgeted)</w:t>
            </w:r>
          </w:p>
        </w:tc>
      </w:tr>
      <w:tr>
        <w:trPr>
          <w:tblHeader w:val="false"/>
        </w:trP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instruments</w:t>
            </w:r>
          </w:p>
        </w:tc>
        <w:tc>
          <w:tcPr>
            <w:tcW w:type="dxa" w:w="4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Cross-vendor AI ensemble (two independent vision stacks) so disagreement flags real errors</w:t>
            </w:r>
          </w:p>
        </w:tc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Ongoing QA</w:t>
            </w:r>
          </w:p>
        </w:tc>
        <w:tc>
          <w:tcPr>
            <w:tcW w:type="dxa" w:w="4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Canary seeding: known-defect instruments injected into every reviewer’s queue as a catch-rate SLA</w:t>
            </w:r>
          </w:p>
        </w:tc>
        <w:tc>
          <w:tcPr>
            <w:tcW w:type="dxa" w:w="22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Data provenance rule: </w:t>
      </w:r>
      <w:r>
        <w:rPr>
          <w:sz w:val="21"/>
          <w:szCs w:val="21"/>
        </w:rPr>
        <w:t xml:space="preserve">nothing enters our permanent plant except our own-capture images and direct-from-county copies at statutory fees. Third-party data sources (Enverus, Tracts, Landman.ai) are used only for lead targeting and per-order cross-checks — never stored in the plant.</w:t>
      </w:r>
    </w:p>
    <w:p>
      <w:pPr>
        <w:pStyle w:val="Heading2"/>
        <w:spacing w:after="80" w:before="220"/>
      </w:pPr>
      <w:r>
        <w:rPr>
          <w:b/>
          <w:bCs/>
          <w:color w:val="8A5A2B"/>
          <w:sz w:val="24"/>
          <w:szCs w:val="24"/>
        </w:rPr>
        <w:t xml:space="preserve">Cost per tract (COGS, at $70/hr loaded QC labor)</w:t>
      </w:r>
    </w:p>
    <w:tbl>
      <w:tblPr>
        <w:tblW w:type="dxa" w:w="99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2500"/>
        <w:gridCol w:w="1800"/>
        <w:gridCol w:w="2600"/>
        <w:gridCol w:w="1600"/>
        <w:gridCol w:w="1460"/>
      </w:tblGrid>
      <w:tr>
        <w:trPr>
          <w:tblHeader/>
        </w:trPr>
        <w:tc>
          <w:tcPr>
            <w:tcW w:type="dxa" w:w="25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8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Compute</w:t>
            </w:r>
          </w:p>
        </w:tc>
        <w:tc>
          <w:tcPr>
            <w:tcW w:type="dxa" w:w="26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QC labor</w:t>
            </w:r>
          </w:p>
        </w:tc>
        <w:tc>
          <w:tcPr>
            <w:tcW w:type="dxa" w:w="16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COGS</w:t>
            </w:r>
          </w:p>
        </w:tc>
        <w:tc>
          <w:tcPr>
            <w:tcW w:type="dxa" w:w="146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GM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Scanned first touch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$12–18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6.0 hr = $420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$830</w:t>
            </w:r>
          </w:p>
        </w:tc>
        <w:tc>
          <w:tcPr>
            <w:tcW w:type="dxa" w:w="1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57%</w:t>
            </w:r>
          </w:p>
        </w:tc>
      </w:tr>
      <w:tr>
        <w:trPr>
          <w:tblHeader w:val="false"/>
        </w:trPr>
        <w:tc>
          <w:tcPr>
            <w:tcW w:type="dxa" w:w="25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Digitized first touch</w:t>
            </w:r>
          </w:p>
        </w:tc>
        <w:tc>
          <w:tcPr>
            <w:tcW w:type="dxa" w:w="18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$8–12</w:t>
            </w:r>
          </w:p>
        </w:tc>
        <w:tc>
          <w:tcPr>
            <w:tcW w:type="dxa" w:w="2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2.0 hr = $140</w:t>
            </w:r>
          </w:p>
        </w:tc>
        <w:tc>
          <w:tcPr>
            <w:tcW w:type="dxa" w:w="1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$285</w:t>
            </w:r>
          </w:p>
        </w:tc>
        <w:tc>
          <w:tcPr>
            <w:tcW w:type="dxa" w:w="14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26%</w:t>
            </w:r>
          </w:p>
        </w:tc>
      </w:tr>
      <w:tr>
        <w:trPr>
          <w:tblHeader w:val="false"/>
        </w:trPr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Plant-cached repeat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$3–6</w:t>
            </w:r>
          </w:p>
        </w:tc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 hr = $70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$110</w:t>
            </w:r>
          </w:p>
        </w:tc>
        <w:tc>
          <w:tcPr>
            <w:tcW w:type="dxa" w:w="1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76%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The real rate-limiter is the abstractor supply program</w:t>
      </w:r>
      <w:r>
        <w:rPr>
          <w:sz w:val="21"/>
          <w:szCs w:val="21"/>
        </w:rPr>
        <w:t xml:space="preserve">, not compute: a 90-day paid apprenticeship converts title-company escrow staff and landmen into reviewers; senior signers are recruited from retiring plant principals and licensed abstractors.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7.  Unit Economics (The Numbers That Matter)</w:t>
      </w:r>
    </w:p>
    <w:p>
      <w:pPr>
        <w:pBdr>
          <w:left w:val="single" w:color="8A5A2B" w:sz="18" w:space="6"/>
        </w:pBdr>
        <w:shd w:fill="F2EAE0" w:color="auto" w:val="clear"/>
        <w:spacing w:after="120" w:line="264"/>
      </w:pPr>
      <w:r>
        <w:rPr>
          <w:b/>
          <w:bCs/>
          <w:sz w:val="20"/>
          <w:szCs w:val="20"/>
        </w:rPr>
        <w:t xml:space="preserve">Definition: </w:t>
      </w:r>
      <w:r>
        <w:rPr>
          <w:sz w:val="20"/>
          <w:szCs w:val="20"/>
        </w:rPr>
        <w:t xml:space="preserve">the $1M/mo target is stated pre-tax. At a 26% effective tax rate, $1M after-tax requires $1.35M pre-tax, landing around month 42.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5760"/>
        <w:gridCol w:w="3600"/>
      </w:tblGrid>
      <w:tr>
        <w:trPr>
          <w:tblHeader/>
        </w:trPr>
        <w:tc>
          <w:tcPr>
            <w:tcW w:type="dxa" w:w="576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Blended CAC (months 4–18)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$12,000–$20,000</w:t>
            </w:r>
          </w:p>
        </w:tc>
      </w:tr>
      <w:tr>
        <w:trPr>
          <w:tblHeader w:val="false"/>
        </w:trPr>
        <w:tc>
          <w:tcPr>
            <w:tcW w:type="dxa" w:w="57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Blended CAC (post-flood, mo 18+)</w:t>
            </w:r>
          </w:p>
        </w:tc>
        <w:tc>
          <w:tcPr>
            <w:tcW w:type="dxa" w:w="3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$18,000–$30,000</w:t>
            </w:r>
          </w:p>
        </w:tc>
      </w:tr>
      <w:tr>
        <w:trPr>
          <w:tblHeader w:val="false"/>
        </w:trPr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LTV — fund/E&amp;P logo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~$172,000 (12–23x CAC, &lt;3-mo payback)</w:t>
            </w:r>
          </w:p>
        </w:tc>
      </w:tr>
      <w:tr>
        <w:trPr>
          <w:tblHeader w:val="false"/>
        </w:trPr>
        <w:tc>
          <w:tcPr>
            <w:tcW w:type="dxa" w:w="57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LTV — core developer</w:t>
            </w:r>
          </w:p>
        </w:tc>
        <w:tc>
          <w:tcPr>
            <w:tcW w:type="dxa" w:w="3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~$694,000 (~20x even at flood CAC)</w:t>
            </w:r>
          </w:p>
        </w:tc>
      </w:tr>
      <w:tr>
        <w:trPr>
          <w:tblHeader w:val="false"/>
        </w:trPr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LTV — ramping developer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~$248,000 (~8x)</w:t>
            </w:r>
          </w:p>
        </w:tc>
      </w:tr>
      <w:tr>
        <w:trPr>
          <w:tblHeader w:val="false"/>
        </w:trPr>
        <w:tc>
          <w:tcPr>
            <w:tcW w:type="dxa" w:w="57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36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52% (mo 12) → 62% (mo 36)</w:t>
            </w:r>
          </w:p>
        </w:tc>
      </w:tr>
      <w:tr>
        <w:trPr>
          <w:tblHeader w:val="false"/>
        </w:trPr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Expansion revenue share (mo 30+)</w:t>
            </w:r>
          </w:p>
        </w:tc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55–65% of new revenue, near-zero CAC</w:t>
            </w:r>
          </w:p>
        </w:tc>
      </w:tr>
    </w:tbl>
    <w:p>
      <w:pPr>
        <w:pStyle w:val="Heading2"/>
        <w:spacing w:after="80" w:before="220"/>
      </w:pPr>
      <w:r>
        <w:rPr>
          <w:b/>
          <w:bCs/>
          <w:color w:val="8A5A2B"/>
          <w:sz w:val="24"/>
          <w:szCs w:val="24"/>
        </w:rPr>
        <w:t xml:space="preserve">The volume ladder to $1M/mo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1400"/>
        <w:gridCol w:w="1560"/>
        <w:gridCol w:w="1300"/>
        <w:gridCol w:w="1700"/>
        <w:gridCol w:w="1900"/>
        <w:gridCol w:w="1500"/>
      </w:tblGrid>
      <w:tr>
        <w:trPr>
          <w:tblHeader/>
        </w:trPr>
        <w:tc>
          <w:tcPr>
            <w:tcW w:type="dxa" w:w="14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56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Tracts/mo</w:t>
            </w:r>
          </w:p>
        </w:tc>
        <w:tc>
          <w:tcPr>
            <w:tcW w:type="dxa" w:w="13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Logos</w:t>
            </w:r>
          </w:p>
        </w:tc>
        <w:tc>
          <w:tcPr>
            <w:tcW w:type="dxa" w:w="17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9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GM</w:t>
            </w:r>
          </w:p>
        </w:tc>
        <w:tc>
          <w:tcPr>
            <w:tcW w:type="dxa" w:w="15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Pre-tax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$105k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52%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$7k</w:t>
            </w:r>
          </w:p>
        </w:tc>
      </w:tr>
      <w:tr>
        <w:trPr>
          <w:tblHeader w:val="false"/>
        </w:trPr>
        <w:tc>
          <w:tcPr>
            <w:tcW w:type="dxa" w:w="1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13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$265k</w:t>
            </w:r>
          </w:p>
        </w:tc>
        <w:tc>
          <w:tcPr>
            <w:tcW w:type="dxa" w:w="19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56%</w:t>
            </w:r>
          </w:p>
        </w:tc>
        <w:tc>
          <w:tcPr>
            <w:tcW w:type="dxa" w:w="15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$73k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38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$560k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58%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$185k</w:t>
            </w:r>
          </w:p>
        </w:tc>
      </w:tr>
      <w:tr>
        <w:trPr>
          <w:tblHeader w:val="false"/>
        </w:trPr>
        <w:tc>
          <w:tcPr>
            <w:tcW w:type="dxa" w:w="1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1,100</w:t>
            </w:r>
          </w:p>
        </w:tc>
        <w:tc>
          <w:tcPr>
            <w:tcW w:type="dxa" w:w="13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$1.12M</w:t>
            </w:r>
          </w:p>
        </w:tc>
        <w:tc>
          <w:tcPr>
            <w:tcW w:type="dxa" w:w="19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60%</w:t>
            </w:r>
          </w:p>
        </w:tc>
        <w:tc>
          <w:tcPr>
            <w:tcW w:type="dxa" w:w="15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$432k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2,000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105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$2.19M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62%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$1.00M ✓</w:t>
            </w:r>
          </w:p>
        </w:tc>
      </w:tr>
      <w:tr>
        <w:trPr>
          <w:tblHeader w:val="false"/>
        </w:trPr>
        <w:tc>
          <w:tcPr>
            <w:tcW w:type="dxa" w:w="1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42</w:t>
            </w:r>
          </w:p>
        </w:tc>
        <w:tc>
          <w:tcPr>
            <w:tcW w:type="dxa" w:w="1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2,600</w:t>
            </w:r>
          </w:p>
        </w:tc>
        <w:tc>
          <w:tcPr>
            <w:tcW w:type="dxa" w:w="13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130</w:t>
            </w:r>
          </w:p>
        </w:tc>
        <w:tc>
          <w:tcPr>
            <w:tcW w:type="dxa" w:w="17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$2.9M</w:t>
            </w:r>
          </w:p>
        </w:tc>
        <w:tc>
          <w:tcPr>
            <w:tcW w:type="dxa" w:w="19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63%</w:t>
            </w:r>
          </w:p>
        </w:tc>
        <w:tc>
          <w:tcPr>
            <w:tcW w:type="dxa" w:w="15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$1.43M pre-tax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Month-36 revenue mix: </w:t>
      </w:r>
      <w:r>
        <w:rPr>
          <w:sz w:val="21"/>
          <w:szCs w:val="21"/>
        </w:rPr>
        <w:t xml:space="preserve">cached runsheets $540k, digitized $115k, scanned $975k, financing endorsements $150k, heirship $152k, curative $180k, monitoring $75k = $2.19M. ~70 total headcount (36 reviewers/signers, engineering, GTM, ops) at ~$375k revenue per head.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Cash reality, stated plainly: </w:t>
      </w:r>
      <w:r>
        <w:rPr>
          <w:sz w:val="21"/>
          <w:szCs w:val="21"/>
        </w:rPr>
        <w:t xml:space="preserve">accrual-positive month 13; true cash breakeven month 16 (net-60 accounts receivable drags cash during the fast-growth window, bridged by 50% deposits on all first engagements and a $70k reserve).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8.  Use of the $250,000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24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Pipeline + review UI + eval harness (2 founders + 1 contract engineer)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$55,000</w:t>
            </w:r>
          </w:p>
        </w:tc>
      </w:tr>
      <w:tr>
        <w:trPr>
          <w:tblHeader w:val="false"/>
        </w:trPr>
        <w:tc>
          <w:tcPr>
            <w:tcW w:type="dxa" w:w="69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County seeding — 2 launch counties (1 digitized + 1 scanned-only)</w:t>
            </w:r>
          </w:p>
        </w:tc>
        <w:tc>
          <w:tcPr>
            <w:tcW w:type="dxa" w:w="2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$18,000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Compliance: E&amp;O carrier gate + licensing matrix + investigations license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$50,000</w:t>
            </w:r>
          </w:p>
        </w:tc>
      </w:tr>
      <w:tr>
        <w:trPr>
          <w:tblHeader w:val="false"/>
        </w:trPr>
        <w:tc>
          <w:tcPr>
            <w:tcW w:type="dxa" w:w="69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Contract senior abstractors, months 4–12</w:t>
            </w:r>
          </w:p>
        </w:tc>
        <w:tc>
          <w:tcPr>
            <w:tcW w:type="dxa" w:w="2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$35,000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Go-to-market (events, data, outbound)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$22,000</w:t>
            </w:r>
          </w:p>
        </w:tc>
      </w:tr>
      <w:tr>
        <w:trPr>
          <w:tblHeader w:val="false"/>
        </w:trPr>
        <w:tc>
          <w:tcPr>
            <w:tcW w:type="dxa" w:w="69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Working-capital reserve</w:t>
            </w:r>
          </w:p>
        </w:tc>
        <w:tc>
          <w:tcPr>
            <w:tcW w:type="dxa" w:w="2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$70,000</w:t>
            </w:r>
          </w:p>
        </w:tc>
      </w:tr>
      <w:tr>
        <w:trPr>
          <w:tblHeader w:val="false"/>
        </w:trPr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$250,000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Doctrine: </w:t>
      </w:r>
      <w:r>
        <w:rPr>
          <w:sz w:val="21"/>
          <w:szCs w:val="21"/>
        </w:rPr>
        <w:t xml:space="preserve">no dollar deployed without a defined payback window. Founders unpaid through month 12. No paid ads, ever. Every retained dollar recompounds through the same loop: paid orders → adjudicated chain graphs → cheaper repeat orders → higher-margin cached revenue → more county seeds funded from cash flow, never new capital.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9.  The First 90 Days (Execute From Here)</w:t>
      </w:r>
    </w:p>
    <w:p>
      <w:pPr>
        <w:pStyle w:val="Heading2"/>
        <w:spacing w:after="80" w:before="220"/>
      </w:pPr>
      <w:r>
        <w:rPr>
          <w:b/>
          <w:bCs/>
          <w:color w:val="8A5A2B"/>
          <w:sz w:val="24"/>
          <w:szCs w:val="24"/>
        </w:rPr>
        <w:t xml:space="preserve">Weeks 1–2 — Foundation &amp; compliance-first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Form the entity, open banking, founder IP-assignment agreements.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Bind the E&amp;O carrier gate before touching a single client document</w:t>
      </w:r>
      <w:r>
        <w:rPr>
          <w:sz w:val="21"/>
          <w:szCs w:val="21"/>
        </w:rPr>
        <w:t xml:space="preserve"> — this is the plan’s single point of failure and it is cleared first, not last. Get the AI workflow disclosed, named-party reliance endorsed, and contractual liability caps endorsed in writing.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Engage Texas counsel to verify the 50-state abstractor/licensing matrix and confirm Texas launch is clean.</w:t>
      </w:r>
    </w:p>
    <w:p>
      <w:pPr>
        <w:pStyle w:val="Heading2"/>
        <w:spacing w:after="80" w:before="220"/>
      </w:pPr>
      <w:r>
        <w:rPr>
          <w:b/>
          <w:bCs/>
          <w:color w:val="8A5A2B"/>
          <w:sz w:val="24"/>
          <w:szCs w:val="24"/>
        </w:rPr>
        <w:t xml:space="preserve">Weeks 3–8 — Product v0 + first county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Build the capture and review pipeline: image capture with SHA-256 manifests → small-model triage → structured extraction → per-instrument-class verification (the 1.5-min typed / 5-min handwritten split).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Launch the first digitized county; hire and train the first 1–2 senior abstractors via the apprenticeship program.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Build the omission-recall gold set: full-manual re-abstraction of a random sample of every delivered tract, from day one — quality is measured, not assumed.</w:t>
      </w:r>
    </w:p>
    <w:p>
      <w:pPr>
        <w:pStyle w:val="Heading2"/>
        <w:spacing w:after="80" w:before="220"/>
      </w:pPr>
      <w:r>
        <w:rPr>
          <w:b/>
          <w:bCs/>
          <w:color w:val="8A5A2B"/>
          <w:sz w:val="24"/>
          <w:szCs w:val="24"/>
        </w:rPr>
        <w:t xml:space="preserve">Weeks 9–13 — First paying accounts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Founder-led outbound to mineral funds and E&amp;P land departments (fastest sales cycle: 2–6 weeks).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Land the first 5 paying accounts.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Gate 1 check: </w:t>
      </w:r>
      <w:r>
        <w:rPr>
          <w:sz w:val="21"/>
          <w:szCs w:val="21"/>
        </w:rPr>
        <w:t xml:space="preserve">county error rate &lt;0.5% (omission-inclusive), measured against full-manual re-abstraction.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222222"/>
          <w:sz w:val="21"/>
          <w:szCs w:val="21"/>
        </w:rPr>
        <w:t xml:space="preserve">Launch the second county — one scanned-only transmission-corridor county — to start building the harder-to-replicate side of the plant.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10.  Milestone Gates (Six 6-Month Blocks)</w:t>
      </w:r>
    </w:p>
    <w:tbl>
      <w:tblPr>
        <w:tblW w:type="dxa" w:w="9360"/>
        <w:tblBorders>
          <w:top w:val="single" w:color="D9C9B3" w:sz="2"/>
          <w:left w:val="none"/>
          <w:bottom w:val="single" w:color="D9C9B3" w:sz="2"/>
          <w:right w:val="none"/>
          <w:insideH w:val="single" w:color="D9C9B3" w:sz="2"/>
          <w:insideV w:val="none"/>
        </w:tblBorders>
      </w:tblPr>
      <w:tblGrid>
        <w:gridCol w:w="1400"/>
        <w:gridCol w:w="1560"/>
        <w:gridCol w:w="6400"/>
      </w:tblGrid>
      <w:tr>
        <w:trPr>
          <w:tblHeader/>
        </w:trPr>
        <w:tc>
          <w:tcPr>
            <w:tcW w:type="dxa" w:w="14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dxa" w:w="156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Exit revenue</w:t>
            </w:r>
          </w:p>
        </w:tc>
        <w:tc>
          <w:tcPr>
            <w:tcW w:type="dxa" w:w="6400"/>
            <w:shd w:fill="3B2F1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Gate to keep moving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(mo 1–6)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$25–40k/mo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≥5 paying accounts; county error rate &lt;0.5%</w:t>
            </w:r>
          </w:p>
        </w:tc>
      </w:tr>
      <w:tr>
        <w:trPr>
          <w:tblHeader w:val="false"/>
        </w:trPr>
        <w:tc>
          <w:tcPr>
            <w:tcW w:type="dxa" w:w="1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(mo 7–12)</w:t>
            </w:r>
          </w:p>
        </w:tc>
        <w:tc>
          <w:tcPr>
            <w:tcW w:type="dxa" w:w="1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$105k/mo</w:t>
            </w:r>
          </w:p>
        </w:tc>
        <w:tc>
          <w:tcPr>
            <w:tcW w:type="dxa" w:w="6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≥3 repeat logos; accrual-positive by mo 13; cash breakeven by mo 16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 (mo 13–18)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$265k/mo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One financing-package acceptance by named counsel + written title-insurer reliance letter</w:t>
            </w:r>
          </w:p>
        </w:tc>
      </w:tr>
      <w:tr>
        <w:trPr>
          <w:tblHeader w:val="false"/>
        </w:trPr>
        <w:tc>
          <w:tcPr>
            <w:tcW w:type="dxa" w:w="1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(mo 19–24)</w:t>
            </w:r>
          </w:p>
        </w:tc>
        <w:tc>
          <w:tcPr>
            <w:tcW w:type="dxa" w:w="1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$560k/mo</w:t>
            </w:r>
          </w:p>
        </w:tc>
        <w:tc>
          <w:tcPr>
            <w:tcW w:type="dxa" w:w="6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Cache ≥35% of tracts; ≥8 verified counties; 10 reviewers + 5 signers trained</w:t>
            </w:r>
          </w:p>
        </w:tc>
      </w:tr>
      <w:tr>
        <w:trPr>
          <w:tblHeader w:val="false"/>
        </w:trPr>
        <w:tc>
          <w:tcPr>
            <w:tcW w:type="dxa" w:w="1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 (mo 25–30)</w:t>
            </w:r>
          </w:p>
        </w:tc>
        <w:tc>
          <w:tcPr>
            <w:tcW w:type="dxa" w:w="1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$1.12M/mo</w:t>
            </w:r>
          </w:p>
        </w:tc>
        <w:tc>
          <w:tcPr>
            <w:tcW w:type="dxa" w:w="6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Monitoring ≥$60k/mo recurring; signed backlog ≥4 months of tract cover</w:t>
            </w:r>
          </w:p>
        </w:tc>
      </w:tr>
      <w:tr>
        <w:trPr>
          <w:tblHeader w:val="false"/>
        </w:trPr>
        <w:tc>
          <w:tcPr>
            <w:tcW w:type="dxa" w:w="1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 (mo 31–36)</w:t>
            </w:r>
          </w:p>
        </w:tc>
        <w:tc>
          <w:tcPr>
            <w:tcW w:type="dxa" w:w="156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$2.19M/mo</w:t>
            </w:r>
          </w:p>
        </w:tc>
        <w:tc>
          <w:tcPr>
            <w:tcW w:type="dxa" w:w="6400"/>
            <w:shd w:fill="F2EAE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$1.0M+/mo pre-tax</w:t>
            </w:r>
          </w:p>
        </w:tc>
      </w:tr>
    </w:tbl>
    <w:p>
      <w:pPr>
        <w:spacing w:after="120" w:line="276"/>
      </w:pPr>
      <w:r>
        <w:rPr>
          <w:b/>
          <w:bCs/>
          <w:sz w:val="21"/>
          <w:szCs w:val="21"/>
        </w:rPr>
        <w:t xml:space="preserve">If Gate 3 misses by month 21, </w:t>
      </w:r>
      <w:r>
        <w:rPr>
          <w:sz w:val="21"/>
          <w:szCs w:val="21"/>
        </w:rPr>
        <w:t xml:space="preserve">the plan has a pre-committed fallback: revert to a fund/E&amp;P-weighted growth ladder, landing $1M/mo pre-tax by month 44–46 instead of 36 — still cash-positive throughout.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11.  Top Risks &amp; How We’ve Built Against Them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1. E&amp;O insurance is the single point of failure → </w:t>
      </w:r>
      <w:r>
        <w:rPr>
          <w:sz w:val="21"/>
          <w:szCs w:val="21"/>
        </w:rPr>
        <w:t xml:space="preserve">month-1 three-part carrier gate, with a fallback ladder (parallel E&amp;S quote → fronting through a licensed title agency → high-retention structure from reserves) if the primary carrier balks.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2. QC/liability exposure → </w:t>
      </w:r>
      <w:r>
        <w:rPr>
          <w:sz w:val="21"/>
          <w:szCs w:val="21"/>
        </w:rPr>
        <w:t xml:space="preserve">per-instrument-class verification redesign, canary-seeded QA, and a kill-switch — any claim over $250k or two quarters below 52% gross margin freezes county expansion until resolved.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3. Unauthorized practice of law (curative work) → </w:t>
      </w:r>
      <w:r>
        <w:rPr>
          <w:sz w:val="21"/>
          <w:szCs w:val="21"/>
        </w:rPr>
        <w:t xml:space="preserve">all instrument drafting happens under licensed counsel; we compress counsel hours, we never displace counsel.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4. Licensing gaps → </w:t>
      </w:r>
      <w:r>
        <w:rPr>
          <w:sz w:val="21"/>
          <w:szCs w:val="21"/>
        </w:rPr>
        <w:t xml:space="preserve">counsel-verified 50-state matrix from month 1; Oklahoma/New Mexico/North Dakota openly waitlisted until licensed — never oversold.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5. Market contraction (energy policy shifts, commodity swings) → </w:t>
      </w:r>
      <w:r>
        <w:rPr>
          <w:sz w:val="21"/>
          <w:szCs w:val="21"/>
        </w:rPr>
        <w:t xml:space="preserve">a published stress ladder with dual early-warning triggers that force a GTM pivot within 30 days.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6. Incumbent/copycat flood → </w:t>
      </w:r>
      <w:r>
        <w:rPr>
          <w:sz w:val="21"/>
          <w:szCs w:val="21"/>
        </w:rPr>
        <w:t xml:space="preserve">price decay modeled on every exposed tier from day one; seeding shifts toward harder-to-replicate scanned corridor counties; retention locked via bundling and monitoring attach.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7. Abstractor labor supply → </w:t>
      </w:r>
      <w:r>
        <w:rPr>
          <w:sz w:val="21"/>
          <w:szCs w:val="21"/>
        </w:rPr>
        <w:t xml:space="preserve">formal apprenticeship pipeline, published wage sensitivity, hiring gated to a 3-month lead per county launched.</w:t>
      </w:r>
    </w:p>
    <w:p>
      <w:pPr>
        <w:pStyle w:val="Heading1"/>
        <w:spacing w:after="120" w:before="320"/>
      </w:pPr>
      <w:r>
        <w:rPr>
          <w:b/>
          <w:bCs/>
          <w:color w:val="3B2F1E"/>
          <w:sz w:val="30"/>
          <w:szCs w:val="30"/>
        </w:rPr>
        <w:t xml:space="preserve">12.  Why This Wins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The pain is real, quantified, and already budgeted</w:t>
      </w:r>
      <w:r>
        <w:rPr>
          <w:sz w:val="21"/>
          <w:szCs w:val="21"/>
        </w:rPr>
        <w:t xml:space="preserve"> — we redirect existing landman spend, we don’t evangelize a new category.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We chose the gritty version on purpose.</w:t>
      </w:r>
      <w:r>
        <w:rPr>
          <w:sz w:val="21"/>
          <w:szCs w:val="21"/>
        </w:rPr>
        <w:t xml:space="preserve"> Courthouse basements, handwritten deeds, county clerks, and licensed signers are exactly the friction that keeps venture-funded "move fast" teams out. That friction is the moat.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The moat compounds with every dollar of revenue</w:t>
      </w:r>
      <w:r>
        <w:rPr>
          <w:sz w:val="21"/>
          <w:szCs w:val="21"/>
        </w:rPr>
        <w:t xml:space="preserve"> — paid work builds the plant, the plant lowers costs, lower costs win more paid work.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We fact-checked our own moats before betting on them.</w:t>
      </w:r>
      <w:r>
        <w:rPr>
          <w:sz w:val="21"/>
          <w:szCs w:val="21"/>
        </w:rPr>
        <w:t xml:space="preserve"> This niche survived an adversarial process that killed two other candidates specifically because their claimed moats turned out to be already broken by funded competitors.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Built, not bought.</w:t>
      </w:r>
      <w:r>
        <w:rPr>
          <w:sz w:val="21"/>
          <w:szCs w:val="21"/>
        </w:rPr>
        <w:t xml:space="preserve"> Every asset — the plant, the pipeline, the licenses, the client base — is built from scratch. No acquisitions, ever.</w:t>
      </w:r>
    </w:p>
    <w:p>
      <w:pPr>
        <w:pBdr>
          <w:bottom w:val="single" w:color="D9C9B3" w:sz="6" w:space="1"/>
        </w:pBdr>
        <w:spacing w:after="120" w:before="60"/>
      </w:pPr>
      <w:r>
        <w:t xml:space="preserve"/>
      </w:r>
    </w:p>
    <w:p>
      <w:pPr>
        <w:spacing w:before="80"/>
      </w:pPr>
      <w:r>
        <w:rPr>
          <w:i/>
          <w:iCs/>
          <w:color w:val="5A5045"/>
          <w:sz w:val="18"/>
          <w:szCs w:val="18"/>
        </w:rPr>
        <w:t xml:space="preserve">This overview was produced by a ten-agent adversarial planning team, re-tasked under a "flood-test" constraint after the founder rejected a prior, more saturated AI category. The niche was selected specifically for durability against a wave of funded copycats, and certified "airtight" — internally consistent, arithmetically sound, and free of plan-breaking flaws as written — by an independent Lead Critic agent after two full revision rounds. "Airtight" certifies the integrity of the plan, not a guarantee of financial outcomes; the certification itself states the honest base case may land closer to month 38–40 once plant amortization and market-rate salaries are fully loaded — every stress branch remains cash-positive from month 16 forward. Full diligence detail lives in the companion document, BUSINESS_BLUEPRINT_V2.md.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FORGE — Business Overview &amp; Execution Plan</dc:title>
  <dc:creator>TITLE FORGE</dc:creator>
  <cp:lastModifiedBy>Un-named</cp:lastModifiedBy>
  <cp:revision>1</cp:revision>
  <dcterms:created xsi:type="dcterms:W3CDTF">2026-07-20T13:24:54.788Z</dcterms:created>
  <dcterms:modified xsi:type="dcterms:W3CDTF">2026-07-20T13:24:54.800Z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