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 Vs Operant Conditioning</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watching the provided video, I now understand the difference between classic and operant conditioning. Before watching the video, I believed operant conditioning was a trained behavior that is taught through positive or negative rewards and the chapter supports this, </w:t>
      </w:r>
      <w:r w:rsidDel="00000000" w:rsidR="00000000" w:rsidRPr="00000000">
        <w:rPr>
          <w:rFonts w:ascii="Times New Roman" w:cs="Times New Roman" w:eastAsia="Times New Roman" w:hAnsi="Times New Roman"/>
          <w:color w:val="0f1115"/>
          <w:sz w:val="24"/>
          <w:szCs w:val="24"/>
          <w:highlight w:val="white"/>
          <w:rtl w:val="0"/>
        </w:rPr>
        <w:t xml:space="preserve">defining it as learning controlled by the consequences of said behavior. An example for this would be studying very hard and then performing well. In contrast, I originally thought classical conditioning was a more "naturally learned" process. The chapter explains this as learning through association, where a non-meaningful stimulus becomes linked with a meaningful one to produce a response. An example of this would be someone eating eggs that were undercooked and then later not liking eggs and perceiving them to be gross and unappetizing. In all the two are very different, operant shapes peoples voluntary actions based on their consequences, while classical conditioning creates reactions based on predictive associations.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