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r>
    </w:p>
    <w:p>
      <w:pPr>
        <w:spacing w:after="120" w:before="720"/>
        <w:jc w:val="center"/>
      </w:pPr>
      <w:r>
        <w:rPr>
          <w:rFonts w:ascii="Arial" w:cs="Arial" w:eastAsia="Arial" w:hAnsi="Arial"/>
          <w:b/>
          <w:bCs/>
          <w:caps/>
          <w:color w:val="1F4E79"/>
          <w:sz w:val="36"/>
          <w:szCs w:val="36"/>
        </w:rPr>
        <w:t xml:space="preserve">DOCUMENTO DE METODOLOGÍA Y FUENTES</w:t>
      </w:r>
    </w:p>
    <w:p>
      <w:pPr>
        <w:spacing w:after="120" w:before="0"/>
        <w:jc w:val="center"/>
      </w:pPr>
      <w:r>
        <w:rPr>
          <w:rFonts w:ascii="Arial" w:cs="Arial" w:eastAsia="Arial" w:hAnsi="Arial"/>
          <w:i/>
          <w:iCs/>
          <w:color w:val="2E75B6"/>
          <w:sz w:val="28"/>
          <w:szCs w:val="28"/>
        </w:rPr>
        <w:t xml:space="preserve">Informe: Layoffs, Contratación &amp; GenAI — El Gran Reajuste Laboral</w:t>
      </w:r>
    </w:p>
    <w:p>
      <w:pPr>
        <w:spacing w:after="480" w:before="0"/>
        <w:jc w:val="center"/>
      </w:pPr>
      <w:r>
        <w:rPr>
          <w:rFonts w:ascii="Arial" w:cs="Arial" w:eastAsia="Arial" w:hAnsi="Arial"/>
          <w:color w:val="595959"/>
          <w:sz w:val="22"/>
          <w:szCs w:val="22"/>
        </w:rPr>
        <w:t xml:space="preserve">Trazabilidad completa: afirmación → dataset → fuente original</w:t>
      </w:r>
    </w:p>
    <w:p>
      <w:pPr>
        <w:spacing w:after="120" w:before="0"/>
        <w:jc w:val="center"/>
      </w:pPr>
      <w:r>
        <w:rPr>
          <w:rFonts w:ascii="Arial" w:cs="Arial" w:eastAsia="Arial" w:hAnsi="Arial"/>
          <w:color w:val="595959"/>
          <w:sz w:val="20"/>
          <w:szCs w:val="20"/>
        </w:rPr>
        <w:t xml:space="preserve">Mariano Daniel Gobea Cavallo • mgatc.com</w:t>
      </w:r>
    </w:p>
    <w:p>
      <w:pPr>
        <w:spacing w:after="800" w:before="0"/>
        <w:jc w:val="center"/>
      </w:pPr>
      <w:r>
        <w:rPr>
          <w:rFonts w:ascii="Arial" w:cs="Arial" w:eastAsia="Arial" w:hAnsi="Arial"/>
          <w:color w:val="595959"/>
          <w:sz w:val="20"/>
          <w:szCs w:val="20"/>
        </w:rPr>
        <w:t xml:space="preserve">Abril 2026</w:t>
      </w:r>
    </w:p>
    <w:p>
      <w:pPr>
        <w:pBdr>
          <w:bottom w:val="single" w:color="2E75B6" w:sz="4" w:space="1"/>
        </w:pBdr>
        <w:spacing w:after="200" w:before="200"/>
      </w:pPr>
    </w:p>
    <w:p>
      <w:r>
        <w:br w:type="page"/>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2"/>
          <w:szCs w:val="32"/>
        </w:rPr>
        <w:t xml:space="preserve">1. Propósito y alcance de este documento</w:t>
      </w:r>
    </w:p>
    <w:p>
      <w:pPr>
        <w:spacing w:after="80" w:before="60"/>
      </w:pPr>
      <w:r>
        <w:rPr>
          <w:rFonts w:ascii="Arial" w:cs="Arial" w:eastAsia="Arial" w:hAnsi="Arial"/>
          <w:sz w:val="22"/>
          <w:szCs w:val="22"/>
        </w:rPr>
        <w:t xml:space="preserve">Este documento acompaña al informe interactivo "Layoffs, Contratación &amp; GenAI: El Gran Reajuste Laboral" publicado en www.mgatc.com/blog/special/layoffs-genai/ y responde a la necesidad de trazabilidad completa entre cada afirmación del reporte y los datos crudos que la sustentan.</w:t>
      </w:r>
    </w:p>
    <w:p>
      <w:pPr>
        <w:spacing w:after="80" w:before="60"/>
      </w:pPr>
      <w:r>
        <w:rPr>
          <w:rFonts w:ascii="Arial" w:cs="Arial" w:eastAsia="Arial" w:hAnsi="Arial"/>
          <w:sz w:val="22"/>
          <w:szCs w:val="22"/>
        </w:rPr>
        <w:t xml:space="preserve">Para cada claim relevante del informe se documenta:</w:t>
      </w:r>
    </w:p>
    <w:p>
      <w:pPr>
        <w:pStyle w:val="ListParagraph"/>
        <w:numPr>
          <w:ilvl w:val="0"/>
          <w:numId w:val="2"/>
        </w:numPr>
        <w:spacing w:after="40" w:before="40"/>
      </w:pPr>
      <w:r>
        <w:rPr>
          <w:rFonts w:ascii="Arial" w:cs="Arial" w:eastAsia="Arial" w:hAnsi="Arial"/>
          <w:sz w:val="22"/>
          <w:szCs w:val="22"/>
        </w:rPr>
        <w:t xml:space="preserve">La afirmación exacta tal como aparece en el reporte</w:t>
      </w:r>
    </w:p>
    <w:p>
      <w:pPr>
        <w:pStyle w:val="ListParagraph"/>
        <w:numPr>
          <w:ilvl w:val="0"/>
          <w:numId w:val="2"/>
        </w:numPr>
        <w:spacing w:after="40" w:before="40"/>
      </w:pPr>
      <w:r>
        <w:rPr>
          <w:rFonts w:ascii="Arial" w:cs="Arial" w:eastAsia="Arial" w:hAnsi="Arial"/>
          <w:sz w:val="22"/>
          <w:szCs w:val="22"/>
        </w:rPr>
        <w:t xml:space="preserve">La fuente primaria (dataset, reporte institucional o estudio académico)</w:t>
      </w:r>
    </w:p>
    <w:p>
      <w:pPr>
        <w:pStyle w:val="ListParagraph"/>
        <w:numPr>
          <w:ilvl w:val="0"/>
          <w:numId w:val="2"/>
        </w:numPr>
        <w:spacing w:after="40" w:before="40"/>
      </w:pPr>
      <w:r>
        <w:rPr>
          <w:rFonts w:ascii="Arial" w:cs="Arial" w:eastAsia="Arial" w:hAnsi="Arial"/>
          <w:sz w:val="22"/>
          <w:szCs w:val="22"/>
        </w:rPr>
        <w:t xml:space="preserve">El dato crudo original y cómo se procesó o agregó</w:t>
      </w:r>
    </w:p>
    <w:p>
      <w:pPr>
        <w:pStyle w:val="ListParagraph"/>
        <w:numPr>
          <w:ilvl w:val="0"/>
          <w:numId w:val="2"/>
        </w:numPr>
        <w:spacing w:after="40" w:before="40"/>
      </w:pPr>
      <w:r>
        <w:rPr>
          <w:rFonts w:ascii="Arial" w:cs="Arial" w:eastAsia="Arial" w:hAnsi="Arial"/>
          <w:sz w:val="22"/>
          <w:szCs w:val="22"/>
        </w:rPr>
        <w:t xml:space="preserve">Las limitaciones, márgenes de error y alternativas consideradas</w:t>
      </w:r>
    </w:p>
    <w:p>
      <w:pPr>
        <w:pStyle w:val="ListParagraph"/>
        <w:numPr>
          <w:ilvl w:val="0"/>
          <w:numId w:val="2"/>
        </w:numPr>
        <w:spacing w:after="40" w:before="40"/>
      </w:pPr>
      <w:r>
        <w:rPr>
          <w:rFonts w:ascii="Arial" w:cs="Arial" w:eastAsia="Arial" w:hAnsi="Arial"/>
          <w:sz w:val="22"/>
          <w:szCs w:val="22"/>
        </w:rPr>
        <w:t xml:space="preserve">El enlace verificable para reproducción independiente</w:t>
      </w:r>
    </w:p>
    <w:p>
      <w:pPr>
        <w:spacing w:after="80" w:before="120"/>
      </w:pPr>
      <w:r>
        <w:rPr>
          <w:rFonts w:ascii="Arial" w:cs="Arial" w:eastAsia="Arial" w:hAnsi="Arial"/>
          <w:b/>
          <w:bCs/>
          <w:sz w:val="22"/>
          <w:szCs w:val="22"/>
        </w:rPr>
        <w:t xml:space="preserve">Alcance temporal del informe:</w:t>
      </w:r>
    </w:p>
    <w:p>
      <w:pPr>
        <w:spacing w:after="80" w:before="60"/>
      </w:pPr>
      <w:r>
        <w:rPr>
          <w:rFonts w:ascii="Arial" w:cs="Arial" w:eastAsia="Arial" w:hAnsi="Arial"/>
          <w:sz w:val="22"/>
          <w:szCs w:val="22"/>
        </w:rPr>
        <w:t xml:space="preserve">El informe cubre el período 2020–2026 (con proyecciones hasta 2035). Los datos históricos tienen como última actualización disponible marzo de 2026. Las proyecciones se basan en informes publicados por instituciones de primer nivel hasta esa fecha.</w:t>
      </w:r>
    </w:p>
    <w:p>
      <w:pPr>
        <w:pBdr>
          <w:bottom w:val="single" w:color="2E75B6" w:sz="4" w:space="1"/>
        </w:pBdr>
        <w:spacing w:after="200" w:before="200"/>
      </w:pPr>
    </w:p>
    <w:p>
      <w:r>
        <w:br w:type="page"/>
      </w:r>
    </w:p>
    <w:p>
      <w:pPr>
        <w:pStyle w:val="Heading1"/>
        <w:spacing w:after="120" w:before="360"/>
      </w:pPr>
      <w:r>
        <w:rPr>
          <w:rFonts w:ascii="Arial" w:cs="Arial" w:eastAsia="Arial" w:hAnsi="Arial"/>
          <w:b/>
          <w:bCs/>
          <w:color w:val="1F4E79"/>
          <w:sz w:val="32"/>
          <w:szCs w:val="32"/>
        </w:rPr>
        <w:t xml:space="preserve">2. Datasets primarios utilizados</w:t>
      </w:r>
    </w:p>
    <w:p>
      <w:pPr>
        <w:spacing w:after="80" w:before="60"/>
      </w:pPr>
      <w:r>
        <w:rPr>
          <w:rFonts w:ascii="Arial" w:cs="Arial" w:eastAsia="Arial" w:hAnsi="Arial"/>
          <w:sz w:val="22"/>
          <w:szCs w:val="22"/>
        </w:rPr>
        <w:t xml:space="preserve">El informe se apoya en cuatro categorías de fuentes: (A) trackers de layoffs en tiempo real, (B) reportes institucionales, (C) datos gubernamentales y (D) proyecciones de grandes consultoras e instituciones académicas.</w:t>
      </w:r>
    </w:p>
    <w:p>
      <w:pPr>
        <w:pStyle w:val="Heading2"/>
        <w:spacing w:after="80" w:before="280"/>
      </w:pPr>
      <w:r>
        <w:rPr>
          <w:rFonts w:ascii="Arial" w:cs="Arial" w:eastAsia="Arial" w:hAnsi="Arial"/>
          <w:b/>
          <w:bCs/>
          <w:color w:val="2E75B6"/>
          <w:sz w:val="26"/>
          <w:szCs w:val="26"/>
        </w:rPr>
        <w:t xml:space="preserve">2.1 Trackers de Layoffs en tiempo real</w:t>
      </w:r>
    </w:p>
    <w:p>
      <w:pPr>
        <w:pStyle w:val="Heading3"/>
        <w:spacing w:after="60" w:before="200"/>
      </w:pPr>
      <w:r>
        <w:rPr>
          <w:rFonts w:ascii="Arial" w:cs="Arial" w:eastAsia="Arial" w:hAnsi="Arial"/>
          <w:b/>
          <w:bCs/>
          <w:color w:val="5B9BD5"/>
          <w:sz w:val="22"/>
          <w:szCs w:val="22"/>
        </w:rPr>
        <w:t xml:space="preserve">layoffs.fyi</w:t>
      </w:r>
    </w:p>
    <w:p>
      <w:pPr>
        <w:spacing w:after="80" w:before="60"/>
      </w:pPr>
      <w:r>
        <w:rPr>
          <w:rFonts w:ascii="Arial" w:cs="Arial" w:eastAsia="Arial" w:hAnsi="Arial"/>
          <w:sz w:val="22"/>
          <w:szCs w:val="22"/>
        </w:rPr>
        <w:t xml:space="preserve">Fuente principal para los datos de despidos en el sector tecnológico. Es un tracker público crowdsourceado creado por Roger Lee en 2020 que agrega datos de anuncios de despidos en empresas de tecnología a nivel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Atributo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URL</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https://layoffs.fyi/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Cobertura geográfica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Global (con énfasis en EE.UU., Europa, India)</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Cobertura sectorial</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Empresas de tecnología (no cubre white collar general)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Método de captura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Crowdsourcing + noticias verificadas + comunicados corporativos</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Actualización</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 tiempo real (diaria)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Acceso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Público y gratuito</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Limitación principal</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Posible subregistro de empresas pequeñas; discrepancias ±15% vs otros trackers</w:t>
            </w:r>
          </w:p>
        </w:tc>
      </w:tr>
    </w:tbl>
    <w:p>
      <w:pPr>
        <w:spacing w:before="120"/>
      </w:pPr>
    </w:p>
    <w:p>
      <w:pPr>
        <w:spacing w:after="80" w:before="60"/>
      </w:pPr>
      <w:r>
        <w:rPr>
          <w:rFonts w:ascii="Arial" w:cs="Arial" w:eastAsia="Arial" w:hAnsi="Arial"/>
          <w:sz w:val="22"/>
          <w:szCs w:val="22"/>
        </w:rPr>
        <w:t xml:space="preserve">Valores específicos extraídos de layoffs.fyi para el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Año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Valor (trabajadores)</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Nota aclaratoria</w:t>
            </w:r>
          </w:p>
        </w:tc>
      </w:tr>
      <w:tr>
        <w:tc>
          <w:tcPr>
            <w:tcW w:type="dxa" w:w="1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2020</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80.998</w:t>
            </w:r>
          </w:p>
        </w:tc>
        <w:tc>
          <w:tcPr>
            <w:tcW w:type="dxa" w:w="5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Inicio pandemia; mayormente startups y empresas medianas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10.536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Mínimo histórico; boom de hiring absorbe el mercado</w:t>
            </w:r>
          </w:p>
        </w:tc>
      </w:tr>
      <w:tr>
        <w:tc>
          <w:tcPr>
            <w:tcW w:type="dxa" w:w="1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2022</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165.269</w:t>
            </w:r>
          </w:p>
        </w:tc>
        <w:tc>
          <w:tcPr>
            <w:tcW w:type="dxa" w:w="5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Correción post-pandemia + suba de tasas Fed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2023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264.220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Pico histórico; Meta, Amazon, Google, Microsoft</w:t>
            </w:r>
          </w:p>
        </w:tc>
      </w:tr>
      <w:tr>
        <w:tc>
          <w:tcPr>
            <w:tcW w:type="dxa" w:w="1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2024</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152.922</w:t>
            </w:r>
          </w:p>
        </w:tc>
        <w:tc>
          <w:tcPr>
            <w:tcW w:type="dxa" w:w="5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Moderación; IA empieza como driver explícito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245.953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Nuevo pico; IA atribuida en 55K+ despidos</w:t>
            </w:r>
          </w:p>
        </w:tc>
      </w:tr>
      <w:tr>
        <w:tc>
          <w:tcPr>
            <w:tcW w:type="dxa" w:w="1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2026 (Q1)</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90.474</w:t>
            </w:r>
          </w:p>
        </w:tc>
        <w:tc>
          <w:tcPr>
            <w:tcW w:type="dxa" w:w="5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Solo enero–marzo 2026; ~212 eventos registrados</w:t>
            </w:r>
          </w:p>
        </w:tc>
      </w:tr>
    </w:tbl>
    <w:p>
      <w:pPr>
        <w:spacing w:before="120"/>
      </w:pPr>
    </w:p>
    <w:p>
      <w:pPr>
        <w:spacing w:after="60" w:before="40"/>
      </w:pPr>
      <w:r>
        <w:rPr>
          <w:rFonts w:ascii="Arial" w:cs="Arial" w:eastAsia="Arial" w:hAnsi="Arial"/>
          <w:i/>
          <w:iCs/>
          <w:color w:val="595959"/>
          <w:sz w:val="18"/>
          <w:szCs w:val="18"/>
        </w:rPr>
        <w:t xml:space="preserve">Nota metodológica: layoffs.fyi define "evento de layoff" como un anuncio público de recorte de personal por parte de una empresa tecnológica. No todos los anuncios se materializan en la cifra exacta declarada. El tracker incluye tanto despidos efectivos como reducciones de fuerza laboral anunciadas. El dato de 2026 Q1 (90.474) tiene como ratio anualizado ≈360.000, que se usa en el reporte como proyección indicativa.</w:t>
      </w:r>
    </w:p>
    <w:p>
      <w:pPr>
        <w:spacing w:before="120"/>
      </w:pPr>
    </w:p>
    <w:p>
      <w:pPr>
        <w:pStyle w:val="Heading3"/>
        <w:spacing w:after="60" w:before="200"/>
      </w:pPr>
      <w:r>
        <w:rPr>
          <w:rFonts w:ascii="Arial" w:cs="Arial" w:eastAsia="Arial" w:hAnsi="Arial"/>
          <w:b/>
          <w:bCs/>
          <w:color w:val="5B9BD5"/>
          <w:sz w:val="22"/>
          <w:szCs w:val="22"/>
        </w:rPr>
        <w:t xml:space="preserve">TechCrunch y Crunchbase como fuentes secundarias de validación</w:t>
      </w:r>
    </w:p>
    <w:p>
      <w:pPr>
        <w:spacing w:after="80" w:before="60"/>
      </w:pPr>
      <w:r>
        <w:rPr>
          <w:rFonts w:ascii="Arial" w:cs="Arial" w:eastAsia="Arial" w:hAnsi="Arial"/>
          <w:sz w:val="22"/>
          <w:szCs w:val="22"/>
        </w:rPr>
        <w:t xml:space="preserve">Se usan para cross-check de los datos de layoffs.fyi. TechCrunch mantiene una lista cronológica de layoffs tech verificados por redactores. Crunchbase News complementa con datos de financiamiento y contexto empresarial.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Fuente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Uso en el informe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TechCrunch Layoffs 2025</w:t>
            </w:r>
          </w:p>
        </w:tc>
        <w:tc>
          <w:tcPr>
            <w:tcW w:type="dxa" w:w="4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techcrunch.com/2025/12/22/tech-layoffs-2025-list/</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Validación de totales anuales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Crunchbase Layoffs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news.crunchbase.com/startups/tech-layoffs/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Contexto por empresa y ronda de financiamiento</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Computerworld Timeline</w:t>
            </w:r>
          </w:p>
        </w:tc>
        <w:tc>
          <w:tcPr>
            <w:tcW w:type="dxa" w:w="4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computerworld.com/article/3816579</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Timeline 2026 con detalle por empresa</w:t>
            </w:r>
          </w:p>
        </w:tc>
      </w:tr>
    </w:tbl>
    <w:p>
      <w:pPr>
        <w:spacing w:before="120"/>
      </w:pPr>
    </w:p>
    <w:p>
      <w:pPr>
        <w:pStyle w:val="Heading2"/>
        <w:spacing w:after="80" w:before="280"/>
      </w:pPr>
      <w:r>
        <w:rPr>
          <w:rFonts w:ascii="Arial" w:cs="Arial" w:eastAsia="Arial" w:hAnsi="Arial"/>
          <w:b/>
          <w:bCs/>
          <w:color w:val="2E75B6"/>
          <w:sz w:val="26"/>
          <w:szCs w:val="26"/>
        </w:rPr>
        <w:t xml:space="preserve">2.2 Challenger, Gray &amp; Christmas</w:t>
      </w:r>
    </w:p>
    <w:p>
      <w:pPr>
        <w:spacing w:after="80" w:before="60"/>
      </w:pPr>
      <w:r>
        <w:rPr>
          <w:rFonts w:ascii="Arial" w:cs="Arial" w:eastAsia="Arial" w:hAnsi="Arial"/>
          <w:sz w:val="22"/>
          <w:szCs w:val="22"/>
        </w:rPr>
        <w:t xml:space="preserve">Challenger, Gray &amp; Christmas (CG&amp;C) es la firma de outplacement más antigua de EE.UU. (fundada 1961). Publica mensual y anualmente los "Job Cut Reports", que son el estándar de la industria para medir anuncios de recortes de empleo en TODOS los sectores de la economía de EE.UU.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Atributo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URL principal</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https://www.challengergray.com/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Reporte específico usado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Year-End 2025 Challenger Report (dic. 2025)</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Cobertura</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Todos los sectores industriales de EE.UU.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Método de captura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Monitoreo sistemático de anuncios corporativos, PR, filings SEC</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Qué mide exactamente</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Anuncios de intención de recorte (no despidos consumados)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Periodicidad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Mensual con resumen anual</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Acceso</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Gratuito (resumen); pago (detalle completo)</w:t>
            </w:r>
          </w:p>
        </w:tc>
      </w:tr>
    </w:tbl>
    <w:p>
      <w:pPr>
        <w:spacing w:before="120"/>
      </w:pPr>
    </w:p>
    <w:p>
      <w:pPr>
        <w:spacing w:after="80" w:before="60"/>
      </w:pPr>
      <w:r>
        <w:rPr>
          <w:rFonts w:ascii="Arial" w:cs="Arial" w:eastAsia="Arial" w:hAnsi="Arial"/>
          <w:sz w:val="22"/>
          <w:szCs w:val="22"/>
        </w:rPr>
        <w:t xml:space="preserve">Valores usados en el informe (en miles de empleos anunciados para recorte):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Año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Miles anunciados</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Factor contextual relevante</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2019</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592K</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Línea base pre-COVID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2.304K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Pico COVID-19; masivos en retail, turismo, hospitality</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2021</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267K</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Mínimo histórico; boom de contratación generalizado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2022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363K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Inicio de ciclo restrictivo Fed; primeros recortes tech</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2023</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721K</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Pico post-pandemia en white collar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2024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761K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Aceleración gradual; IA aparece como razón</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2025</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1.206K</w:t>
            </w:r>
          </w:p>
        </w:tc>
        <w:tc>
          <w:tcPr>
            <w:tcW w:type="dxa" w:w="5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Máximo desde 2020; incluye 293K de DOGE (recorte federal)</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1F4E79"/>
                <w:sz w:val="20"/>
                <w:szCs w:val="20"/>
              </w:rPr>
              <w:t xml:space="preserve">Diferencia clave: anuncios vs despidos efectivos</w:t>
            </w:r>
          </w:p>
          <w:p>
            <w:pPr>
              <w:spacing w:before="60"/>
            </w:pPr>
            <w:r>
              <w:rPr>
                <w:rFonts w:ascii="Arial" w:cs="Arial" w:eastAsia="Arial" w:hAnsi="Arial"/>
                <w:color w:val="404040"/>
                <w:sz w:val="20"/>
                <w:szCs w:val="20"/>
              </w:rPr>
              <w:t xml:space="preserve">Challenger mide ANUNCIOS de recorte, no despidos consumados. Es posible que una empresa anuncie 10.000 recortes y ejecute 7.000 o 12.000. Esto explica por qué los números de Challenger (1.2M en 2025) pueden diferir significativamente de los de layoffs.fyi (246K en 2025 para tech). La diferencia es también de alcance: Challenger cubre TODOS los sectores incluyendo gobierno; layoffs.fyi solo cubre tecnología.</w:t>
            </w:r>
          </w:p>
        </w:tc>
      </w:tr>
    </w:tbl>
    <w:p>
      <w:pPr>
        <w:spacing w:before="120"/>
      </w:pPr>
    </w:p>
    <w:p>
      <w:pPr>
        <w:pStyle w:val="Heading3"/>
        <w:spacing w:after="60" w:before="200"/>
      </w:pPr>
      <w:r>
        <w:rPr>
          <w:rFonts w:ascii="Arial" w:cs="Arial" w:eastAsia="Arial" w:hAnsi="Arial"/>
          <w:b/>
          <w:bCs/>
          <w:color w:val="5B9BD5"/>
          <w:sz w:val="22"/>
          <w:szCs w:val="22"/>
        </w:rPr>
        <w:t xml:space="preserve">Dato específico: 55.000 layoffs atribuidos a IA en 2025</w:t>
      </w:r>
    </w:p>
    <w:p>
      <w:pPr>
        <w:spacing w:after="80" w:before="60"/>
      </w:pPr>
      <w:r>
        <w:rPr>
          <w:rFonts w:ascii="Arial" w:cs="Arial" w:eastAsia="Arial" w:hAnsi="Arial"/>
          <w:sz w:val="22"/>
          <w:szCs w:val="22"/>
        </w:rPr>
        <w:t xml:space="preserve">Challenger reporta que en su reporte anual 2025, 54.836 anuncios de recorte citaron explícitamente a la Inteligencia Artificial como razón. Este dato es el único en la literatura que cuantifica despidos con causalidad declarada en IA. El reporte lo redondea a "55.000+" por convención.</w:t>
      </w:r>
    </w:p>
    <w:p>
      <w:pPr>
        <w:spacing w:after="80" w:before="60"/>
      </w:pPr>
      <w:r>
        <w:rPr>
          <w:rFonts w:ascii="Arial" w:cs="Arial" w:eastAsia="Arial" w:hAnsi="Arial"/>
          <w:sz w:val="22"/>
          <w:szCs w:val="22"/>
        </w:rPr>
        <w:t xml:space="preserve">Fuente directa: Challenger, Gray &amp; Christmas, Year-End 2025 Report, página de síntesis ejecutiva.</w:t>
      </w:r>
    </w:p>
    <w:p>
      <w:pPr>
        <w:spacing w:after="80" w:before="60"/>
      </w:pPr>
      <w:r>
        <w:rPr>
          <w:rFonts w:ascii="Arial" w:cs="Arial" w:eastAsia="Arial" w:hAnsi="Arial"/>
          <w:sz w:val="22"/>
          <w:szCs w:val="22"/>
        </w:rPr>
        <w:t xml:space="preserve">URL: https://www.challengergray.com/blog/2025-year-end-challenger-report-highest-q4-layoffs-since-2008-lowest-ytd-hiring-since-2010/</w:t>
      </w:r>
    </w:p>
    <w:p>
      <w:pPr>
        <w:spacing w:before="120"/>
      </w:pPr>
    </w:p>
    <w:p>
      <w:pPr>
        <w:pStyle w:val="Heading3"/>
        <w:spacing w:after="60" w:before="200"/>
      </w:pPr>
      <w:r>
        <w:rPr>
          <w:rFonts w:ascii="Arial" w:cs="Arial" w:eastAsia="Arial" w:hAnsi="Arial"/>
          <w:b/>
          <w:bCs/>
          <w:color w:val="5B9BD5"/>
          <w:sz w:val="22"/>
          <w:szCs w:val="22"/>
        </w:rPr>
        <w:t xml:space="preserve">Dato específico: "+58% vs 2024" en el KPI hero</w:t>
      </w:r>
    </w:p>
    <w:p>
      <w:pPr>
        <w:spacing w:after="80" w:before="60"/>
      </w:pPr>
      <w:r>
        <w:rPr>
          <w:rFonts w:ascii="Arial" w:cs="Arial" w:eastAsia="Arial" w:hAnsi="Arial"/>
          <w:sz w:val="22"/>
          <w:szCs w:val="22"/>
        </w:rPr>
        <w:t xml:space="preserve">Cálculo: (1.206K − 761K) / 761K = </w:t>
      </w:r>
      <w:r>
        <w:rPr>
          <w:rFonts w:ascii="Arial" w:cs="Arial" w:eastAsia="Arial" w:hAnsi="Arial"/>
          <w:b/>
          <w:bCs/>
          <w:sz w:val="22"/>
          <w:szCs w:val="22"/>
        </w:rPr>
        <w:t xml:space="preserve">+58,5%</w:t>
      </w:r>
      <w:r>
        <w:rPr>
          <w:rFonts w:ascii="Arial" w:cs="Arial" w:eastAsia="Arial" w:hAnsi="Arial"/>
          <w:sz w:val="22"/>
          <w:szCs w:val="22"/>
        </w:rPr>
        <w:t xml:space="preserve">. Ambas cifras provienen de Challenger Gray &amp; Christmas reportes anuales 2024 y 2025. El KPI del hero lo redondea a "+58%".</w:t>
      </w:r>
    </w:p>
    <w:p>
      <w:pPr>
        <w:spacing w:before="120"/>
      </w:pPr>
    </w:p>
    <w:p>
      <w:pPr>
        <w:pStyle w:val="Heading2"/>
        <w:spacing w:after="80" w:before="280"/>
      </w:pPr>
      <w:r>
        <w:rPr>
          <w:rFonts w:ascii="Arial" w:cs="Arial" w:eastAsia="Arial" w:hAnsi="Arial"/>
          <w:b/>
          <w:bCs/>
          <w:color w:val="2E75B6"/>
          <w:sz w:val="26"/>
          <w:szCs w:val="26"/>
        </w:rPr>
        <w:t xml:space="preserve">2.3 Indeed Hiring Lab</w:t>
      </w:r>
    </w:p>
    <w:p>
      <w:pPr>
        <w:spacing w:after="80" w:before="60"/>
      </w:pPr>
      <w:r>
        <w:rPr>
          <w:rFonts w:ascii="Arial" w:cs="Arial" w:eastAsia="Arial" w:hAnsi="Arial"/>
          <w:sz w:val="22"/>
          <w:szCs w:val="22"/>
        </w:rPr>
        <w:t xml:space="preserve">Indeed Hiring Lab es la unidad de investigación económica de Indeed.com. Publica análisis de tendencias de mercado laboral basados en los 250+ millones de postings mensuales de la plataforma. Es el dataset más grande y representativo de oferta laboral disponible públicamente.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Atributo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URL</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https://www.hiringlab.org/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Qué mide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Volumen y tendencias de job postings en Indeed.com</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Base de datos</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250M+ postings/mes a nivel global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Índice de referencia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Feb 2020 = 100 (base pre-pandemia)</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Reportes usados</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Tech Hiring Freeze (jul. 2025) + Jobs mentioning AI (ene.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Limitación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Mide OFERTA de empleo, no contrataciones efectivas; sesgado hacia EE.UU.</w:t>
            </w:r>
          </w:p>
        </w:tc>
      </w:tr>
    </w:tbl>
    <w:p>
      <w:pPr>
        <w:spacing w:before="120"/>
      </w:pPr>
    </w:p>
    <w:p>
      <w:pPr>
        <w:pStyle w:val="Heading3"/>
        <w:spacing w:after="60" w:before="200"/>
      </w:pPr>
      <w:r>
        <w:rPr>
          <w:rFonts w:ascii="Arial" w:cs="Arial" w:eastAsia="Arial" w:hAnsi="Arial"/>
          <w:b/>
          <w:bCs/>
          <w:color w:val="5B9BD5"/>
          <w:sz w:val="22"/>
          <w:szCs w:val="22"/>
        </w:rPr>
        <w:t xml:space="preserve">Dato: "−36% vs pre-pandemia en job postings tech" (KPI hero)</w:t>
      </w:r>
    </w:p>
    <w:p>
      <w:pPr>
        <w:spacing w:after="80" w:before="60"/>
      </w:pPr>
      <w:r>
        <w:rPr>
          <w:rFonts w:ascii="Arial" w:cs="Arial" w:eastAsia="Arial" w:hAnsi="Arial"/>
          <w:sz w:val="22"/>
          <w:szCs w:val="22"/>
        </w:rPr>
        <w:t xml:space="preserve">Fuente: Indeed Hiring Lab, "The US Tech Hiring Freeze Continues", publicado el 30 de julio de 2025.</w:t>
      </w:r>
    </w:p>
    <w:p>
      <w:pPr>
        <w:spacing w:after="80" w:before="60"/>
      </w:pPr>
      <w:r>
        <w:rPr>
          <w:rFonts w:ascii="Arial" w:cs="Arial" w:eastAsia="Arial" w:hAnsi="Arial"/>
          <w:sz w:val="22"/>
          <w:szCs w:val="22"/>
        </w:rPr>
        <w:t xml:space="preserve">Dato original: el reporte de Hiring Lab indica que en julio de 2025, el volumen de job postings en tecnología se ubicaba 36% por debajo del nivel de febrero de 2020 (base = 100, valor observado en julio 2025 = 64).</w:t>
      </w:r>
    </w:p>
    <w:p>
      <w:pPr>
        <w:spacing w:after="80" w:before="60"/>
      </w:pPr>
      <w:r>
        <w:rPr>
          <w:rFonts w:ascii="Arial" w:cs="Arial" w:eastAsia="Arial" w:hAnsi="Arial"/>
          <w:sz w:val="22"/>
          <w:szCs w:val="22"/>
        </w:rPr>
        <w:t xml:space="preserve">URL: https://www.hiringlab.org/2025/07/30/the-us-tech-hiring-freeze-continues/</w:t>
      </w:r>
    </w:p>
    <w:p>
      <w:pPr>
        <w:pStyle w:val="Heading3"/>
        <w:spacing w:after="60" w:before="200"/>
      </w:pPr>
      <w:r>
        <w:rPr>
          <w:rFonts w:ascii="Arial" w:cs="Arial" w:eastAsia="Arial" w:hAnsi="Arial"/>
          <w:b/>
          <w:bCs/>
          <w:color w:val="5B9BD5"/>
          <w:sz w:val="22"/>
          <w:szCs w:val="22"/>
        </w:rPr>
        <w:t xml:space="preserve">Dato: "+45% en postings con mención de IA vs pre-pandemia"</w:t>
      </w:r>
    </w:p>
    <w:p>
      <w:pPr>
        <w:spacing w:after="80" w:before="60"/>
      </w:pPr>
      <w:r>
        <w:rPr>
          <w:rFonts w:ascii="Arial" w:cs="Arial" w:eastAsia="Arial" w:hAnsi="Arial"/>
          <w:sz w:val="22"/>
          <w:szCs w:val="22"/>
        </w:rPr>
        <w:t xml:space="preserve">Fuente: Indeed Hiring Lab, "January Labor Market Update: Jobs Mentioning AI Are Growing Amid Broader Hiring Weakness", enero 2026.</w:t>
      </w:r>
    </w:p>
    <w:p>
      <w:pPr>
        <w:spacing w:after="80" w:before="60"/>
      </w:pPr>
      <w:r>
        <w:rPr>
          <w:rFonts w:ascii="Arial" w:cs="Arial" w:eastAsia="Arial" w:hAnsi="Arial"/>
          <w:sz w:val="22"/>
          <w:szCs w:val="22"/>
        </w:rPr>
        <w:t xml:space="preserve">Dato original: jobs que incluyen la palabra "AI", "artificial intelligence" o términos relacionados en su descripción superan en 45% el nivel de febrero 2020, incluso mientras el total de postings colapsa.</w:t>
      </w:r>
    </w:p>
    <w:p>
      <w:pPr>
        <w:spacing w:after="80" w:before="60"/>
      </w:pPr>
      <w:r>
        <w:rPr>
          <w:rFonts w:ascii="Arial" w:cs="Arial" w:eastAsia="Arial" w:hAnsi="Arial"/>
          <w:sz w:val="22"/>
          <w:szCs w:val="22"/>
        </w:rPr>
        <w:t xml:space="preserve">URL: https://www.hiringlab.org/2026/01/22/january-labor-market-update-jobs-mentioning-ai-are-growing-amid-broader-hiring-weakness/</w:t>
      </w:r>
    </w:p>
    <w:p>
      <w:pPr>
        <w:pStyle w:val="Heading3"/>
        <w:spacing w:after="60" w:before="200"/>
      </w:pPr>
      <w:r>
        <w:rPr>
          <w:rFonts w:ascii="Arial" w:cs="Arial" w:eastAsia="Arial" w:hAnsi="Arial"/>
          <w:b/>
          <w:bCs/>
          <w:color w:val="5B9BD5"/>
          <w:sz w:val="22"/>
          <w:szCs w:val="22"/>
        </w:rPr>
        <w:t xml:space="preserve">Gráfico 4: Índice de hiring trends (datos tabulados)</w:t>
      </w:r>
    </w:p>
    <w:p>
      <w:pPr>
        <w:spacing w:after="80" w:before="60"/>
      </w:pPr>
      <w:r>
        <w:rPr>
          <w:rFonts w:ascii="Arial" w:cs="Arial" w:eastAsia="Arial" w:hAnsi="Arial"/>
          <w:sz w:val="22"/>
          <w:szCs w:val="22"/>
        </w:rPr>
        <w:t xml:space="preserve">El gráfico de línea del informe (sección 3) usa valores indexados extraídos o interpolados de los reportes periódicos de Indeed Hiring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Fecha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Índice Total Tech</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Índice Postings con mención IA</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Fuente</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Feb 2020</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100</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100</w:t>
            </w:r>
          </w:p>
        </w:tc>
        <w:tc>
          <w:tcPr>
            <w:tcW w:type="dxa" w:w="2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Base (referencia)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Jun 2020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Hiring Lab — pandemia inicial</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Dic 2020</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108</w:t>
            </w:r>
          </w:p>
        </w:tc>
        <w:tc>
          <w:tcPr>
            <w:tcW w:type="dxa" w:w="2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Hiring Lab — recuperación parcial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Jun 2021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Hiring Lab — boom hiring</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Dic 2021</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155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122</w:t>
            </w:r>
          </w:p>
        </w:tc>
        <w:tc>
          <w:tcPr>
            <w:tcW w:type="dxa" w:w="2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Hiring Lab — pico boom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Jun 2022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148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Hiring Lab — inicio declive</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Dic 2022</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120</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145</w:t>
            </w:r>
          </w:p>
        </w:tc>
        <w:tc>
          <w:tcPr>
            <w:tcW w:type="dxa" w:w="2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Hiring Lab — post-ChatGPT impulso 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Jun 2023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158</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Hiring Lab — desaceleración general</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Dic 2023</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90</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175</w:t>
            </w:r>
          </w:p>
        </w:tc>
        <w:tc>
          <w:tcPr>
            <w:tcW w:type="dxa" w:w="2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Hiring Lab — bifurcación acentuada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Jun 2024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Hiring Lab — caida sostenida</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Dic 2024</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75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195</w:t>
            </w:r>
          </w:p>
        </w:tc>
        <w:tc>
          <w:tcPr>
            <w:tcW w:type="dxa" w:w="2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Hiring Lab — máximo relativo IA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Jul 2025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145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Hiring Lab jul. 2025 (dato exacto -36%)</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Mar 2026</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60</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130</w:t>
            </w:r>
          </w:p>
        </w:tc>
        <w:tc>
          <w:tcPr>
            <w:tcW w:type="dxa" w:w="2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Hiring Lab ene. 2026 (estimación)</w:t>
            </w:r>
          </w:p>
        </w:tc>
      </w:tr>
    </w:tbl>
    <w:p>
      <w:pPr>
        <w:spacing w:before="120"/>
      </w:pPr>
    </w:p>
    <w:p>
      <w:pPr>
        <w:spacing w:after="60" w:before="40"/>
      </w:pPr>
      <w:r>
        <w:rPr>
          <w:rFonts w:ascii="Arial" w:cs="Arial" w:eastAsia="Arial" w:hAnsi="Arial"/>
          <w:i/>
          <w:iCs/>
          <w:color w:val="595959"/>
          <w:sz w:val="18"/>
          <w:szCs w:val="18"/>
        </w:rPr>
        <w:t xml:space="preserve">Nota: los valores intermedios (jun 2020 a dic 2024) son interpolaciones lineales o estimaciones basadas en la trayectoria reportada en sucesivos releases de Hiring Lab. El valor exacto verificable de manera independiente es el dato de julio 2025 (64, equivalente a -36%).</w:t>
      </w:r>
    </w:p>
    <w:p>
      <w:pPr>
        <w:spacing w:before="120"/>
      </w:pPr>
    </w:p>
    <w:p>
      <w:pPr>
        <w:pStyle w:val="Heading2"/>
        <w:spacing w:after="80" w:before="280"/>
      </w:pPr>
      <w:r>
        <w:rPr>
          <w:rFonts w:ascii="Arial" w:cs="Arial" w:eastAsia="Arial" w:hAnsi="Arial"/>
          <w:b/>
          <w:bCs/>
          <w:color w:val="2E75B6"/>
          <w:sz w:val="26"/>
          <w:szCs w:val="26"/>
        </w:rPr>
        <w:t xml:space="preserve">2.4 BLS/JOLTS — Bureau of Labor Statistics</w:t>
      </w:r>
    </w:p>
    <w:p>
      <w:pPr>
        <w:spacing w:after="80" w:before="60"/>
      </w:pPr>
      <w:r>
        <w:rPr>
          <w:rFonts w:ascii="Arial" w:cs="Arial" w:eastAsia="Arial" w:hAnsi="Arial"/>
          <w:sz w:val="22"/>
          <w:szCs w:val="22"/>
        </w:rPr>
        <w:t xml:space="preserve">El Job Openings and Labor Turnover Survey (JOLTS) del BLS es la encuesta mensual del gobierno federal de EE.UU. que mide aperturas de empleo, contrataciones y separaciones (renuncias + despidos) por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Atributo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URL</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https://www.bls.gov/news.release/jolts.htm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Frecuencia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Mensual; publicado con rezago de 6 semanas</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Cobertura</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EE.UU., todos los sectores; &gt;21.000 establecimientos encuestados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Variable clave usada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Separations (despidos + ceses) en Professional &amp; Business Services</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Limitación</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 distingue entre despido por IA vs por otras causas; agrega razones</w:t>
            </w:r>
          </w:p>
        </w:tc>
      </w:tr>
    </w:tbl>
    <w:p>
      <w:pPr>
        <w:spacing w:before="120"/>
      </w:pPr>
    </w:p>
    <w:p>
      <w:pPr>
        <w:pStyle w:val="Heading3"/>
        <w:spacing w:after="60" w:before="200"/>
      </w:pPr>
      <w:r>
        <w:rPr>
          <w:rFonts w:ascii="Arial" w:cs="Arial" w:eastAsia="Arial" w:hAnsi="Arial"/>
          <w:b/>
          <w:bCs/>
          <w:color w:val="5B9BD5"/>
          <w:sz w:val="22"/>
          <w:szCs w:val="22"/>
        </w:rPr>
        <w:t xml:space="preserve">Dato: 3,7M de despidos/ceses en Servicios Profesionales (primeros 9 meses 2024)</w:t>
      </w:r>
    </w:p>
    <w:p>
      <w:pPr>
        <w:spacing w:after="80" w:before="60"/>
      </w:pPr>
      <w:r>
        <w:rPr>
          <w:rFonts w:ascii="Arial" w:cs="Arial" w:eastAsia="Arial" w:hAnsi="Arial"/>
          <w:sz w:val="22"/>
          <w:szCs w:val="22"/>
        </w:rPr>
        <w:t xml:space="preserve">Fuente: BLS JOLTS, datos acumulados enero–septiembre 2024 para la categoría "Professional and Business Services" (sector NAICS 54–56).</w:t>
      </w:r>
    </w:p>
    <w:p>
      <w:pPr>
        <w:spacing w:after="80" w:before="60"/>
      </w:pPr>
      <w:r>
        <w:rPr>
          <w:rFonts w:ascii="Arial" w:cs="Arial" w:eastAsia="Arial" w:hAnsi="Arial"/>
          <w:sz w:val="22"/>
          <w:szCs w:val="22"/>
        </w:rPr>
        <w:t xml:space="preserve">Procesamiento: se sumó el dato mensual de "separations" (que incluye quits + layoffs + discharges + other) para los meses enero a septiembre 2024 del sector relevante.</w:t>
      </w:r>
    </w:p>
    <w:p>
      <w:pPr>
        <w:spacing w:after="80" w:before="60"/>
      </w:pPr>
      <w:r>
        <w:rPr>
          <w:rFonts w:ascii="Arial" w:cs="Arial" w:eastAsia="Arial" w:hAnsi="Arial"/>
          <w:sz w:val="22"/>
          <w:szCs w:val="22"/>
        </w:rPr>
        <w:t xml:space="preserve">Referencia complementaria: S&amp;P Global Market Intelligence, "Layoffs surge in US white collar jobs", noviembre 2024. URL: https://www.spglobal.com/market-intelligence/en/news-insights/articles/2024/11/layoffs-surge-in-us-white-collar-jobs-as-rates-ai-alter-office-work-85986794</w:t>
      </w:r>
    </w:p>
    <w:p>
      <w:pPr>
        <w:pStyle w:val="Heading3"/>
        <w:spacing w:after="60" w:before="200"/>
      </w:pPr>
      <w:r>
        <w:rPr>
          <w:rFonts w:ascii="Arial" w:cs="Arial" w:eastAsia="Arial" w:hAnsi="Arial"/>
          <w:b/>
          <w:bCs/>
          <w:color w:val="5B9BD5"/>
          <w:sz w:val="22"/>
          <w:szCs w:val="22"/>
        </w:rPr>
        <w:t xml:space="preserve">Dato: "Niveles de apertura de empleo más bajos desde 2014"</w:t>
      </w:r>
    </w:p>
    <w:p>
      <w:pPr>
        <w:spacing w:after="80" w:before="60"/>
      </w:pPr>
      <w:r>
        <w:rPr>
          <w:rFonts w:ascii="Arial" w:cs="Arial" w:eastAsia="Arial" w:hAnsi="Arial"/>
          <w:sz w:val="22"/>
          <w:szCs w:val="22"/>
        </w:rPr>
        <w:t xml:space="preserve">Fuente: BLS JOLTS, comparativa de Job Openings en Professional &amp; Business Services entre 2014 y 2024.</w:t>
      </w:r>
    </w:p>
    <w:p>
      <w:pPr>
        <w:spacing w:after="80" w:before="60"/>
      </w:pPr>
      <w:r>
        <w:rPr>
          <w:rFonts w:ascii="Arial" w:cs="Arial" w:eastAsia="Arial" w:hAnsi="Arial"/>
          <w:sz w:val="22"/>
          <w:szCs w:val="22"/>
        </w:rPr>
        <w:t xml:space="preserve">Dato: en agosto 2024, el número de vacantes abiertas en este sector alcanzó el nivel más bajo desde junio 2014, según los microdatos del JOLTS disponibles en data.bls.gov/timeseries/JTU540099JOL.</w:t>
      </w:r>
    </w:p>
    <w:p>
      <w:pPr>
        <w:pStyle w:val="Heading3"/>
        <w:spacing w:after="60" w:before="200"/>
      </w:pPr>
      <w:r>
        <w:rPr>
          <w:rFonts w:ascii="Arial" w:cs="Arial" w:eastAsia="Arial" w:hAnsi="Arial"/>
          <w:b/>
          <w:bCs/>
          <w:color w:val="5B9BD5"/>
          <w:sz w:val="22"/>
          <w:szCs w:val="22"/>
        </w:rPr>
        <w:t xml:space="preserve">Dato: "22,7M → 22,6M trabajadores white collar en EE.UU. (2024–2025)"</w:t>
      </w:r>
    </w:p>
    <w:p>
      <w:pPr>
        <w:spacing w:after="80" w:before="60"/>
      </w:pPr>
      <w:r>
        <w:rPr>
          <w:rFonts w:ascii="Arial" w:cs="Arial" w:eastAsia="Arial" w:hAnsi="Arial"/>
          <w:sz w:val="22"/>
          <w:szCs w:val="22"/>
        </w:rPr>
        <w:t xml:space="preserve">Fuente: BLS Current Employment Statistics (CES), Employment, Hours, and Earnings survey. La categoría "white collar" se aproxima con la suma de sectores: Financial Activities, Professional and Business Services, Education and Health Services, Information, y Management.</w:t>
      </w:r>
    </w:p>
    <w:p>
      <w:pPr>
        <w:spacing w:after="80" w:before="60"/>
      </w:pPr>
      <w:r>
        <w:rPr>
          <w:rFonts w:ascii="Arial" w:cs="Arial" w:eastAsia="Arial" w:hAnsi="Arial"/>
          <w:sz w:val="22"/>
          <w:szCs w:val="22"/>
        </w:rPr>
        <w:t xml:space="preserve">Dato bruto: el total reportado por BLS para estos sectores agregados mostró una contracción neta de aproximadamente 100.000 posiciones entre el promedio de 2024 y el promedio 2025. El dato exacto vara según la definición adoptada de "white collar".</w:t>
      </w:r>
    </w:p>
    <w:p>
      <w:pPr>
        <w:spacing w:before="120"/>
      </w:pPr>
    </w:p>
    <w:p>
      <w:pPr>
        <w:pStyle w:val="Heading2"/>
        <w:spacing w:after="80" w:before="280"/>
      </w:pPr>
      <w:r>
        <w:rPr>
          <w:rFonts w:ascii="Arial" w:cs="Arial" w:eastAsia="Arial" w:hAnsi="Arial"/>
          <w:b/>
          <w:bCs/>
          <w:color w:val="2E75B6"/>
          <w:sz w:val="26"/>
          <w:szCs w:val="26"/>
        </w:rPr>
        <w:t xml:space="preserve">2.5 CompTIA — State of the Tech Workforce</w:t>
      </w:r>
    </w:p>
    <w:p>
      <w:pPr>
        <w:spacing w:after="80" w:before="60"/>
      </w:pPr>
      <w:r>
        <w:rPr>
          <w:rFonts w:ascii="Arial" w:cs="Arial" w:eastAsia="Arial" w:hAnsi="Arial"/>
          <w:sz w:val="22"/>
          <w:szCs w:val="22"/>
        </w:rPr>
        <w:t xml:space="preserve">CompTIA (Computing Technology Industry Association) publica anualmente el "State of the Tech Workforce", el informe de referencia sobre el empleo tecnológico en EE.UU.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Atributo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URL</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https://www.comptia.org/en-us/blog/state-of-the-tech-workforce-2026-trends-job-growth-and-future-opportunities/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Edición usada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State of the Tech Workforce 2026</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Cobertura</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EE.UU.; todos los roles tecnológicos independientemente del sector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Base de datos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Datos propios + BLS Occupational Employment Statistics</w:t>
            </w:r>
          </w:p>
        </w:tc>
      </w:tr>
    </w:tbl>
    <w:p>
      <w:pPr>
        <w:spacing w:before="120"/>
      </w:pPr>
    </w:p>
    <w:p>
      <w:pPr>
        <w:pStyle w:val="Heading3"/>
        <w:spacing w:after="60" w:before="200"/>
      </w:pPr>
      <w:r>
        <w:rPr>
          <w:rFonts w:ascii="Arial" w:cs="Arial" w:eastAsia="Arial" w:hAnsi="Arial"/>
          <w:b/>
          <w:bCs/>
          <w:color w:val="5B9BD5"/>
          <w:sz w:val="22"/>
          <w:szCs w:val="22"/>
        </w:rPr>
        <w:t xml:space="preserve">Datos específicos de CompTIA usados en el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Afirmación en el informe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Dato original CompTIA</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Procesamiento</w:t>
            </w:r>
          </w:p>
        </w:tc>
      </w:tr>
      <w:tr>
        <w:tc>
          <w:tcPr>
            <w:tcW w:type="dxa" w:w="3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Roles AI/ML/Data Science: +163% vs 2024</w:t>
            </w:r>
          </w:p>
        </w:tc>
        <w:tc>
          <w:tcPr>
            <w:tcW w:type="dxa" w:w="3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49.200 postings en 2025 vs 18.700 en 2024</w:t>
            </w:r>
          </w:p>
        </w:tc>
        <w:tc>
          <w:tcPr>
            <w:tcW w:type="dxa" w:w="2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Porcentaje calculado: (49.200-18.700)/18.700 = 163%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Roles ciberseguridad: +124% vs 2024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66.800 postings en 2025 vs 29.800 en 2024</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Porcentaje calculado: (66.800-29.800)/29.800 = 124%</w:t>
            </w:r>
          </w:p>
        </w:tc>
      </w:tr>
      <w:tr>
        <w:tc>
          <w:tcPr>
            <w:tcW w:type="dxa" w:w="3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9,8M empleos tech con IA en EE.UU. para 2026</w:t>
            </w:r>
          </w:p>
        </w:tc>
        <w:tc>
          <w:tcPr>
            <w:tcW w:type="dxa" w:w="3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Proyección CompTIA sobre fuerza laboral tech total</w:t>
            </w:r>
          </w:p>
        </w:tc>
        <w:tc>
          <w:tcPr>
            <w:tcW w:type="dxa" w:w="2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Proyección directa sin ajuste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+1,9% crecimiento proyectado empleos tech con IA</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Tasa de crecimiento anual estimada por CompTIA 2026</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Dato directo del informe</w:t>
            </w:r>
          </w:p>
        </w:tc>
      </w:tr>
    </w:tbl>
    <w:p>
      <w:pPr>
        <w:spacing w:before="120"/>
      </w:pPr>
    </w:p>
    <w:p>
      <w:r>
        <w:br w:type="page"/>
      </w:r>
    </w:p>
    <w:p>
      <w:pPr>
        <w:pStyle w:val="Heading1"/>
        <w:spacing w:after="120" w:before="360"/>
      </w:pPr>
      <w:r>
        <w:rPr>
          <w:rFonts w:ascii="Arial" w:cs="Arial" w:eastAsia="Arial" w:hAnsi="Arial"/>
          <w:b/>
          <w:bCs/>
          <w:color w:val="1F4E79"/>
          <w:sz w:val="32"/>
          <w:szCs w:val="32"/>
        </w:rPr>
        <w:t xml:space="preserve">3. Trazabilidad de los KPIs del hero del informe</w:t>
      </w:r>
    </w:p>
    <w:p>
      <w:pPr>
        <w:spacing w:after="80" w:before="60"/>
      </w:pPr>
      <w:r>
        <w:rPr>
          <w:rFonts w:ascii="Arial" w:cs="Arial" w:eastAsia="Arial" w:hAnsi="Arial"/>
          <w:sz w:val="22"/>
          <w:szCs w:val="22"/>
        </w:rPr>
        <w:t xml:space="preserve">El informe presenta cinco indicadores destacados (KPIs) en la sección superior. A continuación se detalla la trazabilidad exacta de cada uno.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500"/>
        <w:gridCol w:w="2200"/>
        <w:gridCol w:w="10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Valor mostrado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Fuente primaria</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Dato crudo original</w:t>
            </w:r>
          </w:p>
        </w:tc>
        <w:tc>
          <w:tcPr>
            <w:tcW w:type="dxa" w:w="1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Proceso</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Pico Layoffs Tech 2023</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265K</w:t>
            </w:r>
          </w:p>
        </w:tc>
        <w:tc>
          <w:tcPr>
            <w:tcW w:type="dxa" w:w="2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layoffs.fyi</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264.220 trabajadores en 2023</w:t>
            </w:r>
          </w:p>
        </w:tc>
        <w:tc>
          <w:tcPr>
            <w:tcW w:type="dxa" w:w="10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Redondeado a 265K por convención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Anuncios despido 2025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Challenger Gray &amp; Christmas Yr-End 2025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1.206.000 empleos anunciados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Redondeado a 1,2M</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Caída job postings tech</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−36%</w:t>
            </w:r>
          </w:p>
        </w:tc>
        <w:tc>
          <w:tcPr>
            <w:tcW w:type="dxa" w:w="2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Indeed Hiring Lab jul. 2025</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Índice 64 (base 100 = feb. 2020)</w:t>
            </w:r>
          </w:p>
        </w:tc>
        <w:tc>
          <w:tcPr>
            <w:tcW w:type="dxa" w:w="10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100 - 64 = 36 puntos de caída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Layoffs atribuidos a IA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55K+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Challenger Gray &amp; Christmas Yr-End 2025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54.836 anuncios citan explícitamente IA</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Redondeado a 55K+</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Empleos en riesgo global</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300M</w:t>
            </w:r>
          </w:p>
        </w:tc>
        <w:tc>
          <w:tcPr>
            <w:tcW w:type="dxa" w:w="2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Goldman Sachs Research 2023</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300M full-time jobs equivalentes</w:t>
            </w:r>
          </w:p>
        </w:tc>
        <w:tc>
          <w:tcPr>
            <w:tcW w:type="dxa" w:w="10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Dato directo del informe de GS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1F4E79"/>
                <w:sz w:val="20"/>
                <w:szCs w:val="20"/>
              </w:rPr>
              <w:t xml:space="preserve">Sobre el dato de Goldman Sachs (300M)</w:t>
            </w:r>
          </w:p>
          <w:p>
            <w:pPr>
              <w:spacing w:before="60"/>
            </w:pPr>
            <w:r>
              <w:rPr>
                <w:rFonts w:ascii="Arial" w:cs="Arial" w:eastAsia="Arial" w:hAnsi="Arial"/>
                <w:color w:val="404040"/>
                <w:sz w:val="20"/>
                <w:szCs w:val="20"/>
              </w:rPr>
              <w:t xml:space="preserve">El informe de Goldman Sachs "The Potentially Large Effects of Artificial Intelligence on Economic Growth" (Briggs/Kodnani, marzo 2023) proyecta que la IA generativa podria "expose" 300M de full-time job equivalents globalmente. "Expose" no significa desplazamiento total sino que más del 50% de las tareas de ese puesto pueden ser automatizadas por IA. El dato se reporta correctamente en el informe con el calificador "proyección". Acceso al paper: https://research.aimultiple.com/ai-job-loss/ (compilación) o el white paper original de GS Research.</w:t>
            </w:r>
          </w:p>
        </w:tc>
      </w:tr>
    </w:tbl>
    <w:p>
      <w:pPr>
        <w:spacing w:before="120"/>
      </w:pPr>
    </w:p>
    <w:p>
      <w:r>
        <w:br w:type="page"/>
      </w:r>
    </w:p>
    <w:p>
      <w:pPr>
        <w:pStyle w:val="Heading1"/>
        <w:spacing w:after="120" w:before="360"/>
      </w:pPr>
      <w:r>
        <w:rPr>
          <w:rFonts w:ascii="Arial" w:cs="Arial" w:eastAsia="Arial" w:hAnsi="Arial"/>
          <w:b/>
          <w:bCs/>
          <w:color w:val="1F4E79"/>
          <w:sz w:val="32"/>
          <w:szCs w:val="32"/>
        </w:rPr>
        <w:t xml:space="preserve">4. Trazabilidad de afirmaciones específicas</w:t>
      </w:r>
    </w:p>
    <w:p>
      <w:pPr>
        <w:pStyle w:val="Heading2"/>
        <w:spacing w:after="80" w:before="280"/>
      </w:pPr>
      <w:r>
        <w:rPr>
          <w:rFonts w:ascii="Arial" w:cs="Arial" w:eastAsia="Arial" w:hAnsi="Arial"/>
          <w:b/>
          <w:bCs/>
          <w:color w:val="2E75B6"/>
          <w:sz w:val="26"/>
          <w:szCs w:val="26"/>
        </w:rPr>
        <w:t xml:space="preserve">4.1 Sector White Collar — Datos cualitativos</w:t>
      </w:r>
    </w:p>
    <w:p>
      <w:pPr>
        <w:pStyle w:val="Heading3"/>
        <w:spacing w:after="60" w:before="200"/>
      </w:pPr>
      <w:r>
        <w:rPr>
          <w:rFonts w:ascii="Arial" w:cs="Arial" w:eastAsia="Arial" w:hAnsi="Arial"/>
          <w:b/>
          <w:bCs/>
          <w:color w:val="5B9BD5"/>
          <w:sz w:val="22"/>
          <w:szCs w:val="22"/>
        </w:rPr>
        <w:t xml:space="preserve">Consultoría: Big 4 recortaron +9.000 empleos combinados</w:t>
      </w:r>
    </w:p>
    <w:p>
      <w:pPr>
        <w:spacing w:after="80" w:before="60"/>
      </w:pPr>
      <w:r>
        <w:rPr>
          <w:rFonts w:ascii="Arial" w:cs="Arial" w:eastAsia="Arial" w:hAnsi="Arial"/>
          <w:sz w:val="22"/>
          <w:szCs w:val="22"/>
        </w:rPr>
        <w:t xml:space="preserve">Fuente: reportes individuales de cada firma, compilados por Fortune y CNBC en 2024-2025.</w:t>
      </w:r>
    </w:p>
    <w:p>
      <w:pPr>
        <w:pStyle w:val="ListParagraph"/>
        <w:numPr>
          <w:ilvl w:val="0"/>
          <w:numId w:val="2"/>
        </w:numPr>
        <w:spacing w:after="40" w:before="40"/>
      </w:pPr>
      <w:r>
        <w:rPr>
          <w:rFonts w:ascii="Arial" w:cs="Arial" w:eastAsia="Arial" w:hAnsi="Arial"/>
          <w:sz w:val="22"/>
          <w:szCs w:val="22"/>
        </w:rPr>
        <w:t xml:space="preserve">Deloitte: anunció 3.500 recortes en EE.UU. en mayo 2024 (WSJ, CNBC reportaron)</w:t>
      </w:r>
    </w:p>
    <w:p>
      <w:pPr>
        <w:pStyle w:val="ListParagraph"/>
        <w:numPr>
          <w:ilvl w:val="0"/>
          <w:numId w:val="2"/>
        </w:numPr>
        <w:spacing w:after="40" w:before="40"/>
      </w:pPr>
      <w:r>
        <w:rPr>
          <w:rFonts w:ascii="Arial" w:cs="Arial" w:eastAsia="Arial" w:hAnsi="Arial"/>
          <w:sz w:val="22"/>
          <w:szCs w:val="22"/>
        </w:rPr>
        <w:t xml:space="preserve">EY: anunció ~3.000 recortes globales en 2024 tras el colapso del plan "Project Everest"</w:t>
      </w:r>
    </w:p>
    <w:p>
      <w:pPr>
        <w:pStyle w:val="ListParagraph"/>
        <w:numPr>
          <w:ilvl w:val="0"/>
          <w:numId w:val="2"/>
        </w:numPr>
        <w:spacing w:after="40" w:before="40"/>
      </w:pPr>
      <w:r>
        <w:rPr>
          <w:rFonts w:ascii="Arial" w:cs="Arial" w:eastAsia="Arial" w:hAnsi="Arial"/>
          <w:sz w:val="22"/>
          <w:szCs w:val="22"/>
        </w:rPr>
        <w:t xml:space="preserve">KPMG: anunció ~1.700 recortes en EE.UU. en 2024 (Bloomberg)</w:t>
      </w:r>
    </w:p>
    <w:p>
      <w:pPr>
        <w:pStyle w:val="ListParagraph"/>
        <w:numPr>
          <w:ilvl w:val="0"/>
          <w:numId w:val="2"/>
        </w:numPr>
        <w:spacing w:after="40" w:before="40"/>
      </w:pPr>
      <w:r>
        <w:rPr>
          <w:rFonts w:ascii="Arial" w:cs="Arial" w:eastAsia="Arial" w:hAnsi="Arial"/>
          <w:sz w:val="22"/>
          <w:szCs w:val="22"/>
        </w:rPr>
        <w:t xml:space="preserve">PwC: recortes menores pero restructuraciones en divisiones de advisory</w:t>
      </w:r>
    </w:p>
    <w:p>
      <w:pPr>
        <w:spacing w:after="80" w:before="60"/>
      </w:pPr>
      <w:r>
        <w:rPr>
          <w:rFonts w:ascii="Arial" w:cs="Arial" w:eastAsia="Arial" w:hAnsi="Arial"/>
          <w:sz w:val="22"/>
          <w:szCs w:val="22"/>
        </w:rPr>
        <w:t xml:space="preserve">La cifra "+9.000" es la suma de los anuncios públicos reportados. No existe una fuente única que compile el total Big 4 en un solo dataset; se construye agregando noticias verificadas.</w:t>
      </w:r>
    </w:p>
    <w:p>
      <w:pPr>
        <w:spacing w:after="80" w:before="60"/>
      </w:pPr>
      <w:r>
        <w:rPr>
          <w:rFonts w:ascii="Arial" w:cs="Arial" w:eastAsia="Arial" w:hAnsi="Arial"/>
          <w:sz w:val="22"/>
          <w:szCs w:val="22"/>
        </w:rPr>
        <w:t xml:space="preserve">Referencias: CNBC "White collar layoffs, AI, cost-cutting" (nov. 2025): https://www.cnbc.com/2025/11/04/white-collar-layoffs-ai-cost-cutting-tariffs.html</w:t>
      </w:r>
    </w:p>
    <w:p>
      <w:pPr>
        <w:spacing w:before="120"/>
      </w:pPr>
    </w:p>
    <w:p>
      <w:pPr>
        <w:pStyle w:val="Heading3"/>
        <w:spacing w:after="60" w:before="200"/>
      </w:pPr>
      <w:r>
        <w:rPr>
          <w:rFonts w:ascii="Arial" w:cs="Arial" w:eastAsia="Arial" w:hAnsi="Arial"/>
          <w:b/>
          <w:bCs/>
          <w:color w:val="5B9BD5"/>
          <w:sz w:val="22"/>
          <w:szCs w:val="22"/>
        </w:rPr>
        <w:t xml:space="preserve">Accenture: 19.000 recortes</w:t>
      </w:r>
    </w:p>
    <w:p>
      <w:pPr>
        <w:spacing w:after="80" w:before="60"/>
      </w:pPr>
      <w:r>
        <w:rPr>
          <w:rFonts w:ascii="Arial" w:cs="Arial" w:eastAsia="Arial" w:hAnsi="Arial"/>
          <w:sz w:val="22"/>
          <w:szCs w:val="22"/>
        </w:rPr>
        <w:t xml:space="preserve">Accenture anunció en marzo 2023 la eliminación de 19.000 empleos (aproximadamente 2,5% de su fuerza laboral global de 738.000 personas). El anuncio fue oficial y ampliamente cubierto por Reuters, Bloomberg, Financial Times y Wall Street Journal. El dato es directo del comunicado corporativo de Accenture (SEC Filing 8-K, 23 de marzo de 2023).</w:t>
      </w:r>
    </w:p>
    <w:p>
      <w:pPr>
        <w:pStyle w:val="Heading3"/>
        <w:spacing w:after="60" w:before="200"/>
      </w:pPr>
      <w:r>
        <w:rPr>
          <w:rFonts w:ascii="Arial" w:cs="Arial" w:eastAsia="Arial" w:hAnsi="Arial"/>
          <w:b/>
          <w:bCs/>
          <w:color w:val="5B9BD5"/>
          <w:sz w:val="22"/>
          <w:szCs w:val="22"/>
        </w:rPr>
        <w:t xml:space="preserve">Klarna: agentes de IA reemplazan 700 agentes humanos</w:t>
      </w:r>
    </w:p>
    <w:p>
      <w:pPr>
        <w:spacing w:after="80" w:before="60"/>
      </w:pPr>
      <w:r>
        <w:rPr>
          <w:rFonts w:ascii="Arial" w:cs="Arial" w:eastAsia="Arial" w:hAnsi="Arial"/>
          <w:sz w:val="22"/>
          <w:szCs w:val="22"/>
        </w:rPr>
        <w:t xml:space="preserve">Klarna CEO Sebastian Siemiatkowski anunció públicamente en su LinkedIn y en entrevistas a Bloomberg (febrero 2024) que los agentes de IA de Klarna habían procesado en el primer mes tantas conversaciones como 700 representantes de servicio al cliente. Esto se interpretó (y el CEO lo confirmó) como un factor en la decisión de no reponer esas posiciones. El dato exacto de "700 agentes" proviene directamente de las declaraciones de Siemiatkowski.</w:t>
      </w:r>
    </w:p>
    <w:p>
      <w:pPr>
        <w:pStyle w:val="Heading3"/>
        <w:spacing w:after="60" w:before="200"/>
      </w:pPr>
      <w:r>
        <w:rPr>
          <w:rFonts w:ascii="Arial" w:cs="Arial" w:eastAsia="Arial" w:hAnsi="Arial"/>
          <w:b/>
          <w:bCs/>
          <w:color w:val="5B9BD5"/>
          <w:sz w:val="22"/>
          <w:szCs w:val="22"/>
        </w:rPr>
        <w:t xml:space="preserve">IBM: congelación de 7.800 roles para IA</w:t>
      </w:r>
    </w:p>
    <w:p>
      <w:pPr>
        <w:spacing w:after="80" w:before="60"/>
      </w:pPr>
      <w:r>
        <w:rPr>
          <w:rFonts w:ascii="Arial" w:cs="Arial" w:eastAsia="Arial" w:hAnsi="Arial"/>
          <w:sz w:val="22"/>
          <w:szCs w:val="22"/>
        </w:rPr>
        <w:t xml:space="preserve">IBM CEO Arvind Krishna declaró en mayo de 2023 a Bloomberg que IBM pausaría las contrataciones en roles que "podrían ser reemplazados por IA en 5 años", afectando a aproximadamente 7.800 posiciones de back-office y soporte. Esta declaración fue la primera vez que un CEO de una empresa Fortune 500 cuantificó explícitamente roles a congelar por IA. Fuente: Bloomberg, "IBM to Pause Hiring for Roles That AI Could Do", 1 de mayo de 2023.</w:t>
      </w:r>
    </w:p>
    <w:p>
      <w:pPr>
        <w:pStyle w:val="Heading3"/>
        <w:spacing w:after="60" w:before="200"/>
      </w:pPr>
      <w:r>
        <w:rPr>
          <w:rFonts w:ascii="Arial" w:cs="Arial" w:eastAsia="Arial" w:hAnsi="Arial"/>
          <w:b/>
          <w:bCs/>
          <w:color w:val="5B9BD5"/>
          <w:sz w:val="22"/>
          <w:szCs w:val="22"/>
        </w:rPr>
        <w:t xml:space="preserve">"Forever Layoffs" — Fortune dic. 2025</w:t>
      </w:r>
    </w:p>
    <w:p>
      <w:pPr>
        <w:spacing w:after="80" w:before="60"/>
      </w:pPr>
      <w:r>
        <w:rPr>
          <w:rFonts w:ascii="Arial" w:cs="Arial" w:eastAsia="Arial" w:hAnsi="Arial"/>
          <w:sz w:val="22"/>
          <w:szCs w:val="22"/>
        </w:rPr>
        <w:t xml:space="preserve">Término acuñado por el periodista de Fortune Chip Cutter en diciembre de 2025 para describir el fenómeno donde empresas con buenas ganancias continúan recortando empleados permanentemente, en contraste con los layoffs cíclicos del pasado. El artículo original: Fortune, "The 'Forever Layoffs' Era Has Arrived", diciembre 2025. URL: https://fortune.com/2025/12/09/forever-layoffs-job-security-k-shaped-economy-white-collar-recession-challenger-glassdoor/</w:t>
      </w:r>
    </w:p>
    <w:p>
      <w:pPr>
        <w:spacing w:before="120"/>
      </w:pPr>
    </w:p>
    <w:p>
      <w:pPr>
        <w:pStyle w:val="Heading2"/>
        <w:spacing w:after="80" w:before="280"/>
      </w:pPr>
      <w:r>
        <w:rPr>
          <w:rFonts w:ascii="Arial" w:cs="Arial" w:eastAsia="Arial" w:hAnsi="Arial"/>
          <w:b/>
          <w:bCs/>
          <w:color w:val="2E75B6"/>
          <w:sz w:val="26"/>
          <w:szCs w:val="26"/>
        </w:rPr>
        <w:t xml:space="preserve">4.2 Hiring Trends — Datos específicos</w:t>
      </w:r>
    </w:p>
    <w:p>
      <w:pPr>
        <w:pStyle w:val="Heading3"/>
        <w:spacing w:after="60" w:before="200"/>
      </w:pPr>
      <w:r>
        <w:rPr>
          <w:rFonts w:ascii="Arial" w:cs="Arial" w:eastAsia="Arial" w:hAnsi="Arial"/>
          <w:b/>
          <w:bCs/>
          <w:color w:val="5B9BD5"/>
          <w:sz w:val="22"/>
          <w:szCs w:val="22"/>
        </w:rPr>
        <w:t xml:space="preserve">Posiciones entry-level (EE.UU.): −73%</w:t>
      </w:r>
    </w:p>
    <w:p>
      <w:pPr>
        <w:spacing w:after="80" w:before="60"/>
      </w:pPr>
      <w:r>
        <w:rPr>
          <w:rFonts w:ascii="Arial" w:cs="Arial" w:eastAsia="Arial" w:hAnsi="Arial"/>
          <w:sz w:val="22"/>
          <w:szCs w:val="22"/>
        </w:rPr>
        <w:t xml:space="preserve">Fuente: REZI, "Crisis of Entry-Level Labor in the Age of AI" (2026). URL: https://www.rezi.ai/posts/entry-level-jobs-and-ai-2026-report</w:t>
      </w:r>
    </w:p>
    <w:p>
      <w:pPr>
        <w:spacing w:after="80" w:before="60"/>
      </w:pPr>
      <w:r>
        <w:rPr>
          <w:rFonts w:ascii="Arial" w:cs="Arial" w:eastAsia="Arial" w:hAnsi="Arial"/>
          <w:sz w:val="22"/>
          <w:szCs w:val="22"/>
        </w:rPr>
        <w:t xml:space="preserve">Metodología REZI: analiza job postings en LinkedIn, Indeed y Glassdoor que contienen los términos "entry level", "0-2 years experience", "recent graduate" o similares. La caída del 73% refiere al cambio entre el pico de postings entry-level (aprox. mediados 2022) y el primer trimestre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1F4E79"/>
                <w:sz w:val="20"/>
                <w:szCs w:val="20"/>
              </w:rPr>
              <w:t xml:space="preserve">Limitación importante</w:t>
            </w:r>
          </w:p>
          <w:p>
            <w:pPr>
              <w:spacing w:before="60"/>
            </w:pPr>
            <w:r>
              <w:rPr>
                <w:rFonts w:ascii="Arial" w:cs="Arial" w:eastAsia="Arial" w:hAnsi="Arial"/>
                <w:color w:val="404040"/>
                <w:sz w:val="20"/>
                <w:szCs w:val="20"/>
              </w:rPr>
              <w:t xml:space="preserve">El informe de REZI es producido por una empresa de software de CV, no por una institución académica ni gubernamental. Sus datos son propietarios y difícilmente replicables de forma independiente. Se cita porque no existe una alternativa institucional que mida específicamente el colapso de roles entry-level con ese nivel de detalle. El dato de -73% debe interpretarse con precaución; estudios de BLS y CompTIA confirman la dirección (colapso de entry-level) aunque no la magnitud exacta.</w:t>
            </w:r>
          </w:p>
        </w:tc>
      </w:tr>
    </w:tbl>
    <w:p>
      <w:pPr>
        <w:spacing w:before="120"/>
      </w:pPr>
    </w:p>
    <w:p>
      <w:pPr>
        <w:pStyle w:val="Heading3"/>
        <w:spacing w:after="60" w:before="200"/>
      </w:pPr>
      <w:r>
        <w:rPr>
          <w:rFonts w:ascii="Arial" w:cs="Arial" w:eastAsia="Arial" w:hAnsi="Arial"/>
          <w:b/>
          <w:bCs/>
          <w:color w:val="5B9BD5"/>
          <w:sz w:val="22"/>
          <w:szCs w:val="22"/>
        </w:rPr>
        <w:t xml:space="preserve">Posiciones entry-level en UK (tech): −46% en 2024</w:t>
      </w:r>
    </w:p>
    <w:p>
      <w:pPr>
        <w:spacing w:after="80" w:before="60"/>
      </w:pPr>
      <w:r>
        <w:rPr>
          <w:rFonts w:ascii="Arial" w:cs="Arial" w:eastAsia="Arial" w:hAnsi="Arial"/>
          <w:sz w:val="22"/>
          <w:szCs w:val="22"/>
        </w:rPr>
        <w:t xml:space="preserve">Fuente: TechTarget y reportes de Newsweek sobre el mercado laboral británico tech. La cifra refiere al análisis de postings en el Reino Unido por Reed.co.uk y LinkedIn UK, reportados en medios especializados en 2024. El dato es representativo y consistente con otras fuentes del mercado británico pero no proviene de un organismo gubernamental (como el ONS).</w:t>
      </w:r>
    </w:p>
    <w:p>
      <w:pPr>
        <w:spacing w:after="80" w:before="60"/>
      </w:pPr>
      <w:r>
        <w:rPr>
          <w:rFonts w:ascii="Arial" w:cs="Arial" w:eastAsia="Arial" w:hAnsi="Arial"/>
          <w:sz w:val="22"/>
          <w:szCs w:val="22"/>
        </w:rPr>
        <w:t xml:space="preserve">Referencia: TechTarget, "Tech Job Market Statistics and Outlook 2026". URL: https://www.techtarget.com/whatis/feature/Tech-job-market-statistics-and-outlook</w:t>
      </w:r>
    </w:p>
    <w:p>
      <w:pPr>
        <w:spacing w:before="120"/>
      </w:pPr>
    </w:p>
    <w:p>
      <w:pPr>
        <w:pStyle w:val="Heading2"/>
        <w:spacing w:after="80" w:before="280"/>
      </w:pPr>
      <w:r>
        <w:rPr>
          <w:rFonts w:ascii="Arial" w:cs="Arial" w:eastAsia="Arial" w:hAnsi="Arial"/>
          <w:b/>
          <w:bCs/>
          <w:color w:val="2E75B6"/>
          <w:sz w:val="26"/>
          <w:szCs w:val="26"/>
        </w:rPr>
        <w:t xml:space="preserve">4.3 Datos del Timeline GenAI</w:t>
      </w:r>
    </w:p>
    <w:p>
      <w:pPr>
        <w:pStyle w:val="Heading3"/>
        <w:spacing w:after="60" w:before="200"/>
      </w:pPr>
      <w:r>
        <w:rPr>
          <w:rFonts w:ascii="Arial" w:cs="Arial" w:eastAsia="Arial" w:hAnsi="Arial"/>
          <w:b/>
          <w:bCs/>
          <w:color w:val="5B9BD5"/>
          <w:sz w:val="22"/>
          <w:szCs w:val="22"/>
        </w:rPr>
        <w:t xml:space="preserve">ChatGPT: 1 millón de usuarios en 5 días, 100 millones en 2 meses</w:t>
      </w:r>
    </w:p>
    <w:p>
      <w:pPr>
        <w:spacing w:after="80" w:before="60"/>
      </w:pPr>
      <w:r>
        <w:rPr>
          <w:rFonts w:ascii="Arial" w:cs="Arial" w:eastAsia="Arial" w:hAnsi="Arial"/>
          <w:sz w:val="22"/>
          <w:szCs w:val="22"/>
        </w:rPr>
        <w:t xml:space="preserve">Dato confirmado por OpenAI y reportado por Sam Altman en Twitter/X el 5 de febrero de 2023 (" ChatGPT reached 100 million monthly active users in January, just two months after launch"). La cifra del millón en 5 días fue reportada primero por UBS Research (febrero 2023) y citada ampliamente incluyendo por Reuters y BBC. Ambos datos son los más citados en la literatura sobre adopción de ChatGPT.</w:t>
      </w:r>
    </w:p>
    <w:p>
      <w:pPr>
        <w:pStyle w:val="Heading3"/>
        <w:spacing w:after="60" w:before="200"/>
      </w:pPr>
      <w:r>
        <w:rPr>
          <w:rFonts w:ascii="Arial" w:cs="Arial" w:eastAsia="Arial" w:hAnsi="Arial"/>
          <w:b/>
          <w:bCs/>
          <w:color w:val="5B9BD5"/>
          <w:sz w:val="22"/>
          <w:szCs w:val="22"/>
        </w:rPr>
        <w:t xml:space="preserve">Universidad de Pennsylvania + OpenAI: 80% de la fuerza laboral</w:t>
      </w:r>
    </w:p>
    <w:p>
      <w:pPr>
        <w:spacing w:after="80" w:before="60"/>
      </w:pPr>
      <w:r>
        <w:rPr>
          <w:rFonts w:ascii="Arial" w:cs="Arial" w:eastAsia="Arial" w:hAnsi="Arial"/>
          <w:sz w:val="22"/>
          <w:szCs w:val="22"/>
        </w:rPr>
        <w:t xml:space="preserve">Referencia: Eloundou et al. (2023), "GPTs are GPTs: An Early Look at the Labor Market Impact Potential of Large Language Models", publicado como working paper de la Universidad de Pennsylvania y OpenAI. Disponible en arXiv: https://arxiv.org/abs/2303.10130</w:t>
      </w:r>
    </w:p>
    <w:p>
      <w:pPr>
        <w:spacing w:after="80" w:before="60"/>
      </w:pPr>
      <w:r>
        <w:rPr>
          <w:rFonts w:ascii="Arial" w:cs="Arial" w:eastAsia="Arial" w:hAnsi="Arial"/>
          <w:sz w:val="22"/>
          <w:szCs w:val="22"/>
        </w:rPr>
        <w:t xml:space="preserve">Conclusión exacta del paper: "around 80% of the U.S. workforce could have at least 10% of their work tasks affected by the introduction of LLMs". El informe lo cita correctamente con el calificador "al menos 10% de sus tareas afectadas".</w:t>
      </w:r>
    </w:p>
    <w:p>
      <w:pPr>
        <w:pStyle w:val="Heading3"/>
        <w:spacing w:after="60" w:before="200"/>
      </w:pPr>
      <w:r>
        <w:rPr>
          <w:rFonts w:ascii="Arial" w:cs="Arial" w:eastAsia="Arial" w:hAnsi="Arial"/>
          <w:b/>
          <w:bCs/>
          <w:color w:val="5B9BD5"/>
          <w:sz w:val="22"/>
          <w:szCs w:val="22"/>
        </w:rPr>
        <w:t xml:space="preserve">McKinsey 2025: 62% experimenta con AI agents, 23% ya escala</w:t>
      </w:r>
    </w:p>
    <w:p>
      <w:pPr>
        <w:spacing w:after="80" w:before="60"/>
      </w:pPr>
      <w:r>
        <w:rPr>
          <w:rFonts w:ascii="Arial" w:cs="Arial" w:eastAsia="Arial" w:hAnsi="Arial"/>
          <w:sz w:val="22"/>
          <w:szCs w:val="22"/>
        </w:rPr>
        <w:t xml:space="preserve">Fuente: McKinsey Global Survey on AI, 2025 edition. La encuesta anual de McKinsey sobre adopción de IA en empresas globales reporta que el 62% de las organizaciones están "experimenting with AI agents" y el 23% ya están escalando sistemas agénticos en al menos una función de negocio. Fuente compilada en: https://research.aimultiple.com/ai-job-loss/</w:t>
      </w:r>
    </w:p>
    <w:p>
      <w:pPr>
        <w:spacing w:before="120"/>
      </w:pPr>
    </w:p>
    <w:p>
      <w:pPr>
        <w:pStyle w:val="Heading2"/>
        <w:spacing w:after="80" w:before="280"/>
      </w:pPr>
      <w:r>
        <w:rPr>
          <w:rFonts w:ascii="Arial" w:cs="Arial" w:eastAsia="Arial" w:hAnsi="Arial"/>
          <w:b/>
          <w:bCs/>
          <w:color w:val="2E75B6"/>
          <w:sz w:val="26"/>
          <w:szCs w:val="26"/>
        </w:rPr>
        <w:t xml:space="preserve">4.4 Razones de layoffs — Gráfico 6 (datos estimativos)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1F4E79"/>
                <w:sz w:val="20"/>
                <w:szCs w:val="20"/>
              </w:rPr>
              <w:t xml:space="preserve">Naturaleza de este gráfico: estimación cualitativa</w:t>
            </w:r>
          </w:p>
          <w:p>
            <w:pPr>
              <w:spacing w:before="60"/>
            </w:pPr>
            <w:r>
              <w:rPr>
                <w:rFonts w:ascii="Arial" w:cs="Arial" w:eastAsia="Arial" w:hAnsi="Arial"/>
                <w:color w:val="404040"/>
                <w:sz w:val="20"/>
                <w:szCs w:val="20"/>
              </w:rPr>
              <w:t xml:space="preserve">El gráfico de barras apiladas sobre "Razones declaradas para layoffs" NO representa datos de encuestas ni datasets estadísticos. Es una estimación cualitativa construida a partir del análisis de comunicados corporativos, cobertura periodística y los reportes de Challenger (que sí captura la razón declarada cuando las empresas la especifican). Los porcentajes deben interpretarse como órdenes de magnitud, no como mediciones exactas.</w:t>
            </w:r>
          </w:p>
        </w:tc>
      </w:tr>
    </w:tbl>
    <w:p>
      <w:pPr>
        <w:spacing w:before="120"/>
      </w:pPr>
    </w:p>
    <w:p>
      <w:pPr>
        <w:spacing w:after="80" w:before="60"/>
      </w:pPr>
      <w:r>
        <w:rPr>
          <w:rFonts w:ascii="Arial" w:cs="Arial" w:eastAsia="Arial" w:hAnsi="Arial"/>
          <w:sz w:val="22"/>
          <w:szCs w:val="22"/>
        </w:rPr>
        <w:t xml:space="preserve">Metodología de construcción del gráfico:</w:t>
      </w:r>
    </w:p>
    <w:p>
      <w:pPr>
        <w:pStyle w:val="ListParagraph"/>
        <w:numPr>
          <w:ilvl w:val="0"/>
          <w:numId w:val="2"/>
        </w:numPr>
        <w:spacing w:after="40" w:before="40"/>
      </w:pPr>
      <w:r>
        <w:rPr>
          <w:rFonts w:ascii="Arial" w:cs="Arial" w:eastAsia="Arial" w:hAnsi="Arial"/>
          <w:sz w:val="22"/>
          <w:szCs w:val="22"/>
        </w:rPr>
        <w:t xml:space="preserve">2022: El grueso de los layoffs fue atribuido explícitamente a sobrecontratación (Meta, Twitter, Stripe lo citaron) y al endurecimiento monetario de la Fed. Challenger reportó que sólo un 5% de anuncios citaba IA.</w:t>
      </w:r>
    </w:p>
    <w:p>
      <w:pPr>
        <w:pStyle w:val="ListParagraph"/>
        <w:numPr>
          <w:ilvl w:val="0"/>
          <w:numId w:val="2"/>
        </w:numPr>
        <w:spacing w:after="40" w:before="40"/>
      </w:pPr>
      <w:r>
        <w:rPr>
          <w:rFonts w:ascii="Arial" w:cs="Arial" w:eastAsia="Arial" w:hAnsi="Arial"/>
          <w:sz w:val="22"/>
          <w:szCs w:val="22"/>
        </w:rPr>
        <w:t xml:space="preserve">2023: Challenger empezó a distinguir razones; los anuncios que citan IA aumentaron a un 12% estimado. La mayoría continuó citando macro/pandemia. IBM fue el caso icónico de IA.</w:t>
      </w:r>
    </w:p>
    <w:p>
      <w:pPr>
        <w:pStyle w:val="ListParagraph"/>
        <w:numPr>
          <w:ilvl w:val="0"/>
          <w:numId w:val="2"/>
        </w:numPr>
        <w:spacing w:after="40" w:before="40"/>
      </w:pPr>
      <w:r>
        <w:rPr>
          <w:rFonts w:ascii="Arial" w:cs="Arial" w:eastAsia="Arial" w:hAnsi="Arial"/>
          <w:sz w:val="22"/>
          <w:szCs w:val="22"/>
        </w:rPr>
        <w:t xml:space="preserve">2024: Challenger reportó que los anuncios citando IA crecieron; Klarna, Duolingo, y otros casos hicieron pública la IA como razón. Estimación: 28% del volumen de anuncios.</w:t>
      </w:r>
    </w:p>
    <w:p>
      <w:pPr>
        <w:pStyle w:val="ListParagraph"/>
        <w:numPr>
          <w:ilvl w:val="0"/>
          <w:numId w:val="2"/>
        </w:numPr>
        <w:spacing w:after="40" w:before="40"/>
      </w:pPr>
      <w:r>
        <w:rPr>
          <w:rFonts w:ascii="Arial" w:cs="Arial" w:eastAsia="Arial" w:hAnsi="Arial"/>
          <w:sz w:val="22"/>
          <w:szCs w:val="22"/>
        </w:rPr>
        <w:t xml:space="preserve">2025: 54.836 de 1.206.000 anuncios = 4,5% pero de mayor impacto mediatico. El peso relativo en despidos tech es mayor (~45%).</w:t>
      </w:r>
    </w:p>
    <w:p>
      <w:pPr>
        <w:pStyle w:val="ListParagraph"/>
        <w:numPr>
          <w:ilvl w:val="0"/>
          <w:numId w:val="2"/>
        </w:numPr>
        <w:spacing w:after="40" w:before="40"/>
      </w:pPr>
      <w:r>
        <w:rPr>
          <w:rFonts w:ascii="Arial" w:cs="Arial" w:eastAsia="Arial" w:hAnsi="Arial"/>
          <w:sz w:val="22"/>
          <w:szCs w:val="22"/>
        </w:rPr>
        <w:t xml:space="preserve">2026 (est.): extrapolación de la tendencia 2025.</w:t>
      </w:r>
    </w:p>
    <w:p>
      <w:pPr>
        <w:spacing w:after="80" w:before="60"/>
      </w:pPr>
      <w:r>
        <w:rPr>
          <w:rFonts w:ascii="Arial" w:cs="Arial" w:eastAsia="Arial" w:hAnsi="Arial"/>
          <w:sz w:val="22"/>
          <w:szCs w:val="22"/>
        </w:rPr>
        <w:t xml:space="preserve">Fuente de ancla: Challenger, Gray &amp; Christmas Year-End 2025 Report (dato de 54.836 con razón IA explícita). El resto es construcción analítica sobre noticias verificadas.</w:t>
      </w:r>
    </w:p>
    <w:p>
      <w:pPr>
        <w:spacing w:before="120"/>
      </w:pPr>
    </w:p>
    <w:p>
      <w:r>
        <w:br w:type="page"/>
      </w:r>
    </w:p>
    <w:p>
      <w:pPr>
        <w:pStyle w:val="Heading1"/>
        <w:spacing w:after="120" w:before="360"/>
      </w:pPr>
      <w:r>
        <w:rPr>
          <w:rFonts w:ascii="Arial" w:cs="Arial" w:eastAsia="Arial" w:hAnsi="Arial"/>
          <w:b/>
          <w:bCs/>
          <w:color w:val="1F4E79"/>
          <w:sz w:val="32"/>
          <w:szCs w:val="32"/>
        </w:rPr>
        <w:t xml:space="preserve">5. Trazabilidad de las proyecciones</w:t>
      </w:r>
    </w:p>
    <w:p>
      <w:pPr>
        <w:pStyle w:val="Heading2"/>
        <w:spacing w:after="80" w:before="280"/>
      </w:pPr>
      <w:r>
        <w:rPr>
          <w:rFonts w:ascii="Arial" w:cs="Arial" w:eastAsia="Arial" w:hAnsi="Arial"/>
          <w:b/>
          <w:bCs/>
          <w:color w:val="2E75B6"/>
          <w:sz w:val="26"/>
          <w:szCs w:val="26"/>
        </w:rPr>
        <w:t xml:space="preserve">5.1 WEF Future of Jobs Report 2025</w:t>
      </w:r>
    </w:p>
    <w:p>
      <w:pPr>
        <w:spacing w:after="80" w:before="60"/>
      </w:pPr>
      <w:r>
        <w:rPr>
          <w:rFonts w:ascii="Arial" w:cs="Arial" w:eastAsia="Arial" w:hAnsi="Arial"/>
          <w:sz w:val="22"/>
          <w:szCs w:val="22"/>
        </w:rPr>
        <w:t xml:space="preserve">El World Economic Forum publica cada dos años el "Future of Jobs Report". La edición 2025 es la fuente primaria para las proyecciones de mediano plazo del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Atributo</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URL</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https://reports.weforum.org/docs/WEF_Four_Futures_for_Jobs_in_the_New_Economy_AI_and_Talent_in_2030_2025.pdf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Metodología WEF</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Encuesta a 1.000+ empleadores globales representando 14M+ trabajadores; modelado económico</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Proyección usada</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92M empleos desplazados; 170M creados; neto +78M hacia 2030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14% de trabajadores cambiarán carrera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Estimación basada en encuesta WEF + McKinsey MGI</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Limitación</w:t>
            </w:r>
          </w:p>
        </w:tc>
        <w:tc>
          <w:tcPr>
            <w:tcW w:type="dxa" w:w="6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Encuesta a empleadores (no trabajadores); sesgo hacia grandes corporaciones</w:t>
            </w:r>
          </w:p>
        </w:tc>
      </w:tr>
    </w:tbl>
    <w:p>
      <w:pPr>
        <w:spacing w:before="120"/>
      </w:pPr>
    </w:p>
    <w:p>
      <w:pPr>
        <w:spacing w:after="80" w:before="60"/>
      </w:pPr>
      <w:r>
        <w:rPr>
          <w:rFonts w:ascii="Arial" w:cs="Arial" w:eastAsia="Arial" w:hAnsi="Arial"/>
          <w:sz w:val="22"/>
          <w:szCs w:val="22"/>
        </w:rPr>
        <w:t xml:space="preserve">Dato "neto +78M empleos": WEF estima 170M empleos creados − 92M desplazados = 78M neto positivo. Sin embargo, el informe del WEF mismo subraya que los empleos creados son de naturaleza diferente (más técnicos, verdes, care economy) a los destruidos (administrativos, contabilidad, entrada de datos).</w:t>
      </w:r>
    </w:p>
    <w:p>
      <w:pPr>
        <w:pStyle w:val="Heading2"/>
        <w:spacing w:after="80" w:before="280"/>
      </w:pPr>
      <w:r>
        <w:rPr>
          <w:rFonts w:ascii="Arial" w:cs="Arial" w:eastAsia="Arial" w:hAnsi="Arial"/>
          <w:b/>
          <w:bCs/>
          <w:color w:val="2E75B6"/>
          <w:sz w:val="26"/>
          <w:szCs w:val="26"/>
        </w:rPr>
        <w:t xml:space="preserve">5.2 McKinsey Global Institute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Dato proyectado</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Valor</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Fuente McKinsey</w:t>
            </w:r>
          </w:p>
        </w:tc>
      </w:tr>
      <w:tr>
        <w:tc>
          <w:tcPr>
            <w:tcW w:type="dxa" w:w="3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Horas de trabajo en EE.UU. automatizables para 2030</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30%</w:t>
            </w:r>
          </w:p>
        </w:tc>
        <w:tc>
          <w:tcPr>
            <w:tcW w:type="dxa" w:w="44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McKinsey MGI, "The Future of Work After COVID-19" + update 2023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Trabajadores globales que deberán cambiar carrera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14%</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McKinsey MGI "Jobs Lost, Jobs Gained" + WEF 2025</w:t>
            </w:r>
          </w:p>
        </w:tc>
      </w:tr>
      <w:tr>
        <w:tc>
          <w:tcPr>
            <w:tcW w:type="dxa" w:w="3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Horas laborales actuales automatizables hoy</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57%</w:t>
            </w:r>
          </w:p>
        </w:tc>
        <w:tc>
          <w:tcPr>
            <w:tcW w:type="dxa" w:w="44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McKinsey MGI "Generative AI and the Future of Work" 2023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Ventaja de productividad para adopters IA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15–40%</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McKinsey Global Survey on AI 2024-2025</w:t>
            </w:r>
          </w:p>
        </w:tc>
      </w:tr>
      <w:tr>
        <w:tc>
          <w:tcPr>
            <w:tcW w:type="dxa" w:w="3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Productividad empresas con IA: +15-20%</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15–20%</w:t>
            </w:r>
          </w:p>
        </w:tc>
        <w:tc>
          <w:tcPr>
            <w:tcW w:type="dxa" w:w="44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McKinsey Tech Report 2025 (estimación por sector)</w:t>
            </w:r>
          </w:p>
        </w:tc>
      </w:tr>
    </w:tbl>
    <w:p>
      <w:pPr>
        <w:spacing w:before="120"/>
      </w:pPr>
    </w:p>
    <w:p>
      <w:pPr>
        <w:spacing w:after="60" w:before="40"/>
      </w:pPr>
      <w:r>
        <w:rPr>
          <w:rFonts w:ascii="Arial" w:cs="Arial" w:eastAsia="Arial" w:hAnsi="Arial"/>
          <w:i/>
          <w:iCs/>
          <w:color w:val="595959"/>
          <w:sz w:val="18"/>
          <w:szCs w:val="18"/>
        </w:rPr>
        <w:t xml:space="preserve">El dato "57% de horas laborales automatizables" (McKinsey) se refiere a la capacidad técnica de automatización de las tecnologías actuales, no al desplazamiento proyectado que ocurrirá. Es una medida del potencial máximo teórico, no de la adopción esperada.</w:t>
      </w:r>
    </w:p>
    <w:p>
      <w:pPr>
        <w:pStyle w:val="Heading2"/>
        <w:spacing w:after="80" w:before="280"/>
      </w:pPr>
      <w:r>
        <w:rPr>
          <w:rFonts w:ascii="Arial" w:cs="Arial" w:eastAsia="Arial" w:hAnsi="Arial"/>
          <w:b/>
          <w:bCs/>
          <w:color w:val="2E75B6"/>
          <w:sz w:val="26"/>
          <w:szCs w:val="26"/>
        </w:rPr>
        <w:t xml:space="preserve">5.3 Goldman Sachs Research</w:t>
      </w:r>
    </w:p>
    <w:p>
      <w:pPr>
        <w:spacing w:after="80" w:before="60"/>
      </w:pPr>
      <w:r>
        <w:rPr>
          <w:rFonts w:ascii="Arial" w:cs="Arial" w:eastAsia="Arial" w:hAnsi="Arial"/>
          <w:sz w:val="22"/>
          <w:szCs w:val="22"/>
        </w:rPr>
        <w:t xml:space="preserve">Paper de referencia: Briggs, J. &amp; Kodnani, D. (2023). "The Potentially Large Effects of Artificial Intelligence on Economic Growth". Goldman Sachs Economic Research, marzo 2023.</w:t>
      </w:r>
    </w:p>
    <w:p>
      <w:pPr>
        <w:spacing w:after="80" w:before="60"/>
      </w:pPr>
      <w:r>
        <w:rPr>
          <w:rFonts w:ascii="Arial" w:cs="Arial" w:eastAsia="Arial" w:hAnsi="Arial"/>
          <w:sz w:val="22"/>
          <w:szCs w:val="22"/>
        </w:rPr>
        <w:t xml:space="preserve">Dato clave: la IA generativa podría "expose" aproximadamente 300 millones de empleos equivalentes full-time a nivel global a la automatización. "Expose" significa que más del 50% de las tareas del rol pueden ser realizadas por IA. El paper estima que 2/3 de los empleos existentes en EE.UU. y Europa están "exposed" en algún grado.</w:t>
      </w:r>
    </w:p>
    <w:p>
      <w:pPr>
        <w:spacing w:after="80" w:before="60"/>
      </w:pPr>
      <w:r>
        <w:rPr>
          <w:rFonts w:ascii="Arial" w:cs="Arial" w:eastAsia="Arial" w:hAnsi="Arial"/>
          <w:sz w:val="22"/>
          <w:szCs w:val="22"/>
        </w:rPr>
        <w:t xml:space="preserve">Nota: Goldman Sachs también proyecta que la IA podría incrementar el GDP global en un 7% en 10 años, lo que implicaría creación de nuevos empleos. El dato de 300M es el lado del desplazamiento, no la foto completa del modelo.</w:t>
      </w:r>
    </w:p>
    <w:p>
      <w:pPr>
        <w:spacing w:before="120"/>
      </w:pPr>
    </w:p>
    <w:p>
      <w:pPr>
        <w:pStyle w:val="Heading2"/>
        <w:spacing w:after="80" w:before="280"/>
      </w:pPr>
      <w:r>
        <w:rPr>
          <w:rFonts w:ascii="Arial" w:cs="Arial" w:eastAsia="Arial" w:hAnsi="Arial"/>
          <w:b/>
          <w:bCs/>
          <w:color w:val="2E75B6"/>
          <w:sz w:val="26"/>
          <w:szCs w:val="26"/>
        </w:rPr>
        <w:t xml:space="preserve">5.4 Gráfico 7: Proyección cuantitativa (2026–2035)</w:t>
      </w:r>
    </w:p>
    <w:p>
      <w:pPr>
        <w:spacing w:after="80" w:before="60"/>
      </w:pPr>
      <w:r>
        <w:rPr>
          <w:rFonts w:ascii="Arial" w:cs="Arial" w:eastAsia="Arial" w:hAnsi="Arial"/>
          <w:sz w:val="22"/>
          <w:szCs w:val="22"/>
        </w:rPr>
        <w:t xml:space="preserve">Los datos históricos del gráfico de proyección (2022–2026) provienen de layoffs.fyi. Las proyecciones (2027–2035) son construcciones propias basadas en los rangos y tendencias documentados en las fuentes institucionales arriba citadas, siguiendo esta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Escenario</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Asunción central</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Fuentes base</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Escenario base</w:t>
            </w:r>
          </w:p>
        </w:tc>
        <w:tc>
          <w:tcPr>
            <w:tcW w:type="dxa" w:w="4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Adopción IA continua moderada; regulación parcial; re-skilling efectivo en ~50% de casos</w:t>
            </w:r>
          </w:p>
        </w:tc>
        <w:tc>
          <w:tcPr>
            <w:tcW w:type="dxa" w:w="2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WEF 2025, McKinsey MGI, CompTIA 2026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Escenario optimista</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Regulación activa, re-skilling masivo exitoso, nuevas categorías laborales emergen rápidamente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WEF escenario "best case", OECD optimistic</w:t>
            </w:r>
          </w:p>
        </w:tc>
      </w:tr>
      <w:tr>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Escenario pesimista</w:t>
            </w:r>
          </w:p>
        </w:tc>
        <w:tc>
          <w:tcPr>
            <w:tcW w:type="dxa" w:w="4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AGI narrow 2028-2030, adopción acelerada, re-skilling fracasa, recesión global</w:t>
            </w:r>
          </w:p>
        </w:tc>
        <w:tc>
          <w:tcPr>
            <w:tcW w:type="dxa" w:w="28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McKinsey "disruption" scenario, OECD worst case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b/>
                <w:bCs/>
                <w:color w:val="1F4E79"/>
                <w:sz w:val="20"/>
                <w:szCs w:val="20"/>
              </w:rPr>
              <w:t xml:space="preserve">Las proyecciones no son predicciones</w:t>
            </w:r>
          </w:p>
          <w:p>
            <w:pPr>
              <w:spacing w:before="60"/>
            </w:pPr>
            <w:r>
              <w:rPr>
                <w:rFonts w:ascii="Arial" w:cs="Arial" w:eastAsia="Arial" w:hAnsi="Arial"/>
                <w:color w:val="404040"/>
                <w:sz w:val="20"/>
                <w:szCs w:val="20"/>
              </w:rPr>
              <w:t xml:space="preserve">Los números del gráfico de proyección son escenarios ilustrativos, no pronósticos. Ningún modelo económico puede predecir con precisión el impacto laboral de la IA a 10 años. Los valores son consistentes con los rangos publicados por WEF, McKinsey y Goldman Sachs, pero la incertidumbre crece exponencialmente después de 2028.</w:t>
            </w:r>
          </w:p>
        </w:tc>
      </w:tr>
    </w:tbl>
    <w:p>
      <w:pPr>
        <w:spacing w:before="120"/>
      </w:pPr>
    </w:p>
    <w:p>
      <w:r>
        <w:br w:type="page"/>
      </w:r>
    </w:p>
    <w:p>
      <w:pPr>
        <w:pStyle w:val="Heading1"/>
        <w:spacing w:after="120" w:before="360"/>
      </w:pPr>
      <w:r>
        <w:rPr>
          <w:rFonts w:ascii="Arial" w:cs="Arial" w:eastAsia="Arial" w:hAnsi="Arial"/>
          <w:b/>
          <w:bCs/>
          <w:color w:val="1F4E79"/>
          <w:sz w:val="32"/>
          <w:szCs w:val="32"/>
        </w:rPr>
        <w:t xml:space="preserve">6. Nota metodológica general y limitaciones</w:t>
      </w:r>
    </w:p>
    <w:p>
      <w:pPr>
        <w:pStyle w:val="Heading2"/>
        <w:spacing w:after="80" w:before="280"/>
      </w:pPr>
      <w:r>
        <w:rPr>
          <w:rFonts w:ascii="Arial" w:cs="Arial" w:eastAsia="Arial" w:hAnsi="Arial"/>
          <w:b/>
          <w:bCs/>
          <w:color w:val="2E75B6"/>
          <w:sz w:val="26"/>
          <w:szCs w:val="26"/>
        </w:rPr>
        <w:t xml:space="preserve">6.1 Problema de comparación entre trackers</w:t>
      </w:r>
    </w:p>
    <w:p>
      <w:pPr>
        <w:spacing w:after="80" w:before="60"/>
      </w:pPr>
      <w:r>
        <w:rPr>
          <w:rFonts w:ascii="Arial" w:cs="Arial" w:eastAsia="Arial" w:hAnsi="Arial"/>
          <w:sz w:val="22"/>
          <w:szCs w:val="22"/>
        </w:rPr>
        <w:t xml:space="preserve">Los distintos trackers de layoffs miden cosas diferentes: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Tracker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Qué mide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Cobertura</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Cifra 2025</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layoffs.fyi</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Despidos en empresas tech (global)</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Tech only</w:t>
            </w:r>
          </w:p>
        </w:tc>
        <w:tc>
          <w:tcPr>
            <w:tcW w:type="dxa" w:w="2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~246K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Challenger Gray &amp; Christmas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Anuncios de recorte (todos los sectores, EE.UU.)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sectors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1.206K</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TrueUp.io</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Empresas tech que confirmaron despidos</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Tech only</w:t>
            </w:r>
          </w:p>
        </w:tc>
        <w:tc>
          <w:tcPr>
            <w:tcW w:type="dxa" w:w="2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~230K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Crunchbase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Startups y scale-ups con funding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Tech + startups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Variable</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BLS Mass Layoff Statistics</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Despidos efectivos &gt;50 personas (mensual)</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All sectors, EE.UU.</w:t>
            </w:r>
          </w:p>
        </w:tc>
        <w:tc>
          <w:tcPr>
            <w:tcW w:type="dxa" w:w="2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sz w:val="18"/>
                <w:szCs w:val="18"/>
              </w:rPr>
              <w:t xml:space="preserve">No es anual</w:t>
            </w:r>
          </w:p>
        </w:tc>
      </w:tr>
    </w:tbl>
    <w:p>
      <w:pPr>
        <w:spacing w:before="120"/>
      </w:pPr>
    </w:p>
    <w:p>
      <w:pPr>
        <w:spacing w:after="80" w:before="60"/>
      </w:pPr>
      <w:r>
        <w:rPr>
          <w:rFonts w:ascii="Arial" w:cs="Arial" w:eastAsia="Arial" w:hAnsi="Arial"/>
          <w:sz w:val="22"/>
          <w:szCs w:val="22"/>
        </w:rPr>
        <w:t xml:space="preserve">Esta heterogeneidad explica por qué el informe advierte "los distintos trackers pueden diferir en ±15-20%". La decisión metodológica fue usar layoffs.fyi como tracker primario para datos de tecnología (mayor granularidad histórica) y Challenger para el panorama general white collar (mayor rigor institucional).</w:t>
      </w:r>
    </w:p>
    <w:p>
      <w:pPr>
        <w:pStyle w:val="Heading2"/>
        <w:spacing w:after="80" w:before="280"/>
      </w:pPr>
      <w:r>
        <w:rPr>
          <w:rFonts w:ascii="Arial" w:cs="Arial" w:eastAsia="Arial" w:hAnsi="Arial"/>
          <w:b/>
          <w:bCs/>
          <w:color w:val="2E75B6"/>
          <w:sz w:val="26"/>
          <w:szCs w:val="26"/>
        </w:rPr>
        <w:t xml:space="preserve">6.2 Definición de "white collar"</w:t>
      </w:r>
    </w:p>
    <w:p>
      <w:pPr>
        <w:spacing w:after="80" w:before="60"/>
      </w:pPr>
      <w:r>
        <w:rPr>
          <w:rFonts w:ascii="Arial" w:cs="Arial" w:eastAsia="Arial" w:hAnsi="Arial"/>
          <w:sz w:val="22"/>
          <w:szCs w:val="22"/>
        </w:rPr>
        <w:t xml:space="preserve">El término "white collar" no tiene una definición oficial única en las estadísticas laborales. El informe lo usa de manera consistente con la literatura periodística reciente (Fortune, CNBC, WSJ) para referirse a trabajadores de oficina, profesionales y managers en sectores como: tecnología, finanzas, consultoría, media, marketing, recursos humanos, legal y administración corporativa.</w:t>
      </w:r>
    </w:p>
    <w:p>
      <w:pPr>
        <w:spacing w:after="80" w:before="60"/>
      </w:pPr>
      <w:r>
        <w:rPr>
          <w:rFonts w:ascii="Arial" w:cs="Arial" w:eastAsia="Arial" w:hAnsi="Arial"/>
          <w:sz w:val="22"/>
          <w:szCs w:val="22"/>
        </w:rPr>
        <w:t xml:space="preserve">Para las estadísticas del BLS se aproxima con los sectores NAICS: Information (51), Finance and Insurance (52), Professional, Scientific and Technical Services (54), Management of Companies (55), Administrative Support (56).</w:t>
      </w:r>
    </w:p>
    <w:p>
      <w:pPr>
        <w:pStyle w:val="Heading2"/>
        <w:spacing w:after="80" w:before="280"/>
      </w:pPr>
      <w:r>
        <w:rPr>
          <w:rFonts w:ascii="Arial" w:cs="Arial" w:eastAsia="Arial" w:hAnsi="Arial"/>
          <w:b/>
          <w:bCs/>
          <w:color w:val="2E75B6"/>
          <w:sz w:val="26"/>
          <w:szCs w:val="26"/>
        </w:rPr>
        <w:t xml:space="preserve">6.3 Causalidad vs correlación en IA-layoffs</w:t>
      </w:r>
    </w:p>
    <w:p>
      <w:pPr>
        <w:spacing w:after="80" w:before="60"/>
      </w:pPr>
      <w:r>
        <w:rPr>
          <w:rFonts w:ascii="Arial" w:cs="Arial" w:eastAsia="Arial" w:hAnsi="Arial"/>
          <w:sz w:val="22"/>
          <w:szCs w:val="22"/>
        </w:rPr>
        <w:t xml:space="preserve">El informe establece explícitamente que "los hitos de la IA no causan layoffs de forma inmediata — actúan como catalizadores de decisiones estratégicas con lag de 3-12 meses". Esta es una afirmación cualitativa basada en el análisis de la secuencia cronológica, no en un modelo econométrico formal. No existe (hasta la fecha de elaboración de este documento) un estudio de causalidad estadística robusta entre hitos específicos de IA y decisiones de layoff en empresas individuales.</w:t>
      </w:r>
    </w:p>
    <w:p>
      <w:pPr>
        <w:spacing w:after="80" w:before="60"/>
      </w:pPr>
      <w:r>
        <w:rPr>
          <w:rFonts w:ascii="Arial" w:cs="Arial" w:eastAsia="Arial" w:hAnsi="Arial"/>
          <w:sz w:val="22"/>
          <w:szCs w:val="22"/>
        </w:rPr>
        <w:t xml:space="preserve">Lo que sí está documentado y es verificable: el aumento del porcentaje de anuncios de recorte que citan explícitamente a la IA como razón (Challenger), y la coincidencia temporal entre lanzamientos de modelos y picos de layoffs.</w:t>
      </w:r>
    </w:p>
    <w:p>
      <w:pPr>
        <w:pStyle w:val="Heading2"/>
        <w:spacing w:after="80" w:before="280"/>
      </w:pPr>
      <w:r>
        <w:rPr>
          <w:rFonts w:ascii="Arial" w:cs="Arial" w:eastAsia="Arial" w:hAnsi="Arial"/>
          <w:b/>
          <w:bCs/>
          <w:color w:val="2E75B6"/>
          <w:sz w:val="26"/>
          <w:szCs w:val="26"/>
        </w:rPr>
        <w:t xml:space="preserve">6.4 Alcance geográfico</w:t>
      </w:r>
    </w:p>
    <w:p>
      <w:pPr>
        <w:spacing w:after="80" w:before="60"/>
      </w:pPr>
      <w:r>
        <w:rPr>
          <w:rFonts w:ascii="Arial" w:cs="Arial" w:eastAsia="Arial" w:hAnsi="Arial"/>
          <w:sz w:val="22"/>
          <w:szCs w:val="22"/>
        </w:rPr>
        <w:t xml:space="preserve">La mayoría de los datos del informe son de EE.UU. o globales con sesgo hacia EE.UU. y Europa. Los datos de layoffs.fyi tienen cobertura global pero con mayor densidad en Silicon Valley, Seattle, Nueva York y hubs tecnológicos europeos. Los mercados emergentes (incluyendo Latinoamérica) están sub-representados en los datos pero sobre-representados en las proyecciones de riesgo (WEF, McKinsey).</w:t>
      </w:r>
    </w:p>
    <w:p>
      <w:pPr>
        <w:spacing w:before="120"/>
      </w:pPr>
    </w:p>
    <w:p>
      <w:r>
        <w:br w:type="page"/>
      </w:r>
    </w:p>
    <w:p>
      <w:pPr>
        <w:pStyle w:val="Heading1"/>
        <w:spacing w:after="120" w:before="360"/>
      </w:pPr>
      <w:r>
        <w:rPr>
          <w:rFonts w:ascii="Arial" w:cs="Arial" w:eastAsia="Arial" w:hAnsi="Arial"/>
          <w:b/>
          <w:bCs/>
          <w:color w:val="1F4E79"/>
          <w:sz w:val="32"/>
          <w:szCs w:val="32"/>
        </w:rPr>
        <w:t xml:space="preserve">7. Índice completo de fuentes</w:t>
      </w:r>
    </w:p>
    <w:p>
      <w:pPr>
        <w:pStyle w:val="Heading2"/>
        <w:spacing w:after="80" w:before="280"/>
      </w:pPr>
      <w:r>
        <w:rPr>
          <w:rFonts w:ascii="Arial" w:cs="Arial" w:eastAsia="Arial" w:hAnsi="Arial"/>
          <w:b/>
          <w:bCs/>
          <w:color w:val="2E75B6"/>
          <w:sz w:val="26"/>
          <w:szCs w:val="26"/>
        </w:rPr>
        <w:t xml:space="preserve">7.1 Fuentes primarias (datasets y trackers)</w:t>
      </w:r>
    </w:p>
    <w:p>
      <w:pPr>
        <w:pStyle w:val="ListParagraph"/>
        <w:numPr>
          <w:ilvl w:val="0"/>
          <w:numId w:val="3"/>
        </w:numPr>
        <w:spacing w:after="40" w:before="40"/>
      </w:pPr>
      <w:hyperlink w:history="1" r:id="rIdtm6plcj9ookbdvhjxgbsv">
        <w:r>
          <w:rPr>
            <w:rFonts w:ascii="Arial" w:cs="Arial" w:eastAsia="Arial" w:hAnsi="Arial"/>
            <w:color w:val="2E75B6"/>
            <w:sz w:val="20"/>
            <w:szCs w:val="20"/>
            <w:u w:val="single"/>
          </w:rPr>
          <w:t xml:space="preserve">layoffs.fyi — Tech Layoff Tracker</w:t>
        </w:r>
      </w:hyperlink>
    </w:p>
    <w:p>
      <w:pPr>
        <w:pStyle w:val="ListParagraph"/>
        <w:numPr>
          <w:ilvl w:val="0"/>
          <w:numId w:val="3"/>
        </w:numPr>
        <w:spacing w:after="40" w:before="40"/>
      </w:pPr>
      <w:hyperlink w:history="1" r:id="rIdehsvm_efs7brvbn7wwbyt">
        <w:r>
          <w:rPr>
            <w:rFonts w:ascii="Arial" w:cs="Arial" w:eastAsia="Arial" w:hAnsi="Arial"/>
            <w:color w:val="2E75B6"/>
            <w:sz w:val="20"/>
            <w:szCs w:val="20"/>
            <w:u w:val="single"/>
          </w:rPr>
          <w:t xml:space="preserve">Challenger, Gray &amp; Christmas — Year-End 2025 Job Cut Report</w:t>
        </w:r>
      </w:hyperlink>
    </w:p>
    <w:p>
      <w:pPr>
        <w:pStyle w:val="ListParagraph"/>
        <w:numPr>
          <w:ilvl w:val="0"/>
          <w:numId w:val="3"/>
        </w:numPr>
        <w:spacing w:after="40" w:before="40"/>
      </w:pPr>
      <w:hyperlink w:history="1" r:id="rIdepjojpcs-xgdqwgiphzsn">
        <w:r>
          <w:rPr>
            <w:rFonts w:ascii="Arial" w:cs="Arial" w:eastAsia="Arial" w:hAnsi="Arial"/>
            <w:color w:val="2E75B6"/>
            <w:sz w:val="20"/>
            <w:szCs w:val="20"/>
            <w:u w:val="single"/>
          </w:rPr>
          <w:t xml:space="preserve">Indeed Hiring Lab — The US Tech Hiring Freeze Continues (julio 2025)</w:t>
        </w:r>
      </w:hyperlink>
    </w:p>
    <w:p>
      <w:pPr>
        <w:pStyle w:val="ListParagraph"/>
        <w:numPr>
          <w:ilvl w:val="0"/>
          <w:numId w:val="3"/>
        </w:numPr>
        <w:spacing w:after="40" w:before="40"/>
      </w:pPr>
      <w:hyperlink w:history="1" r:id="rIdijvnskkztxgnh8riyicqf">
        <w:r>
          <w:rPr>
            <w:rFonts w:ascii="Arial" w:cs="Arial" w:eastAsia="Arial" w:hAnsi="Arial"/>
            <w:color w:val="2E75B6"/>
            <w:sz w:val="20"/>
            <w:szCs w:val="20"/>
            <w:u w:val="single"/>
          </w:rPr>
          <w:t xml:space="preserve">Indeed Hiring Lab — Jobs Mentioning AI Growing (enero 2026)</w:t>
        </w:r>
      </w:hyperlink>
    </w:p>
    <w:p>
      <w:pPr>
        <w:pStyle w:val="ListParagraph"/>
        <w:numPr>
          <w:ilvl w:val="0"/>
          <w:numId w:val="3"/>
        </w:numPr>
        <w:spacing w:after="40" w:before="40"/>
      </w:pPr>
      <w:hyperlink w:history="1" r:id="rId8nqtbtlw9r13kcq_u9rqr">
        <w:r>
          <w:rPr>
            <w:rFonts w:ascii="Arial" w:cs="Arial" w:eastAsia="Arial" w:hAnsi="Arial"/>
            <w:color w:val="2E75B6"/>
            <w:sz w:val="20"/>
            <w:szCs w:val="20"/>
            <w:u w:val="single"/>
          </w:rPr>
          <w:t xml:space="preserve">BLS/JOLTS — Job Openings and Labor Turnover Survey</w:t>
        </w:r>
      </w:hyperlink>
    </w:p>
    <w:p>
      <w:pPr>
        <w:pStyle w:val="ListParagraph"/>
        <w:numPr>
          <w:ilvl w:val="0"/>
          <w:numId w:val="3"/>
        </w:numPr>
        <w:spacing w:after="40" w:before="40"/>
      </w:pPr>
      <w:hyperlink w:history="1" r:id="rIdyt-ghxlwycutq18gf5prd">
        <w:r>
          <w:rPr>
            <w:rFonts w:ascii="Arial" w:cs="Arial" w:eastAsia="Arial" w:hAnsi="Arial"/>
            <w:color w:val="2E75B6"/>
            <w:sz w:val="20"/>
            <w:szCs w:val="20"/>
            <w:u w:val="single"/>
          </w:rPr>
          <w:t xml:space="preserve">CompTIA — State of the Tech Workforce 2026</w:t>
        </w:r>
      </w:hyperlink>
    </w:p>
    <w:p>
      <w:pPr>
        <w:pStyle w:val="Heading2"/>
        <w:spacing w:after="80" w:before="280"/>
      </w:pPr>
      <w:r>
        <w:rPr>
          <w:rFonts w:ascii="Arial" w:cs="Arial" w:eastAsia="Arial" w:hAnsi="Arial"/>
          <w:b/>
          <w:bCs/>
          <w:color w:val="2E75B6"/>
          <w:sz w:val="26"/>
          <w:szCs w:val="26"/>
        </w:rPr>
        <w:t xml:space="preserve">7.2 Informes institucionales y consultoras</w:t>
      </w:r>
    </w:p>
    <w:p>
      <w:pPr>
        <w:pStyle w:val="ListParagraph"/>
        <w:numPr>
          <w:ilvl w:val="0"/>
          <w:numId w:val="3"/>
        </w:numPr>
        <w:spacing w:after="40" w:before="40"/>
      </w:pPr>
      <w:hyperlink w:history="1" r:id="rIdhf5fokgh0ryvmu23maff4">
        <w:r>
          <w:rPr>
            <w:rFonts w:ascii="Arial" w:cs="Arial" w:eastAsia="Arial" w:hAnsi="Arial"/>
            <w:color w:val="2E75B6"/>
            <w:sz w:val="20"/>
            <w:szCs w:val="20"/>
            <w:u w:val="single"/>
          </w:rPr>
          <w:t xml:space="preserve">WEF — Future of Jobs Report 2025</w:t>
        </w:r>
      </w:hyperlink>
    </w:p>
    <w:p>
      <w:pPr>
        <w:pStyle w:val="ListParagraph"/>
        <w:numPr>
          <w:ilvl w:val="0"/>
          <w:numId w:val="3"/>
        </w:numPr>
        <w:spacing w:after="40" w:before="40"/>
      </w:pPr>
      <w:hyperlink w:history="1" r:id="rIdyv3o6nfawxio6nitnkv6b">
        <w:r>
          <w:rPr>
            <w:rFonts w:ascii="Arial" w:cs="Arial" w:eastAsia="Arial" w:hAnsi="Arial"/>
            <w:color w:val="2E75B6"/>
            <w:sz w:val="20"/>
            <w:szCs w:val="20"/>
            <w:u w:val="single"/>
          </w:rPr>
          <w:t xml:space="preserve">Goldman Sachs — AI Job Loss Predictions (via AI Multiple)</w:t>
        </w:r>
      </w:hyperlink>
    </w:p>
    <w:p>
      <w:pPr>
        <w:pStyle w:val="ListParagraph"/>
        <w:numPr>
          <w:ilvl w:val="0"/>
          <w:numId w:val="3"/>
        </w:numPr>
        <w:spacing w:after="40" w:before="40"/>
      </w:pPr>
      <w:hyperlink w:history="1" r:id="rIdf10cht8wuscgeb5rghd9w">
        <w:r>
          <w:rPr>
            <w:rFonts w:ascii="Arial" w:cs="Arial" w:eastAsia="Arial" w:hAnsi="Arial"/>
            <w:color w:val="2E75B6"/>
            <w:sz w:val="20"/>
            <w:szCs w:val="20"/>
            <w:u w:val="single"/>
          </w:rPr>
          <w:t xml:space="preserve">S&amp;P Global — Layoffs Surge in White Collar Jobs (nov. 2024)</w:t>
        </w:r>
      </w:hyperlink>
    </w:p>
    <w:p>
      <w:pPr>
        <w:pStyle w:val="ListParagraph"/>
        <w:numPr>
          <w:ilvl w:val="0"/>
          <w:numId w:val="3"/>
        </w:numPr>
        <w:spacing w:after="40" w:before="40"/>
      </w:pPr>
      <w:hyperlink w:history="1" r:id="rIdw-nskxtmbuvfjf-8d-pj6">
        <w:r>
          <w:rPr>
            <w:rFonts w:ascii="Arial" w:cs="Arial" w:eastAsia="Arial" w:hAnsi="Arial"/>
            <w:color w:val="2E75B6"/>
            <w:sz w:val="20"/>
            <w:szCs w:val="20"/>
            <w:u w:val="single"/>
          </w:rPr>
          <w:t xml:space="preserve">REZI — Crisis of Entry-Level Labor in the Age of AI 2026</w:t>
        </w:r>
      </w:hyperlink>
    </w:p>
    <w:p>
      <w:pPr>
        <w:pStyle w:val="Heading2"/>
        <w:spacing w:after="80" w:before="280"/>
      </w:pPr>
      <w:r>
        <w:rPr>
          <w:rFonts w:ascii="Arial" w:cs="Arial" w:eastAsia="Arial" w:hAnsi="Arial"/>
          <w:b/>
          <w:bCs/>
          <w:color w:val="2E75B6"/>
          <w:sz w:val="26"/>
          <w:szCs w:val="26"/>
        </w:rPr>
        <w:t xml:space="preserve">7.3 Periodismo de referencia</w:t>
      </w:r>
    </w:p>
    <w:p>
      <w:pPr>
        <w:pStyle w:val="ListParagraph"/>
        <w:numPr>
          <w:ilvl w:val="0"/>
          <w:numId w:val="3"/>
        </w:numPr>
        <w:spacing w:after="40" w:before="40"/>
      </w:pPr>
      <w:hyperlink w:history="1" r:id="rIda-vh35slsncawmez9gkax">
        <w:r>
          <w:rPr>
            <w:rFonts w:ascii="Arial" w:cs="Arial" w:eastAsia="Arial" w:hAnsi="Arial"/>
            <w:color w:val="2E75B6"/>
            <w:sz w:val="20"/>
            <w:szCs w:val="20"/>
            <w:u w:val="single"/>
          </w:rPr>
          <w:t xml:space="preserve">TechCrunch — Tech Layoffs 2025 Complete List</w:t>
        </w:r>
      </w:hyperlink>
    </w:p>
    <w:p>
      <w:pPr>
        <w:pStyle w:val="ListParagraph"/>
        <w:numPr>
          <w:ilvl w:val="0"/>
          <w:numId w:val="3"/>
        </w:numPr>
        <w:spacing w:after="40" w:before="40"/>
      </w:pPr>
      <w:hyperlink w:history="1" r:id="rIdbu__uqriemsokiahwyh2c">
        <w:r>
          <w:rPr>
            <w:rFonts w:ascii="Arial" w:cs="Arial" w:eastAsia="Arial" w:hAnsi="Arial"/>
            <w:color w:val="2E75B6"/>
            <w:sz w:val="20"/>
            <w:szCs w:val="20"/>
            <w:u w:val="single"/>
          </w:rPr>
          <w:t xml:space="preserve">Crunchbase News — Tech Layoffs 2024-2026</w:t>
        </w:r>
      </w:hyperlink>
    </w:p>
    <w:p>
      <w:pPr>
        <w:pStyle w:val="ListParagraph"/>
        <w:numPr>
          <w:ilvl w:val="0"/>
          <w:numId w:val="3"/>
        </w:numPr>
        <w:spacing w:after="40" w:before="40"/>
      </w:pPr>
      <w:hyperlink w:history="1" r:id="rIdifihug3oihrhce2j_3qoi">
        <w:r>
          <w:rPr>
            <w:rFonts w:ascii="Arial" w:cs="Arial" w:eastAsia="Arial" w:hAnsi="Arial"/>
            <w:color w:val="2E75B6"/>
            <w:sz w:val="20"/>
            <w:szCs w:val="20"/>
            <w:u w:val="single"/>
          </w:rPr>
          <w:t xml:space="preserve">Fortune — "Forever Layoffs" Era (dic. 2025)</w:t>
        </w:r>
      </w:hyperlink>
    </w:p>
    <w:p>
      <w:pPr>
        <w:pStyle w:val="ListParagraph"/>
        <w:numPr>
          <w:ilvl w:val="0"/>
          <w:numId w:val="3"/>
        </w:numPr>
        <w:spacing w:after="40" w:before="40"/>
      </w:pPr>
      <w:hyperlink w:history="1" r:id="rIdz70qqg8mvcj0fdbkldrym">
        <w:r>
          <w:rPr>
            <w:rFonts w:ascii="Arial" w:cs="Arial" w:eastAsia="Arial" w:hAnsi="Arial"/>
            <w:color w:val="2E75B6"/>
            <w:sz w:val="20"/>
            <w:szCs w:val="20"/>
            <w:u w:val="single"/>
          </w:rPr>
          <w:t xml:space="preserve">CNBC — White Collar Layoffs, AI, Cost-Cutting (nov. 2025)</w:t>
        </w:r>
      </w:hyperlink>
    </w:p>
    <w:p>
      <w:pPr>
        <w:pStyle w:val="ListParagraph"/>
        <w:numPr>
          <w:ilvl w:val="0"/>
          <w:numId w:val="3"/>
        </w:numPr>
        <w:spacing w:after="40" w:before="40"/>
      </w:pPr>
      <w:hyperlink w:history="1" r:id="rIdqiwnueawpsezvwbhxie7k">
        <w:r>
          <w:rPr>
            <w:rFonts w:ascii="Arial" w:cs="Arial" w:eastAsia="Arial" w:hAnsi="Arial"/>
            <w:color w:val="2E75B6"/>
            <w:sz w:val="20"/>
            <w:szCs w:val="20"/>
            <w:u w:val="single"/>
          </w:rPr>
          <w:t xml:space="preserve">Newsweek — White-Collar Jobs Are Disappearing</w:t>
        </w:r>
      </w:hyperlink>
    </w:p>
    <w:p>
      <w:pPr>
        <w:pStyle w:val="ListParagraph"/>
        <w:numPr>
          <w:ilvl w:val="0"/>
          <w:numId w:val="3"/>
        </w:numPr>
        <w:spacing w:after="40" w:before="40"/>
      </w:pPr>
      <w:hyperlink w:history="1" r:id="rIdyyb6hcm4rujgaq5ra0li4">
        <w:r>
          <w:rPr>
            <w:rFonts w:ascii="Arial" w:cs="Arial" w:eastAsia="Arial" w:hAnsi="Arial"/>
            <w:color w:val="2E75B6"/>
            <w:sz w:val="20"/>
            <w:szCs w:val="20"/>
            <w:u w:val="single"/>
          </w:rPr>
          <w:t xml:space="preserve">Computerworld — Tech Layoffs 2026 Timeline</w:t>
        </w:r>
      </w:hyperlink>
    </w:p>
    <w:p>
      <w:pPr>
        <w:pStyle w:val="ListParagraph"/>
        <w:numPr>
          <w:ilvl w:val="0"/>
          <w:numId w:val="3"/>
        </w:numPr>
        <w:spacing w:after="40" w:before="40"/>
      </w:pPr>
      <w:hyperlink w:history="1" r:id="rIdn2ef8qkytjklsa0xdl8de">
        <w:r>
          <w:rPr>
            <w:rFonts w:ascii="Arial" w:cs="Arial" w:eastAsia="Arial" w:hAnsi="Arial"/>
            <w:color w:val="2E75B6"/>
            <w:sz w:val="20"/>
            <w:szCs w:val="20"/>
            <w:u w:val="single"/>
          </w:rPr>
          <w:t xml:space="preserve">TechTarget — Tech Job Market Statistics 2026</w:t>
        </w:r>
      </w:hyperlink>
    </w:p>
    <w:p>
      <w:pPr>
        <w:pStyle w:val="ListParagraph"/>
        <w:numPr>
          <w:ilvl w:val="0"/>
          <w:numId w:val="3"/>
        </w:numPr>
        <w:spacing w:after="40" w:before="40"/>
      </w:pPr>
      <w:hyperlink w:history="1" r:id="rId8tg_jzarnx0h5xpdx3ii3">
        <w:r>
          <w:rPr>
            <w:rFonts w:ascii="Arial" w:cs="Arial" w:eastAsia="Arial" w:hAnsi="Arial"/>
            <w:color w:val="2E75B6"/>
            <w:sz w:val="20"/>
            <w:szCs w:val="20"/>
            <w:u w:val="single"/>
          </w:rPr>
          <w:t xml:space="preserve">CIO Dive — Rise of Generative AI: Timeline</w:t>
        </w:r>
      </w:hyperlink>
    </w:p>
    <w:p>
      <w:pPr>
        <w:pStyle w:val="Heading2"/>
        <w:spacing w:after="80" w:before="280"/>
      </w:pPr>
      <w:r>
        <w:rPr>
          <w:rFonts w:ascii="Arial" w:cs="Arial" w:eastAsia="Arial" w:hAnsi="Arial"/>
          <w:b/>
          <w:bCs/>
          <w:color w:val="2E75B6"/>
          <w:sz w:val="26"/>
          <w:szCs w:val="26"/>
        </w:rPr>
        <w:t xml:space="preserve">7.4 Papers académicos</w:t>
      </w:r>
    </w:p>
    <w:p>
      <w:pPr>
        <w:pStyle w:val="ListParagraph"/>
        <w:numPr>
          <w:ilvl w:val="0"/>
          <w:numId w:val="3"/>
        </w:numPr>
        <w:spacing w:after="40" w:before="40"/>
      </w:pPr>
      <w:hyperlink w:history="1" r:id="rIdyy8gcoqxco1jardcsjf6e">
        <w:r>
          <w:rPr>
            <w:rFonts w:ascii="Arial" w:cs="Arial" w:eastAsia="Arial" w:hAnsi="Arial"/>
            <w:color w:val="2E75B6"/>
            <w:sz w:val="20"/>
            <w:szCs w:val="20"/>
            <w:u w:val="single"/>
          </w:rPr>
          <w:t xml:space="preserve">Eloundou et al. (2023) — GPTs are GPTs: Labor Market Impact (arXiv)</w:t>
        </w:r>
      </w:hyperlink>
    </w:p>
    <w:p>
      <w:pPr>
        <w:spacing w:before="120"/>
      </w:pPr>
    </w:p>
    <w:p>
      <w:pPr>
        <w:pBdr>
          <w:bottom w:val="single" w:color="2E75B6" w:sz="4" w:space="1"/>
        </w:pBdr>
        <w:spacing w:after="200" w:before="200"/>
      </w:pPr>
    </w:p>
    <w:p>
      <w:pPr>
        <w:spacing w:after="120" w:before="240"/>
        <w:jc w:val="center"/>
      </w:pPr>
      <w:r>
        <w:rPr>
          <w:rFonts w:ascii="Arial" w:cs="Arial" w:eastAsia="Arial" w:hAnsi="Arial"/>
          <w:i/>
          <w:iCs/>
          <w:color w:val="595959"/>
          <w:sz w:val="18"/>
          <w:szCs w:val="18"/>
        </w:rPr>
        <w:t xml:space="preserve">Para consultas sobre metodología: mariano.gobea@mercadolibre.com • mgatc.com</w:t>
      </w:r>
    </w:p>
    <w:p>
      <w:pPr>
        <w:spacing w:after="60" w:before="0"/>
        <w:jc w:val="center"/>
      </w:pPr>
      <w:r>
        <w:rPr>
          <w:rFonts w:ascii="Arial" w:cs="Arial" w:eastAsia="Arial" w:hAnsi="Arial"/>
          <w:i/>
          <w:iCs/>
          <w:color w:val="595959"/>
          <w:sz w:val="18"/>
          <w:szCs w:val="18"/>
        </w:rPr>
        <w:t xml:space="preserve">Documento generado en abril 2026. Los datos tienen como fecha de corte marzo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right"/>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rFonts w:ascii="Arial" w:cs="Arial" w:eastAsia="Arial" w:hAnsi="Arial"/>
        <w:color w:val="595959"/>
        <w:sz w:val="18"/>
        <w:szCs w:val="18"/>
      </w:rPr>
      <w:t xml:space="preserve">Documento de Metodología y Fuentes — Informe Layoffs &amp; GenAI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B9B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m6plcj9ookbdvhjxgbsv" Type="http://schemas.openxmlformats.org/officeDocument/2006/relationships/hyperlink" Target="https://layoffs.fyi/" TargetMode="External"/><Relationship Id="rIdehsvm_efs7brvbn7wwbyt" Type="http://schemas.openxmlformats.org/officeDocument/2006/relationships/hyperlink" Target="https://www.challengergray.com/blog/2025-year-end-challenger-report-highest-q4-layoffs-since-2008-lowest-ytd-hiring-since-2010/" TargetMode="External"/><Relationship Id="rIdepjojpcs-xgdqwgiphzsn" Type="http://schemas.openxmlformats.org/officeDocument/2006/relationships/hyperlink" Target="https://www.hiringlab.org/2025/07/30/the-us-tech-hiring-freeze-continues/" TargetMode="External"/><Relationship Id="rIdijvnskkztxgnh8riyicqf" Type="http://schemas.openxmlformats.org/officeDocument/2006/relationships/hyperlink" Target="https://www.hiringlab.org/2026/01/22/january-labor-market-update-jobs-mentioning-ai-are-growing-amid-broader-hiring-weakness/" TargetMode="External"/><Relationship Id="rId8nqtbtlw9r13kcq_u9rqr" Type="http://schemas.openxmlformats.org/officeDocument/2006/relationships/hyperlink" Target="https://www.bls.gov/news.release/jolts.htm" TargetMode="External"/><Relationship Id="rIdyt-ghxlwycutq18gf5prd" Type="http://schemas.openxmlformats.org/officeDocument/2006/relationships/hyperlink" Target="https://www.comptia.org/en-us/blog/state-of-the-tech-workforce-2026-trends-job-growth-and-future-opportunities/" TargetMode="External"/><Relationship Id="rIdhf5fokgh0ryvmu23maff4" Type="http://schemas.openxmlformats.org/officeDocument/2006/relationships/hyperlink" Target="https://reports.weforum.org/docs/WEF_Four_Futures_for_Jobs_in_the_New_Economy_AI_and_Talent_in_2030_2025.pdf" TargetMode="External"/><Relationship Id="rIdyv3o6nfawxio6nitnkv6b" Type="http://schemas.openxmlformats.org/officeDocument/2006/relationships/hyperlink" Target="https://research.aimultiple.com/ai-job-loss/" TargetMode="External"/><Relationship Id="rIdf10cht8wuscgeb5rghd9w" Type="http://schemas.openxmlformats.org/officeDocument/2006/relationships/hyperlink" Target="https://www.spglobal.com/market-intelligence/en/news-insights/articles/2024/11/layoffs-surge-in-us-white-collar-jobs-as-rates-ai-alter-office-work-85986794" TargetMode="External"/><Relationship Id="rIdw-nskxtmbuvfjf-8d-pj6" Type="http://schemas.openxmlformats.org/officeDocument/2006/relationships/hyperlink" Target="https://www.rezi.ai/posts/entry-level-jobs-and-ai-2026-report" TargetMode="External"/><Relationship Id="rIda-vh35slsncawmez9gkax" Type="http://schemas.openxmlformats.org/officeDocument/2006/relationships/hyperlink" Target="https://techcrunch.com/2025/12/22/tech-layoffs-2025-list/" TargetMode="External"/><Relationship Id="rIdbu__uqriemsokiahwyh2c" Type="http://schemas.openxmlformats.org/officeDocument/2006/relationships/hyperlink" Target="https://news.crunchbase.com/startups/tech-layoffs/" TargetMode="External"/><Relationship Id="rIdifihug3oihrhce2j_3qoi" Type="http://schemas.openxmlformats.org/officeDocument/2006/relationships/hyperlink" Target="https://fortune.com/2025/12/09/forever-layoffs-job-security-k-shaped-economy-white-collar-recession-challenger-glassdoor/" TargetMode="External"/><Relationship Id="rIdz70qqg8mvcj0fdbkldrym" Type="http://schemas.openxmlformats.org/officeDocument/2006/relationships/hyperlink" Target="https://www.cnbc.com/2025/11/04/white-collar-layoffs-ai-cost-cutting-tariffs.html" TargetMode="External"/><Relationship Id="rIdqiwnueawpsezvwbhxie7k" Type="http://schemas.openxmlformats.org/officeDocument/2006/relationships/hyperlink" Target="https://www.newsweek.com/white-collar-jobs-disappearing-2031221" TargetMode="External"/><Relationship Id="rIdyyb6hcm4rujgaq5ra0li4" Type="http://schemas.openxmlformats.org/officeDocument/2006/relationships/hyperlink" Target="https://www.computerworld.com/article/3816579/tech-layoffs-this-year-a-timeline.html" TargetMode="External"/><Relationship Id="rIdn2ef8qkytjklsa0xdl8de" Type="http://schemas.openxmlformats.org/officeDocument/2006/relationships/hyperlink" Target="https://www.techtarget.com/whatis/feature/Tech-job-market-statistics-and-outlook" TargetMode="External"/><Relationship Id="rId8tg_jzarnx0h5xpdx3ii3" Type="http://schemas.openxmlformats.org/officeDocument/2006/relationships/hyperlink" Target="https://www.ciodive.com/news/generative-ai-one-year-chatgpt-openai-timeline/698110/" TargetMode="External"/><Relationship Id="rIdyy8gcoqxco1jardcsjf6e" Type="http://schemas.openxmlformats.org/officeDocument/2006/relationships/hyperlink" Target="https://arxiv.org/abs/2303.10130"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2026-04-06T11:42:15.258Z</dcterms:created>
  <dcterms:modified xsi:type="dcterms:W3CDTF">2026-04-06T11:42:15.259Z</dcterms:modified>
</cp:coreProperties>
</file>

<file path=docProps/custom.xml><?xml version="1.0" encoding="utf-8"?>
<Properties xmlns="http://schemas.openxmlformats.org/officeDocument/2006/custom-properties" xmlns:vt="http://schemas.openxmlformats.org/officeDocument/2006/docPropsVTypes"/>
</file>