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EXECUTIVE DECISION REPORT</w:t>
      </w:r>
    </w:p>
    <w:p>
      <w:pPr>
        <w:jc w:val="center"/>
      </w:pPr>
      <w:r>
        <w:rPr>
          <w:b/>
          <w:sz w:val="28"/>
        </w:rPr>
        <w:t>PBJ_Decision_System — Compliance_as_a_Service</w:t>
      </w:r>
    </w:p>
    <w:p>
      <w:pPr>
        <w:jc w:val="center"/>
      </w:pPr>
      <w:r>
        <w:t>Date: 20260128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C62828"/>
          </w:tcPr>
          <w:p>
            <w:pPr>
              <w:jc w:val="center"/>
            </w:pPr>
            <w:r>
              <w:rPr>
                <w:b/>
                <w:sz w:val="24"/>
              </w:rPr>
              <w:t>VERDICT: NO-GO  |  RESULT: FAIL  |  CONFIDENCE: 0%</w:t>
            </w:r>
          </w:p>
        </w:tc>
      </w:tr>
    </w:tbl>
    <w:p>
      <w:pPr>
        <w:jc w:val="center"/>
      </w:pPr>
      <w:r>
        <w:t>Confidential — For Decision Makers</w:t>
      </w:r>
    </w:p>
    <w:p>
      <w:r>
        <w:br w:type="page"/>
      </w:r>
    </w:p>
    <w:p>
      <w:pPr>
        <w:pStyle w:val="Heading1"/>
      </w:pPr>
      <w:r>
        <w:t>Executive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62828"/>
          </w:tcPr>
          <w:p>
            <w:pPr>
              <w:jc w:val="center"/>
            </w:pPr>
            <w:r>
              <w:rPr>
                <w:b/>
                <w:sz w:val="22"/>
              </w:rPr>
              <w:t>Verdict</w:t>
              <w:br/>
              <w:t>NO-GO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sz w:val="22"/>
              </w:rPr>
              <w:t>Confidence</w:t>
              <w:br/>
              <w:t>0%</w:t>
            </w:r>
          </w:p>
        </w:tc>
        <w:tc>
          <w:tcPr>
            <w:tcW w:type="dxa" w:w="2880"/>
            <w:shd w:val="clear" w:color="auto" w:fill="6D4C41"/>
          </w:tcPr>
          <w:p>
            <w:pPr>
              <w:jc w:val="center"/>
            </w:pPr>
            <w:r>
              <w:rPr>
                <w:b/>
                <w:sz w:val="22"/>
              </w:rPr>
              <w:t>Capital Required</w:t>
              <w:br/>
              <w:t>$4,000</w:t>
            </w:r>
          </w:p>
        </w:tc>
      </w:tr>
      <w:tr>
        <w:tc>
          <w:tcPr>
            <w:tcW w:type="dxa" w:w="2880"/>
            <w:shd w:val="clear" w:color="auto" w:fill="455A64"/>
          </w:tcPr>
          <w:p>
            <w:pPr>
              <w:jc w:val="center"/>
            </w:pPr>
            <w:r>
              <w:rPr>
                <w:b/>
                <w:sz w:val="22"/>
              </w:rPr>
              <w:t>Delegatability</w:t>
              <w:br/>
              <w:t>0.0/10</w:t>
            </w:r>
          </w:p>
        </w:tc>
        <w:tc>
          <w:tcPr>
            <w:tcW w:type="dxa" w:w="2880"/>
            <w:shd w:val="clear" w:color="auto" w:fill="455A64"/>
          </w:tcPr>
          <w:p>
            <w:pPr>
              <w:jc w:val="center"/>
            </w:pPr>
            <w:r>
              <w:rPr>
                <w:b/>
                <w:sz w:val="22"/>
              </w:rPr>
              <w:t>Delivery Target</w:t>
              <w:br/>
              <w:t>&lt; 30.0 hrs/engagement</w:t>
            </w:r>
          </w:p>
        </w:tc>
        <w:tc>
          <w:tcPr>
            <w:tcW w:type="dxa" w:w="2880"/>
            <w:shd w:val="clear" w:color="auto" w:fill="455A64"/>
          </w:tcPr>
          <w:p>
            <w:pPr>
              <w:jc w:val="center"/>
            </w:pPr>
            <w:r>
              <w:rPr>
                <w:b/>
                <w:sz w:val="22"/>
              </w:rPr>
              <w:t>Core Tests</w:t>
              <w:br/>
              <w:t>See scorecard below</w:t>
            </w:r>
          </w:p>
        </w:tc>
      </w:tr>
    </w:tbl>
    <w:p/>
    <w:p>
      <w:pPr>
        <w:pStyle w:val="Heading1"/>
      </w:pPr>
      <w:r>
        <w:t>Primary Reason</w:t>
      </w:r>
    </w:p>
    <w:p>
      <w:r>
        <w:t>To relieve stress, uncertaintity, and to sell peace of mind.</w:t>
      </w:r>
    </w:p>
    <w:p>
      <w:pPr>
        <w:pStyle w:val="Heading1"/>
      </w:pPr>
      <w:r>
        <w:t>PBJ Core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9A825"/>
          </w:tcPr>
          <w:p>
            <w:pPr>
              <w:jc w:val="center"/>
            </w:pPr>
            <w:r>
              <w:rPr>
                <w:b/>
                <w:sz w:val="22"/>
              </w:rPr>
              <w:t>Ethical</w:t>
              <w:br/>
              <w:t>HOLD</w:t>
            </w:r>
          </w:p>
        </w:tc>
        <w:tc>
          <w:tcPr>
            <w:tcW w:type="dxa" w:w="2160"/>
            <w:shd w:val="clear" w:color="auto" w:fill="C62828"/>
          </w:tcPr>
          <w:p>
            <w:pPr>
              <w:jc w:val="center"/>
            </w:pPr>
            <w:r>
              <w:rPr>
                <w:b/>
                <w:sz w:val="22"/>
              </w:rPr>
              <w:t>Repeatable</w:t>
              <w:br/>
              <w:t>FAIL</w:t>
            </w:r>
          </w:p>
        </w:tc>
        <w:tc>
          <w:tcPr>
            <w:tcW w:type="dxa" w:w="2160"/>
            <w:shd w:val="clear" w:color="auto" w:fill="C62828"/>
          </w:tcPr>
          <w:p>
            <w:pPr>
              <w:jc w:val="center"/>
            </w:pPr>
            <w:r>
              <w:rPr>
                <w:b/>
                <w:sz w:val="22"/>
              </w:rPr>
              <w:t>Profitable</w:t>
              <w:br/>
              <w:t>FAIL</w:t>
            </w:r>
          </w:p>
        </w:tc>
        <w:tc>
          <w:tcPr>
            <w:tcW w:type="dxa" w:w="2160"/>
            <w:shd w:val="clear" w:color="auto" w:fill="C62828"/>
          </w:tcPr>
          <w:p>
            <w:pPr>
              <w:jc w:val="center"/>
            </w:pPr>
            <w:r>
              <w:rPr>
                <w:b/>
                <w:sz w:val="22"/>
              </w:rPr>
              <w:t>Manageable</w:t>
              <w:br/>
              <w:t>FAIL</w:t>
            </w:r>
          </w:p>
        </w:tc>
      </w:tr>
    </w:tbl>
    <w:p/>
    <w:p>
      <w:pPr>
        <w:pStyle w:val="Heading1"/>
      </w:pPr>
      <w:r>
        <w:t>Decision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17847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ce_gau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84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1417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_tes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13339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_investm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33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7086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ital_requir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708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1463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ga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Recommendation (Do This)</w:t>
      </w:r>
    </w:p>
    <w:p>
      <w:pPr>
        <w:pStyle w:val="ListBullet"/>
      </w:pPr>
      <w:r>
        <w:t>Do not launch as-is. Resolve gating failures and re-run PBJ with updated assumptions.</w:t>
      </w:r>
    </w:p>
    <w:p>
      <w:pPr>
        <w:pStyle w:val="ListBullet"/>
      </w:pPr>
      <w:r>
        <w:t>Reduce scope or increase repeatability (templates) before selling.</w:t>
      </w:r>
    </w:p>
    <w:p>
      <w:pPr>
        <w:pStyle w:val="Heading1"/>
      </w:pPr>
      <w:r>
        <w:t>Risks &amp; Kill Switches</w:t>
      </w:r>
    </w:p>
    <w:p>
      <w:pPr>
        <w:pStyle w:val="ListBullet"/>
      </w:pPr>
      <w:r>
        <w:t>Allowed claims:</w:t>
      </w:r>
    </w:p>
    <w:p>
      <w:pPr>
        <w:pStyle w:val="ListBullet"/>
      </w:pPr>
      <w:r>
        <w:t>"Audit-ready"</w:t>
      </w:r>
    </w:p>
    <w:p>
      <w:pPr>
        <w:pStyle w:val="ListBullet"/>
      </w:pPr>
      <w:r>
        <w:t>"Defensible"</w:t>
      </w:r>
    </w:p>
    <w:p>
      <w:pPr>
        <w:pStyle w:val="ListBullet"/>
      </w:pPr>
      <w:r>
        <w:t>"Pressure-tested"</w:t>
      </w:r>
    </w:p>
    <w:p>
      <w:pPr>
        <w:pStyle w:val="ListBullet"/>
      </w:pPr>
      <w:r>
        <w:t>"First-pass focused"</w:t>
      </w:r>
    </w:p>
    <w:p>
      <w:pPr>
        <w:pStyle w:val="ListBullet"/>
      </w:pPr>
      <w:r>
        <w:t>Forbidden claims:</w:t>
      </w:r>
    </w:p>
    <w:p>
      <w:pPr>
        <w:pStyle w:val="Heading1"/>
      </w:pPr>
      <w:r>
        <w:t>Next Actions (Launch-Ready)</w:t>
      </w:r>
    </w:p>
    <w:p>
      <w:pPr>
        <w:pStyle w:val="ListBullet"/>
      </w:pPr>
      <w:r>
        <w:t>Perfect the UX and field test</w:t>
      </w:r>
    </w:p>
    <w:p>
      <w:pPr>
        <w:pStyle w:val="ListBullet"/>
      </w:pPr>
      <w:r>
        <w:t>Generated by PBJ Web Intake (local-first). Canonical PBJ markdown is the source of truth.</w:t>
      </w:r>
    </w:p>
    <w:p>
      <w:pPr>
        <w:pStyle w:val="Heading1"/>
      </w:pPr>
      <w:r>
        <w:t>Appendix</w:t>
      </w:r>
    </w:p>
    <w:p>
      <w:r>
        <w:t>Canonical PBJ data report is the source of truth (audit-grade).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