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color w:val="555555"/>
          <w:sz w:val="26"/>
        </w:rPr>
        <w:t>Seguimiento riesgo psicosocial</w:t>
      </w:r>
    </w:p>
    <w:p>
      <w:pPr>
        <w:spacing w:after="80"/>
      </w:pPr>
      <w:r>
        <w:rPr>
          <w:b/>
          <w:color w:val="005F2C"/>
          <w:sz w:val="52"/>
        </w:rPr>
        <w:t>Avance por dependencia</w:t>
      </w:r>
    </w:p>
    <w:p>
      <w:pPr>
        <w:spacing w:after="360"/>
        <w:pBdr>
          <w:bottom w:val="single" w:sz="12" w:space="4" w:color="005F2C"/>
        </w:pBdr>
      </w:pPr>
      <w:r>
        <w:rPr>
          <w:sz w:val="28"/>
        </w:rPr>
        <w:t>Conceptos, reglas e indicadores</w:t>
      </w:r>
    </w:p>
    <w:p>
      <w:r>
        <w:rPr>
          <w:sz w:val="22"/>
        </w:rPr>
        <w:t>Aplicación Shiny · Pestaña «Avance por dependencia»</w:t>
      </w:r>
    </w:p>
    <w:p>
      <w:r>
        <w:rPr>
          <w:color w:val="555555"/>
          <w:sz w:val="22"/>
        </w:rPr>
        <w:t>Septiembre de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fldChar w:fldCharType="begin"/>
        <w:instrText xml:space="preserve">TOC \o "1-2" \h \z \u</w:instrText>
        <w:fldChar w:fldCharType="end"/>
      </w:r>
    </w:p>
    <w:p>
      <w:r>
        <w:rPr>
          <w:i/>
          <w:color w:val="777777"/>
          <w:sz w:val="18"/>
        </w:rPr>
        <w:t>Si el índice aparece vacío, haga clic derecho sobre él y elija «Actualizar campos».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rPr>
          <w:i w:val="0"/>
        </w:rPr>
        <w:t>La pestaña «Avance por dependencia» muestra cómo avanza la aplicación de la batería de riesgo psicosocial en cada dependencia de la universidad. Cumple dos funciones:</w:t>
      </w:r>
    </w:p>
    <w:p>
      <w:pPr>
        <w:pStyle w:val="ListBullet"/>
      </w:pPr>
      <w:r>
        <w:rPr>
          <w:b/>
        </w:rPr>
        <w:t xml:space="preserve">Medir: </w:t>
      </w:r>
      <w:r>
        <w:t>cuántas personas se han encuestado, cuántas faltan y con qué calidad llegan las respuestas.</w:t>
      </w:r>
    </w:p>
    <w:p>
      <w:pPr>
        <w:pStyle w:val="ListBullet"/>
      </w:pPr>
      <w:r>
        <w:rPr>
          <w:b/>
        </w:rPr>
        <w:t xml:space="preserve">Organizar el campo: </w:t>
      </w:r>
      <w:r>
        <w:t>a quién falta encuestar, a quién ya se contactó y quién fue citado y no respondió.</w:t>
      </w:r>
    </w:p>
    <w:p>
      <w:r>
        <w:rPr>
          <w:i w:val="0"/>
        </w:rPr>
        <w:t>Este documento explica qué significa cada cifra y cada sección. Cómo se usa la pestaña, paso a paso, está en el «Manual de usuario: Avance por dependencia».</w:t>
      </w:r>
    </w:p>
    <w:p>
      <w:pPr>
        <w:pStyle w:val="Heading1"/>
      </w:pPr>
      <w:r>
        <w:t>2. Acceso</w:t>
      </w:r>
    </w:p>
    <w:p>
      <w:r>
        <w:rPr>
          <w:i w:val="0"/>
        </w:rPr>
        <w:t>La ven los cuatro roles de la aplicación: administrador, coordinador, auxiliar administrativo y psicólogo. Todos pueden consultar, registrar contactos y descargar los archivos de esta pestaña.</w:t>
      </w:r>
    </w:p>
    <w:p>
      <w:pPr>
        <w:pStyle w:val="Heading1"/>
      </w:pPr>
      <w:r>
        <w:t>3. Reglas de conteo</w:t>
      </w:r>
    </w:p>
    <w:p>
      <w:r>
        <w:rPr>
          <w:i w:val="0"/>
        </w:rPr>
        <w:t>Todas las cifras de la pestaña siguen las mismas reglas, de modo que un número dice lo mismo en los cajones, el gráfico, el listado, el detalle y los archivos descargados.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73"/>
      </w:tblGrid>
      <w:tr>
        <w:trPr>
          <w:tblHeader w:val="true"/>
        </w:trPr>
        <w:tc>
          <w:tcPr>
            <w:tcW w:type="dxa" w:w="2381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6973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Unidad de conteo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La persona, no el envío. Si alguien envía el cuestionario dos veces, cuenta una sola vez.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Elegibles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Personas del marco muestral con vinculación activa. Es la población de toda la pestaña.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 elegibles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Personas del marco sin vinculación activa. No entran en ninguna cifra de avance.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Esperados (meta)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Número de personas que se espera encuestar en la dependencia. Si no hay meta registrada, son sus elegibles.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Encuestado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Persona con al menos un envío del formulario, haya aceptado o no participar.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Encuesta efectiva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Encuestado que aceptó el consentimiento informado (en su último envío). No es lo mismo que una encuesta completa —sin ítems en blanco—, que describe la calidad del cuestionario y solo se usa en la lista de personas.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Citado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Persona con al menos una citación cuya hora final ya pasó.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Caso cerrado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Persona sin envío a la que ya no se sigue buscando (ver 3.1).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Faltan (pendientes)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Esperados − encuestados − casos cerrados. Nunca es negativo.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Forma A / B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Forma del cuestionario asignada a la persona en el marco.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Hora de referencia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Hora de Colombia (America/Bogota) para días, semanas y citaciones.</w:t>
            </w:r>
          </w:p>
        </w:tc>
      </w:tr>
    </w:tbl>
    <w:p>
      <w:pPr>
        <w:spacing w:after="40"/>
      </w:pPr>
    </w:p>
    <w:p>
      <w:pPr>
        <w:pStyle w:val="Heading2"/>
      </w:pPr>
      <w:r>
        <w:t>3.1. Casos cerrados</w:t>
      </w:r>
    </w:p>
    <w:p>
      <w:r>
        <w:rPr>
          <w:i w:val="0"/>
        </w:rPr>
        <w:t xml:space="preserve">Un caso cerrado es una persona que </w:t>
      </w:r>
      <w:r>
        <w:rPr>
          <w:b/>
          <w:i w:val="0"/>
        </w:rPr>
        <w:t>no ha enviado la encuesta</w:t>
      </w:r>
      <w:r>
        <w:rPr>
          <w:i w:val="0"/>
        </w:rPr>
        <w:t xml:space="preserve"> y a la que ya no se va a seguir buscando, porque así quedó anotado en el registro de contactos. Hay dos tipos:</w:t>
      </w:r>
    </w:p>
    <w:p>
      <w:pPr>
        <w:pStyle w:val="ListBullet"/>
      </w:pPr>
      <w:r>
        <w:rPr>
          <w:b/>
        </w:rPr>
        <w:t xml:space="preserve">Rechazo: </w:t>
      </w:r>
      <w:r>
        <w:t>la persona le dijo a quien la contactó que no va a participar.</w:t>
      </w:r>
    </w:p>
    <w:p>
      <w:pPr>
        <w:pStyle w:val="ListBullet"/>
      </w:pPr>
      <w:r>
        <w:rPr>
          <w:b/>
        </w:rPr>
        <w:t xml:space="preserve">Ausente: </w:t>
      </w:r>
      <w:r>
        <w:t>se la buscó en las convocatorias y nunca respondió.</w:t>
      </w:r>
    </w:p>
    <w:p>
      <w:pPr>
        <w:pStyle w:val="Heading3"/>
      </w:pPr>
      <w:r>
        <w:t>Cómo se cierra</w:t>
      </w:r>
    </w:p>
    <w:p>
      <w:r>
        <w:rPr>
          <w:i w:val="0"/>
        </w:rPr>
        <w:t>Al registrar un contacto, en «Cómo queda el seguimiento» se elige «Rechazo» o «Ausente». La tercera opción, «La gestión sigue abierta», deja a la persona como pendiente.</w:t>
      </w:r>
    </w:p>
    <w:p>
      <w:pPr>
        <w:pStyle w:val="Heading3"/>
      </w:pPr>
      <w:r>
        <w:t>Efecto en las cifras</w:t>
      </w:r>
    </w:p>
    <w:p>
      <w:pPr>
        <w:pStyle w:val="ListBullet"/>
      </w:pPr>
      <w:r>
        <w:t>Sale de «Faltan»: ya no hay a quién perseguir.</w:t>
      </w:r>
    </w:p>
    <w:p>
      <w:pPr>
        <w:pStyle w:val="ListBullet"/>
      </w:pPr>
      <w:r>
        <w:t>No cuenta como encuestada, porque no hay encuesta; por eso no sube el porcentaje de avance. Una dependencia puede quedar sin pendientes y aun así tener un avance menor al 100 %.</w:t>
      </w:r>
    </w:p>
    <w:p>
      <w:pPr>
        <w:pStyle w:val="ListBullet"/>
      </w:pPr>
      <w:r>
        <w:t xml:space="preserve">En la lista de personas aparece dentro de «Respondieron» y en el grupo «Casos cerrados», marcada como «Rechazo» o «Ausente».</w:t>
      </w:r>
    </w:p>
    <w:p>
      <w:pPr>
        <w:pStyle w:val="Heading3"/>
      </w:pPr>
      <w:r>
        <w:t>Cómo se reabre</w:t>
      </w:r>
    </w:p>
    <w:p>
      <w:r>
        <w:rPr>
          <w:i w:val="0"/>
        </w:rPr>
        <w:t xml:space="preserve">Con el botón </w:t>
      </w:r>
      <w:r>
        <w:rPr>
          <w:b/>
          <w:i w:val="0"/>
        </w:rPr>
        <w:t xml:space="preserve">Reabrir</w:t>
      </w:r>
      <w:r>
        <w:rPr>
          <w:i w:val="0"/>
        </w:rPr>
        <w:t xml:space="preserve"> de la fila de la persona, o marcando varias en el grupo «Casos cerrados» y pulsando «Reabrir el caso a N personas». Se registra en la bitácora un contacto nuevo con resultado «Reabierto» y, como siempre vale el último contacto, la persona vuelve a «Faltan» y a contar como pendiente. Nada se borra: el historial conserva el cierre y la reapertura.</w:t>
      </w:r>
    </w:p>
    <w:p>
      <w:r>
        <w:rPr>
          <w:i w:val="0"/>
        </w:rPr>
        <w:t xml:space="preserve">La reapertura se registra siempre con la fecha de hoy: un contacto con fecha anterior al cierre quedaría debajo de él y no lo reabriría.</w:t>
      </w:r>
    </w:p>
    <w:p>
      <w:pPr>
        <w:pStyle w:val="Heading3"/>
      </w:pPr>
      <w:r>
        <w:t>Cuándo no aplica</w:t>
      </w:r>
    </w:p>
    <w:p>
      <w:pPr>
        <w:pStyle w:val="ListBullet"/>
      </w:pPr>
      <w:r>
        <w:t>Si la persona ya envió la encuesta, su envío manda y ningún contacto posterior cambia su situación.</w:t>
      </w:r>
    </w:p>
    <w:p>
      <w:pPr>
        <w:pStyle w:val="ListBullet"/>
      </w:pPr>
      <w:r>
        <w:t xml:space="preserve">Quien marcó «No acepto» en el formulario no es un caso cerrado: tiene un envío, así que cuenta como encuestado (y como no efectivo, porque no aceptó). Por lo mismo, no se puede reabrir desde la app: si decide responder, lo hace con un envío nuevo del formulario.</w:t>
      </w:r>
    </w:p>
    <w:p>
      <w:pPr>
        <w:pStyle w:val="Heading1"/>
      </w:pPr>
      <w:r>
        <w:t>4. Filtros</w:t>
      </w:r>
    </w:p>
    <w:p>
      <w:r>
        <w:rPr>
          <w:i w:val="0"/>
        </w:rPr>
        <w:t>Los filtros de la parte superior definen la población que se está mirando. Todo lo demás —cajones, gráfico y listado— se calcula sobre esa población.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973"/>
      </w:tblGrid>
      <w:tr>
        <w:trPr>
          <w:tblHeader w:val="true"/>
        </w:trPr>
        <w:tc>
          <w:tcPr>
            <w:tcW w:type="dxa" w:w="2381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Filtro</w:t>
            </w:r>
          </w:p>
        </w:tc>
        <w:tc>
          <w:tcPr>
            <w:tcW w:type="dxa" w:w="6973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Sede o seccional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Limita a una o varias sedes. Solo aparece si el marco trae sedes.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Unidad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Limita a una o varias facultades, escuelas o direcciones.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Buscar dependencia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Filtra por parte del nombre, sin distinguir mayúsculas ni tildes.</w:t>
            </w:r>
          </w:p>
        </w:tc>
      </w:tr>
      <w:tr>
        <w:tc>
          <w:tcPr>
            <w:tcW w:type="dxa" w:w="2381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Ordenar por</w:t>
            </w:r>
          </w:p>
        </w:tc>
        <w:tc>
          <w:tcPr>
            <w:tcW w:type="dxa" w:w="697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Más pendientes, menor avance, más encuestados, nombre, sede o más grandes. Solo cambia el orden del listado.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Limpiar filtros</w:t>
            </w:r>
          </w:p>
        </w:tc>
        <w:tc>
          <w:tcPr>
            <w:tcW w:type="dxa" w:w="6973"/>
          </w:tcPr>
          <w:p>
            <w:pPr>
              <w:spacing w:after="40"/>
            </w:pPr>
            <w:r/>
            <w:r>
              <w:rPr>
                <w:sz w:val="20"/>
              </w:rPr>
              <w:t>Quita todos los filtros y vuelve al orden por más pendientes.</w:t>
            </w:r>
          </w:p>
        </w:tc>
      </w:tr>
    </w:tbl>
    <w:p>
      <w:pPr>
        <w:spacing w:after="40"/>
      </w:pPr>
    </w:p>
    <w:p>
      <w:pPr>
        <w:pStyle w:val="Heading1"/>
      </w:pPr>
      <w:r>
        <w:t>5. Indicadores (cajones)</w:t>
      </w:r>
    </w:p>
    <w:p>
      <w:r>
        <w:rPr>
          <w:i w:val="0"/>
        </w:rPr>
        <w:t>La fila de cajones resume la población filtrada. La misma fila aparece en el detalle de cada dependencia, con las cifras de esa dependencia.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628"/>
        <w:gridCol w:w="3572"/>
      </w:tblGrid>
      <w:tr>
        <w:trPr>
          <w:tblHeader w:val="true"/>
        </w:trPr>
        <w:tc>
          <w:tcPr>
            <w:tcW w:type="dxa" w:w="2154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62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3572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Qué responde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Esperados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20"/>
              </w:rPr>
              <w:t>Suma de las metas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sz w:val="20"/>
              </w:rPr>
              <w:t>¿A cuántas personas hay que llegar?</w:t>
            </w:r>
          </w:p>
        </w:tc>
      </w:tr>
      <w:tr>
        <w:tc>
          <w:tcPr>
            <w:tcW w:type="dxa" w:w="215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Encuestados</w:t>
            </w:r>
          </w:p>
        </w:tc>
        <w:tc>
          <w:tcPr>
            <w:tcW w:type="dxa" w:w="362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Personas con al menos un envío</w:t>
            </w:r>
          </w:p>
        </w:tc>
        <w:tc>
          <w:tcPr>
            <w:tcW w:type="dxa" w:w="357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¿A cuántas se ha llegado?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Forma A / Forma B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20"/>
              </w:rPr>
              <w:t>Encuestados de cada forma, con sus tres indicadores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sz w:val="20"/>
              </w:rPr>
              <w:t>¿Rinden igual las dos formas?</w:t>
            </w:r>
          </w:p>
        </w:tc>
      </w:tr>
      <w:tr>
        <w:tc>
          <w:tcPr>
            <w:tcW w:type="dxa" w:w="215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Faltan</w:t>
            </w:r>
          </w:p>
        </w:tc>
        <w:tc>
          <w:tcPr>
            <w:tcW w:type="dxa" w:w="362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Esperados − encuestados − casos cerrados</w:t>
            </w:r>
          </w:p>
        </w:tc>
        <w:tc>
          <w:tcPr>
            <w:tcW w:type="dxa" w:w="357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¿Cuánto trabajo de campo queda?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Efectividad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20"/>
              </w:rPr>
              <w:t>Encuestas efectivas ÷ encuestados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sz w:val="20"/>
              </w:rPr>
              <w:t>De quienes respondieron, ¿cuántos aceptaron participar?</w:t>
            </w:r>
          </w:p>
        </w:tc>
      </w:tr>
      <w:tr>
        <w:tc>
          <w:tcPr>
            <w:tcW w:type="dxa" w:w="215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 efectivas</w:t>
            </w:r>
          </w:p>
        </w:tc>
        <w:tc>
          <w:tcPr>
            <w:tcW w:type="dxa" w:w="362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Encuestados que no aceptaron ÷ encuestados</w:t>
            </w:r>
          </w:p>
        </w:tc>
        <w:tc>
          <w:tcPr>
            <w:tcW w:type="dxa" w:w="357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De quienes respondieron, ¿cuántos no aceptaron?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Cobertura Citados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20"/>
              </w:rPr>
              <w:t>Encuestados ÷ citados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sz w:val="20"/>
              </w:rPr>
              <w:t>De los citados, ¿cuántos respondieron? Puede pasar de 100 %: cuenta también a quien respondió sin cita.</w:t>
            </w:r>
          </w:p>
        </w:tc>
      </w:tr>
      <w:tr>
        <w:tc>
          <w:tcPr>
            <w:tcW w:type="dxa" w:w="215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Cobertura Esperados</w:t>
            </w:r>
          </w:p>
        </w:tc>
        <w:tc>
          <w:tcPr>
            <w:tcW w:type="dxa" w:w="362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Encuestados ÷ personas del marco (esperados)</w:t>
            </w:r>
          </w:p>
        </w:tc>
        <w:tc>
          <w:tcPr>
            <w:tcW w:type="dxa" w:w="357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¿Qué parte del marco ya respondió?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sz w:val="20"/>
              </w:rPr>
              <w:t>Número de dependencias en la selección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sz w:val="20"/>
              </w:rPr>
              <w:t>¿Cuántas unidades se están mirando?</w:t>
            </w:r>
          </w:p>
        </w:tc>
      </w:tr>
      <w:tr>
        <w:tc>
          <w:tcPr>
            <w:tcW w:type="dxa" w:w="215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Al 100 %</w:t>
            </w:r>
          </w:p>
        </w:tc>
        <w:tc>
          <w:tcPr>
            <w:tcW w:type="dxa" w:w="362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Dependencias con avance ≥ 100 %</w:t>
            </w:r>
          </w:p>
        </w:tc>
        <w:tc>
          <w:tcPr>
            <w:tcW w:type="dxa" w:w="3572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¿Cuántas ya alcanzaron su meta?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EEF5F0"/>
          </w:tcPr>
          <w:p>
            <w:pPr>
              <w:spacing w:after="60"/>
            </w:pPr>
            <w:r>
              <w:rPr>
                <w:b/>
                <w:color w:val="005F2C"/>
              </w:rPr>
              <w:t xml:space="preserve">Nota. </w:t>
            </w:r>
            <w:r>
              <w:t>Efectividad y No efectivas suman siempre el 100 % de los encuestados. Los cajones de porcentaje muestran debajo el número de personas del numerador. Si el denominador es cero, el porcentaje aparece como «—».</w:t>
            </w:r>
          </w:p>
        </w:tc>
      </w:tr>
    </w:tbl>
    <w:p>
      <w:pPr>
        <w:spacing w:after="40"/>
      </w:pPr>
    </w:p>
    <w:p>
      <w:pPr>
        <w:pStyle w:val="Heading1"/>
      </w:pPr>
      <w:r>
        <w:t>6. Gráfico de avance</w:t>
      </w:r>
    </w:p>
    <w:p>
      <w:r>
        <w:rPr>
          <w:i w:val="0"/>
        </w:rPr>
        <w:t>El gráfico tiene dos selectores independientes; cualquier combinación es válida.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40"/>
      </w:tblGrid>
      <w:tr>
        <w:trPr>
          <w:tblHeader w:val="true"/>
        </w:trPr>
        <w:tc>
          <w:tcPr>
            <w:tcW w:type="dxa" w:w="1814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Selector</w:t>
            </w:r>
          </w:p>
        </w:tc>
        <w:tc>
          <w:tcPr>
            <w:tcW w:type="dxa" w:w="7540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Opciones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Grano</w:t>
            </w:r>
          </w:p>
        </w:tc>
        <w:tc>
          <w:tcPr>
            <w:tcW w:type="dxa" w:w="7540"/>
          </w:tcPr>
          <w:p>
            <w:pPr>
              <w:spacing w:after="40"/>
            </w:pPr>
            <w:r/>
            <w:r>
              <w:rPr>
                <w:sz w:val="20"/>
              </w:rPr>
              <w:t>Días: curva acumulada día a día, con información al pasar el cursor.</w:t>
              <w:br/>
              <w:t>Semanas: barras por semana de campo (lunes a viernes), numeradas S1, S2… desde el inicio del campo, igual en toda la aplicación.</w:t>
            </w:r>
          </w:p>
        </w:tc>
      </w:tr>
      <w:tr>
        <w:tc>
          <w:tcPr>
            <w:tcW w:type="dxa" w:w="1814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754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Avance: encuestados, encuestas efectivas y citados acumulados, contra la meta.</w:t>
              <w:br/>
              <w:t>Efectividad, Cobertura Citados y Cobertura Esperados: barra con el % del periodo y línea con el % acumulado.</w:t>
            </w:r>
          </w:p>
        </w:tc>
      </w:tr>
    </w:tbl>
    <w:p>
      <w:pPr>
        <w:spacing w:after="40"/>
      </w:pPr>
    </w:p>
    <w:p>
      <w:pPr>
        <w:pStyle w:val="ListBullet"/>
      </w:pPr>
      <w:r>
        <w:t>La semana en curso se marca con asterisco y borde punteado: llega hasta el último envío recibido.</w:t>
      </w:r>
    </w:p>
    <w:p>
      <w:pPr>
        <w:pStyle w:val="ListBullet"/>
      </w:pPr>
      <w:r>
        <w:t>Los periodos sin envíos se muestran en cero; no se saltan.</w:t>
      </w:r>
    </w:p>
    <w:p>
      <w:pPr>
        <w:pStyle w:val="Heading1"/>
      </w:pPr>
      <w:r>
        <w:t>7. Listado de dependencias</w:t>
      </w:r>
    </w:p>
    <w:p>
      <w:r>
        <w:rPr>
          <w:i w:val="0"/>
        </w:rPr>
        <w:t>Debajo del gráfico se elige entre dos vistas de la misma lista.</w:t>
      </w:r>
    </w:p>
    <w:p>
      <w:pPr>
        <w:pStyle w:val="Heading2"/>
      </w:pPr>
      <w:r>
        <w:t>7.1. Listado</w:t>
      </w:r>
    </w:p>
    <w:p>
      <w:r>
        <w:rPr>
          <w:i w:val="0"/>
        </w:rPr>
        <w:t>Con más de 12 dependencias se muestra una tabla; con 12 o menos, tarjetas. Cada fila muestra avance, encuestados sobre esperados y pendientes. Al pulsar una cabecera se ordena por esa columna.</w:t>
      </w:r>
    </w:p>
    <w:p>
      <w:pPr>
        <w:pStyle w:val="Heading2"/>
      </w:pPr>
      <w:r>
        <w:t>7.2. Mapa de avance</w:t>
      </w:r>
    </w:p>
    <w:p>
      <w:r>
        <w:rPr>
          <w:i w:val="0"/>
        </w:rPr>
        <w:t>Un mosaico con una pieza por dependencia, pintada en una escala continua de rojo a verde según su avance, y arriba el recuento de dependencias y pendientes en cada estado.</w:t>
      </w:r>
    </w:p>
    <w:p>
      <w:pPr>
        <w:pStyle w:val="Heading2"/>
      </w:pPr>
      <w:r>
        <w:t>7.3. Estados y prioridad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953"/>
      </w:tblGrid>
      <w:tr>
        <w:trPr>
          <w:tblHeader w:val="true"/>
        </w:trPr>
        <w:tc>
          <w:tcPr>
            <w:tcW w:type="dxa" w:w="3402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953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Avance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Al día  ✓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0"/>
              </w:rPr>
              <w:t>90 % o más</w:t>
            </w:r>
          </w:p>
        </w:tc>
      </w:tr>
      <w:tr>
        <w:tc>
          <w:tcPr>
            <w:tcW w:type="dxa" w:w="3402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En curso  ◐</w:t>
            </w:r>
          </w:p>
        </w:tc>
        <w:tc>
          <w:tcPr>
            <w:tcW w:type="dxa" w:w="595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Entre 60 % y 89,9 %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Crítico  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0"/>
              </w:rPr>
              <w:t>Menos de 60 %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953"/>
      </w:tblGrid>
      <w:tr>
        <w:trPr>
          <w:tblHeader w:val="true"/>
        </w:trPr>
        <w:tc>
          <w:tcPr>
            <w:tcW w:type="dxa" w:w="3402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5953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Personas pendientes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Alta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0"/>
              </w:rPr>
              <w:t>35 o más</w:t>
            </w:r>
          </w:p>
        </w:tc>
      </w:tr>
      <w:tr>
        <w:tc>
          <w:tcPr>
            <w:tcW w:type="dxa" w:w="3402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Media</w:t>
            </w:r>
          </w:p>
        </w:tc>
        <w:tc>
          <w:tcPr>
            <w:tcW w:type="dxa" w:w="5953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Entre 15 y 34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Baja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20"/>
              </w:rPr>
              <w:t>Menos de 15</w:t>
            </w:r>
          </w:p>
        </w:tc>
      </w:tr>
    </w:tbl>
    <w:p>
      <w:pPr>
        <w:spacing w:after="40"/>
      </w:pPr>
    </w:p>
    <w:p>
      <w:r>
        <w:rPr>
          <w:i w:val="0"/>
        </w:rPr>
        <w:t>La prioridad se mide en personas y no en porcentaje: una facultad grande al 67 % puede tener más trabajo pendiente que una unidad pequeña al 50 %.</w:t>
      </w:r>
    </w:p>
    <w:p>
      <w:pPr>
        <w:pStyle w:val="Heading1"/>
      </w:pPr>
      <w:r>
        <w:t>8. Detalle de una dependencia</w:t>
      </w:r>
    </w:p>
    <w:p>
      <w:r>
        <w:rPr>
          <w:i w:val="0"/>
        </w:rPr>
        <w:t>Se abre al hacer clic en una dependencia del listado o del mapa. Tiene dos pestañas:</w:t>
      </w:r>
    </w:p>
    <w:p>
      <w:pPr>
        <w:pStyle w:val="ListBullet"/>
      </w:pPr>
      <w:r>
        <w:rPr>
          <w:b/>
        </w:rPr>
        <w:t xml:space="preserve">Avance: </w:t>
      </w:r>
      <w:r>
        <w:t>la misma fila de cajones, la barra de avance, cómo va la encuesta (respuestas recibidas, completas, duración media, primera y última respuesta), el gráfico de la dependencia y el reparto por forma y por estado de vinculación.</w:t>
      </w:r>
    </w:p>
    <w:p>
      <w:pPr>
        <w:pStyle w:val="ListBullet"/>
      </w:pPr>
      <w:r>
        <w:rPr>
          <w:b/>
        </w:rPr>
        <w:t xml:space="preserve">Personas: </w:t>
      </w:r>
      <w:r>
        <w:t>una fila por persona del marco, con el selector «Mostrar».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Opción de «Mostrar»</w:t>
            </w:r>
          </w:p>
        </w:tc>
        <w:tc>
          <w:tcPr>
            <w:tcW w:type="dxa" w:w="6520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Quiénes aparecen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Faltan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Elegibles sin envío y sin caso cerrado. Es la opción inicial.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Respondieron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Encuestados completos, incompletos y rechazos del formulario, más los casos cerrados.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Citados sin responder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Elegibles citados (hora ya pasada) sin ningún envío. Solo aparece si hay alguno.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Casos cerrados: rechazo o ausente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Casos cerrados en el registro de contactos, que son los que se pueden reabrir. Tienen casillas para reabrir varios a la vez. Solo aparece si hay alguno.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Todos los elegibles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Toda la población de la dependencia.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 elegibles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Personas del marco sin vinculación activa. Solo aparece si hay alguna.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6520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Falta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Sin envío.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Completa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Último envío sin ítems en blanco.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Incompleta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Último envío con ítems en blanco.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Rechazo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Marcó «No acepto» en el formulario, o se cerró como rechazo en el registro de contactos.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Ausente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0"/>
              </w:rPr>
              <w:t>Se cerró como ausente en el registro de contactos.</w:t>
            </w:r>
          </w:p>
        </w:tc>
      </w:tr>
      <w:tr>
        <w:tc>
          <w:tcPr>
            <w:tcW w:type="dxa" w:w="2835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 elegible</w:t>
            </w:r>
          </w:p>
        </w:tc>
        <w:tc>
          <w:tcPr>
            <w:tcW w:type="dxa" w:w="6520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Sin vinculación activa; no cuenta en el avance.</w:t>
            </w:r>
          </w:p>
        </w:tc>
      </w:tr>
    </w:tbl>
    <w:p>
      <w:pPr>
        <w:spacing w:after="40"/>
      </w:pPr>
    </w:p>
    <w:p>
      <w:pPr>
        <w:pStyle w:val="Heading1"/>
      </w:pPr>
      <w:r>
        <w:t>9. Registro de contactos</w:t>
      </w:r>
    </w:p>
    <w:p>
      <w:r>
        <w:rPr>
          <w:i w:val="0"/>
        </w:rPr>
        <w:t>Es la bitácora de la gestión con cada persona pendiente. Cada contacto guarda:</w:t>
      </w:r>
    </w:p>
    <w:p>
      <w:pPr>
        <w:pStyle w:val="ListBullet"/>
      </w:pPr>
      <w:r>
        <w:t>Fecha del contacto (no puede ser futura).</w:t>
      </w:r>
    </w:p>
    <w:p>
      <w:pPr>
        <w:pStyle w:val="ListBullet"/>
      </w:pPr>
      <w:r>
        <w:t>Medio: correo, llamada u otro (en «otro» hay que escribir cuál).</w:t>
      </w:r>
    </w:p>
    <w:p>
      <w:pPr>
        <w:pStyle w:val="ListBullet"/>
      </w:pPr>
      <w:r>
        <w:t>Observación opcional.</w:t>
      </w:r>
    </w:p>
    <w:p>
      <w:pPr>
        <w:pStyle w:val="ListBullet"/>
      </w:pPr>
      <w:r>
        <w:t>Cómo queda el seguimiento: la gestión sigue abierta, rechazo o ausente.</w:t>
      </w:r>
    </w:p>
    <w:p>
      <w:pPr>
        <w:pStyle w:val="ListBullet"/>
      </w:pPr>
      <w:r>
        <w:t>Quién lo registró, de forma automática.</w:t>
      </w:r>
    </w:p>
    <w:p>
      <w:r>
        <w:rPr>
          <w:i w:val="0"/>
        </w:rPr>
        <w:t xml:space="preserve">El registro nunca se borra ni se edita: para corregir se agrega un contacto nuevo, y el último es el que vale. Se puede registrar el mismo contacto a varias personas a la vez.</w:t>
      </w:r>
    </w:p>
    <w:p>
      <w:r>
        <w:rPr>
          <w:i w:val="0"/>
        </w:rPr>
        <w:t xml:space="preserve">Las reaperturas también quedan en la bitácora, con resultado «Reabierto», pero no se registran desde esta ventana sino con el botón </w:t>
      </w:r>
      <w:r>
        <w:rPr>
          <w:b/>
          <w:i w:val="0"/>
        </w:rPr>
        <w:t xml:space="preserve">Reabrir</w:t>
      </w:r>
      <w:r>
        <w:rPr>
          <w:i w:val="0"/>
        </w:rPr>
        <w:t xml:space="preserve"> (ver 3.1). En el historial de cada persona aparecen marcadas como «Reabierto».</w:t>
      </w:r>
    </w:p>
    <w:p>
      <w:pPr>
        <w:pStyle w:val="Heading1"/>
      </w:pPr>
      <w:r>
        <w:t>10. Quién no contestó, por día de citación</w:t>
      </w:r>
    </w:p>
    <w:p>
      <w:r>
        <w:rPr>
          <w:i w:val="0"/>
        </w:rPr>
        <w:t xml:space="preserve">Recuadro al final de la pestaña. Se elige un día de citación y aparecen las personas citadas ese día que todavía no han enviado nada, con su dependencia, su franja, cuántas veces se las ha citado y su último contacto. Respeta los filtros de sede y unidad. Solo ofrece días cuya hora de citación ya pasó. Desde aquí mismo se registra un contacto o, si la persona tiene el caso cerrado, se reabre con el botón </w:t>
      </w:r>
      <w:r>
        <w:rPr>
          <w:b/>
          <w:i w:val="0"/>
        </w:rPr>
        <w:t xml:space="preserve">Reabrir</w:t>
      </w:r>
      <w:r>
        <w:rPr>
          <w:i w:val="0"/>
        </w:rPr>
        <w:t xml:space="preserve"> de su fila.</w:t>
      </w:r>
    </w:p>
    <w:p>
      <w:pPr>
        <w:pStyle w:val="Heading1"/>
      </w:pPr>
      <w:r>
        <w:t>11. Descargas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4819"/>
      </w:tblGrid>
      <w:tr>
        <w:trPr>
          <w:tblHeader w:val="true"/>
        </w:trPr>
        <w:tc>
          <w:tcPr>
            <w:tcW w:type="dxa" w:w="226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268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Dónde está</w:t>
            </w:r>
          </w:p>
        </w:tc>
        <w:tc>
          <w:tcPr>
            <w:tcW w:type="dxa" w:w="4819"/>
            <w:shd w:val="clear" w:color="auto" w:fill="005F2C"/>
          </w:tcPr>
          <w:p>
            <w:pPr>
              <w:spacing w:after="40"/>
            </w:pPr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Personas (Excel)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Detalle › Personas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20"/>
              </w:rPr>
              <w:t>La lista que se está mostrando, con situación, forma, contactos y citación.</w:t>
            </w:r>
          </w:p>
        </w:tc>
      </w:tr>
      <w:tr>
        <w:tc>
          <w:tcPr>
            <w:tcW w:type="dxa" w:w="2268"/>
            <w:shd w:val="clear" w:color="auto" w:fill="EEF5F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Sin responder (Excel)</w:t>
            </w:r>
          </w:p>
        </w:tc>
        <w:tc>
          <w:tcPr>
            <w:tcW w:type="dxa" w:w="2268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Quién no contestó</w:t>
            </w:r>
          </w:p>
        </w:tc>
        <w:tc>
          <w:tcPr>
            <w:tcW w:type="dxa" w:w="4819"/>
            <w:shd w:val="clear" w:color="auto" w:fill="EEF5F0"/>
          </w:tcPr>
          <w:p>
            <w:pPr>
              <w:spacing w:after="40"/>
            </w:pPr>
            <w:r/>
            <w:r>
              <w:rPr>
                <w:sz w:val="20"/>
              </w:rPr>
              <w:t>Citados del día elegido que siguen sin enviar.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color="auto" w:fill="EEF5F0"/>
          </w:tcPr>
          <w:p>
            <w:pPr>
              <w:spacing w:after="60"/>
            </w:pPr>
            <w:r>
              <w:rPr>
                <w:b/>
                <w:color w:val="005F2C"/>
              </w:rPr>
              <w:t xml:space="preserve">Datos personales. </w:t>
            </w:r>
            <w:r>
              <w:t>Los archivos de personas incluyen nombre y documento. Manéjelos según la política de protección de datos de la institución.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7"/>
      </w:rPr>
      <w:t>Avance por dependencia · Conceptos e indicadores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005F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005F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005F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