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color w:val="555555"/>
          <w:sz w:val="26"/>
        </w:rPr>
        <w:t>Seguimiento riesgo psicosocial</w:t>
      </w:r>
    </w:p>
    <w:p>
      <w:pPr>
        <w:spacing w:after="80"/>
      </w:pPr>
      <w:r>
        <w:rPr>
          <w:b/>
          <w:color w:val="005F2C"/>
          <w:sz w:val="52"/>
        </w:rPr>
        <w:t>Manual de usuario</w:t>
      </w:r>
    </w:p>
    <w:p>
      <w:pPr>
        <w:spacing w:after="360"/>
        <w:pBdr>
          <w:bottom w:val="single" w:sz="12" w:space="4" w:color="005F2C"/>
        </w:pBdr>
      </w:pPr>
      <w:r>
        <w:rPr>
          <w:sz w:val="28"/>
        </w:rPr>
        <w:t>Pestaña «Avance por dependencia»</w:t>
      </w:r>
    </w:p>
    <w:p>
      <w:r>
        <w:rPr>
          <w:sz w:val="22"/>
        </w:rPr>
        <w:t>Aplicación Shiny · Pestaña «Avance por dependencia»</w:t>
      </w:r>
    </w:p>
    <w:p>
      <w:r>
        <w:rPr>
          <w:color w:val="555555"/>
          <w:sz w:val="22"/>
        </w:rPr>
        <w:t>Septiembre de 2026</w:t>
      </w:r>
    </w:p>
    <w:p>
      <w:r>
        <w:br w:type="page"/>
      </w:r>
    </w:p>
    <w:p>
      <w:pPr>
        <w:pStyle w:val="Heading1"/>
      </w:pPr>
      <w:r>
        <w:t>Contenido</w:t>
      </w:r>
    </w:p>
    <w:p>
      <w:r>
        <w:fldChar w:fldCharType="begin"/>
        <w:instrText xml:space="preserve">TOC \o "1-2" \h \z \u</w:instrText>
        <w:fldChar w:fldCharType="end"/>
      </w:r>
    </w:p>
    <w:p>
      <w:r>
        <w:rPr>
          <w:i/>
          <w:color w:val="777777"/>
          <w:sz w:val="18"/>
        </w:rPr>
        <w:t>Si el índice aparece vacío, haga clic derecho sobre él y elija «Actualizar campos».</w:t>
      </w:r>
    </w:p>
    <w:p>
      <w:r>
        <w:br w:type="page"/>
      </w:r>
    </w:p>
    <w:p>
      <w:pPr>
        <w:pStyle w:val="Heading1"/>
      </w:pPr>
      <w:r>
        <w:t>1. Introducción</w:t>
      </w:r>
    </w:p>
    <w:p>
      <w:pPr>
        <w:pStyle w:val="Heading2"/>
      </w:pPr>
      <w:r>
        <w:t>1.1. Objetivo</w:t>
      </w:r>
    </w:p>
    <w:p>
      <w:r>
        <w:rPr>
          <w:i w:val="0"/>
        </w:rPr>
        <w:t>Este manual explica, paso a paso, cómo usar la pestaña «Avance por dependencia» para consultar el avance de la aplicación de la batería y para gestionar a las personas que faltan por responder.</w:t>
      </w:r>
    </w:p>
    <w:p>
      <w:pPr>
        <w:pStyle w:val="Heading2"/>
      </w:pPr>
      <w:r>
        <w:t>1.2. A quién va dirigido</w:t>
      </w:r>
    </w:p>
    <w:p>
      <w:r>
        <w:rPr>
          <w:i w:val="0"/>
        </w:rPr>
        <w:t>A todas las personas con usuario en la aplicación: administradores, coordinadores, auxiliares administrativos y psicólogos.</w:t>
      </w:r>
    </w:p>
    <w:p>
      <w:pPr>
        <w:pStyle w:val="Heading2"/>
      </w:pPr>
      <w:r>
        <w:t>1.3. Documento complementario</w:t>
      </w:r>
    </w:p>
    <w:p>
      <w:r>
        <w:rPr>
          <w:i w:val="0"/>
        </w:rPr>
        <w:t>Las definiciones de cada indicador y las reglas de conteo están en «Avance por dependencia: conceptos, reglas e indicadores». Este manual las resume solo cuando hace falta para una tarea.</w:t>
      </w:r>
    </w:p>
    <w:p>
      <w:pPr>
        <w:pStyle w:val="Heading1"/>
      </w:pPr>
      <w:r>
        <w:t>2. Antes de empezar</w:t>
      </w:r>
    </w:p>
    <w:p>
      <w:pPr>
        <w:pStyle w:val="Heading2"/>
      </w:pPr>
      <w:r>
        <w:t>2.1. Qué necesita</w:t>
      </w:r>
    </w:p>
    <w:p>
      <w:pPr>
        <w:pStyle w:val="ListBullet"/>
      </w:pPr>
      <w:r>
        <w:t>Un navegador actualizado (Chrome, Edge o Firefox).</w:t>
      </w:r>
    </w:p>
    <w:p>
      <w:pPr>
        <w:pStyle w:val="ListBullet"/>
      </w:pPr>
      <w:r>
        <w:t>La dirección de la aplicación, que le entrega el administrador.</w:t>
      </w:r>
    </w:p>
    <w:p>
      <w:pPr>
        <w:pStyle w:val="ListBullet"/>
      </w:pPr>
      <w:r>
        <w:t>Un usuario y una contraseña temporal, que también le entrega el administrador.</w:t>
      </w:r>
    </w:p>
    <w:p>
      <w:pPr>
        <w:pStyle w:val="Heading2"/>
      </w:pPr>
      <w:r>
        <w:t>2.2. Ingresar por primera vez</w:t>
      </w:r>
    </w:p>
    <w:p>
      <w:pPr>
        <w:spacing w:after="60"/>
        <w:ind w:left="510" w:hanging="340"/>
      </w:pPr>
      <w:r>
        <w:rPr>
          <w:b/>
          <w:color w:val="005F2C"/>
        </w:rPr>
        <w:t xml:space="preserve">1.  </w:t>
      </w:r>
      <w:r>
        <w:t>Abra la dirección de la aplicación en el navegador.</w:t>
      </w:r>
    </w:p>
    <w:p>
      <w:pPr>
        <w:spacing w:after="60"/>
        <w:ind w:left="510" w:hanging="340"/>
      </w:pPr>
      <w:r>
        <w:rPr>
          <w:b/>
          <w:color w:val="005F2C"/>
        </w:rPr>
        <w:t xml:space="preserve">2.  </w:t>
      </w:r>
      <w:r>
        <w:t xml:space="preserve">Escriba su </w:t>
      </w:r>
      <w:r>
        <w:rPr>
          <w:b/>
        </w:rPr>
        <w:t>Usuario</w:t>
      </w:r>
      <w:r>
        <w:t xml:space="preserve"> y su </w:t>
      </w:r>
      <w:r>
        <w:rPr>
          <w:b/>
        </w:rPr>
        <w:t>Contraseña</w:t>
      </w:r>
      <w:r>
        <w:t xml:space="preserve"> temporal y pulse </w:t>
      </w:r>
      <w:r>
        <w:rPr>
          <w:b/>
        </w:rPr>
        <w:t>Ingresar</w:t>
      </w:r>
      <w:r>
        <w:t>.</w:t>
      </w:r>
    </w:p>
    <w:p>
      <w:pPr>
        <w:spacing w:after="60"/>
        <w:ind w:left="510" w:hanging="340"/>
      </w:pPr>
      <w:r>
        <w:rPr>
          <w:b/>
          <w:color w:val="005F2C"/>
        </w:rPr>
        <w:t xml:space="preserve">3.  </w:t>
      </w:r>
      <w:r>
        <w:t xml:space="preserve">La aplicación le pedirá una contraseña propia. Escríbala en </w:t>
      </w:r>
      <w:r>
        <w:rPr>
          <w:b/>
        </w:rPr>
        <w:t>Nueva contraseña</w:t>
      </w:r>
      <w:r>
        <w:t xml:space="preserve"> y en </w:t>
      </w:r>
      <w:r>
        <w:rPr>
          <w:b/>
        </w:rPr>
        <w:t>Repita la contraseña</w:t>
      </w:r>
      <w:r>
        <w:t xml:space="preserve">, y pulse </w:t>
      </w:r>
      <w:r>
        <w:rPr>
          <w:b/>
        </w:rPr>
        <w:t>Guardar y entrar</w:t>
      </w:r>
      <w:r>
        <w:t>.</w:t>
      </w:r>
    </w:p>
    <w:p>
      <w:pPr>
        <w:spacing w:after="60"/>
        <w:ind w:left="510" w:hanging="340"/>
      </w:pPr>
      <w:r>
        <w:rPr>
          <w:b/>
          <w:color w:val="005F2C"/>
        </w:rPr>
        <w:t xml:space="preserve">4.  </w:t>
      </w:r>
      <w:r>
        <w:t>Queda dentro de la aplicación, en la pestaña «Avance por dependencia».</w:t>
      </w:r>
    </w:p>
    <w:tbl>
      <w:tblPr>
        <w:tblW w:type="auto" w:w="0"/>
        <w:jc w:val="center"/>
        <w:tblLook w:firstColumn="1" w:firstRow="1" w:lastColumn="0" w:lastRow="0" w:noHBand="0" w:noVBand="1" w:val="04A0"/>
      </w:tblPr>
      <w:tblGrid>
        <w:gridCol w:w="9406"/>
      </w:tblGrid>
      <w:tr>
        <w:tc>
          <w:tcPr>
            <w:tcW w:type="dxa" w:w="9354"/>
            <w:shd w:val="clear" w:color="auto" w:fill="EEF5F0"/>
          </w:tcPr>
          <w:p>
            <w:pPr>
              <w:spacing w:after="60"/>
            </w:pPr>
            <w:r>
              <w:rPr>
                <w:b/>
                <w:color w:val="005F2C"/>
              </w:rPr>
              <w:t xml:space="preserve">Contraseña. </w:t>
            </w:r>
            <w:r>
              <w:t>Debe tener al menos 8 caracteres, con letras y números.</w:t>
            </w:r>
          </w:p>
        </w:tc>
      </w:tr>
    </w:tbl>
    <w:p>
      <w:pPr>
        <w:spacing w:after="40"/>
      </w:pPr>
    </w:p>
    <w:tbl>
      <w:tblPr>
        <w:tblStyle w:val="TableGrid"/>
        <w:tblW w:type="auto" w:w="0"/>
        <w:jc w:val="center"/>
        <w:tblLook w:firstColumn="1" w:firstRow="1" w:lastColumn="0" w:lastRow="0" w:noHBand="0" w:noVBand="1" w:val="04A0"/>
      </w:tblPr>
      <w:tblGrid>
        <w:gridCol w:w="9406"/>
      </w:tblGrid>
      <w:tr>
        <w:tc>
          <w:tcPr>
            <w:tcW w:type="dxa" w:w="9354"/>
            <w:shd w:val="clear" w:color="auto" w:fill="F4F4F4"/>
          </w:tcPr>
          <w:p>
            <w:pPr>
              <w:spacing w:before="480" w:after="480"/>
              <w:jc w:val="center"/>
            </w:pPr>
            <w:r>
              <w:rPr>
                <w:i/>
                <w:color w:val="888888"/>
                <w:sz w:val="20"/>
              </w:rPr>
              <w:t>[ Insertar captura: pantalla de ingreso ]</w:t>
            </w:r>
          </w:p>
        </w:tc>
      </w:tr>
    </w:tbl>
    <w:p>
      <w:pPr>
        <w:spacing w:after="40"/>
      </w:pPr>
    </w:p>
    <w:p>
      <w:pPr>
        <w:pStyle w:val="Heading2"/>
      </w:pPr>
      <w:r>
        <w:t>2.3. Seguridad de la sesión</w:t>
      </w:r>
    </w:p>
    <w:p>
      <w:pPr>
        <w:pStyle w:val="ListBullet"/>
      </w:pPr>
      <w:r>
        <w:rPr>
          <w:b/>
        </w:rPr>
        <w:t xml:space="preserve">Inactividad: </w:t>
      </w:r>
      <w:r>
        <w:t>la sesión se cierra sola tras 30 minutos sin actividad. Vuelva a ingresar.</w:t>
      </w:r>
    </w:p>
    <w:p>
      <w:pPr>
        <w:pStyle w:val="ListBullet"/>
      </w:pPr>
      <w:r>
        <w:rPr>
          <w:b/>
        </w:rPr>
        <w:t xml:space="preserve">Intentos fallidos: </w:t>
      </w:r>
      <w:r>
        <w:t>después de 5 intentos fallidos hay que esperar 15 minutos. Si olvidó la contraseña, pida al administrador que la reinicie.</w:t>
      </w:r>
    </w:p>
    <w:p>
      <w:pPr>
        <w:pStyle w:val="ListBullet"/>
      </w:pPr>
      <w:r>
        <w:rPr>
          <w:b/>
        </w:rPr>
        <w:t xml:space="preserve">Cambiar contraseña: </w:t>
      </w:r>
      <w:r>
        <w:t>use el enlace «Cambiar contraseña» de la barra superior.</w:t>
      </w:r>
    </w:p>
    <w:p>
      <w:pPr>
        <w:pStyle w:val="ListBullet"/>
      </w:pPr>
      <w:r>
        <w:rPr>
          <w:b/>
        </w:rPr>
        <w:t xml:space="preserve">Salir: </w:t>
      </w:r>
      <w:r>
        <w:t>pulse «Salir» en la barra superior, sobre todo en equipos compartidos.</w:t>
      </w:r>
    </w:p>
    <w:p>
      <w:pPr>
        <w:pStyle w:val="Heading1"/>
      </w:pPr>
      <w:r>
        <w:t>3. Recorrido por la pantalla</w:t>
      </w:r>
    </w:p>
    <w:p>
      <w:r>
        <w:rPr>
          <w:i w:val="0"/>
        </w:rPr>
        <w:t>La pestaña se lee de arriba abajo. Estas son sus partes, en orden:</w:t>
      </w:r>
    </w:p>
    <w:tbl>
      <w:tblPr>
        <w:tblStyle w:val="TableGrid"/>
        <w:tblW w:type="auto" w:w="0"/>
        <w:jc w:val="center"/>
        <w:tblLook w:firstColumn="1" w:firstRow="1" w:lastColumn="0" w:lastRow="0" w:noHBand="0" w:noVBand="1" w:val="04A0"/>
      </w:tblPr>
      <w:tblGrid>
        <w:gridCol w:w="9406"/>
      </w:tblGrid>
      <w:tr>
        <w:tc>
          <w:tcPr>
            <w:tcW w:type="dxa" w:w="9354"/>
            <w:shd w:val="clear" w:color="auto" w:fill="F4F4F4"/>
          </w:tcPr>
          <w:p>
            <w:pPr>
              <w:spacing w:before="480" w:after="480"/>
              <w:jc w:val="center"/>
            </w:pPr>
            <w:r>
              <w:rPr>
                <w:i/>
                <w:color w:val="888888"/>
                <w:sz w:val="20"/>
              </w:rPr>
              <w:t>[ Insertar captura: pestaña completa con las zonas numeradas del 1 al 7 ]</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794"/>
        <w:gridCol w:w="2948"/>
        <w:gridCol w:w="5613"/>
      </w:tblGrid>
      <w:tr>
        <w:trPr>
          <w:tblHeader w:val="true"/>
        </w:trPr>
        <w:tc>
          <w:tcPr>
            <w:tcW w:type="dxa" w:w="794"/>
            <w:shd w:val="clear" w:color="auto" w:fill="005F2C"/>
          </w:tcPr>
          <w:p>
            <w:pPr>
              <w:spacing w:after="40"/>
            </w:pPr>
            <w:r/>
            <w:r>
              <w:rPr>
                <w:b/>
                <w:color w:val="FFFFFF"/>
                <w:sz w:val="20"/>
              </w:rPr>
              <w:t>Zona</w:t>
            </w:r>
          </w:p>
        </w:tc>
        <w:tc>
          <w:tcPr>
            <w:tcW w:type="dxa" w:w="2948"/>
            <w:shd w:val="clear" w:color="auto" w:fill="005F2C"/>
          </w:tcPr>
          <w:p>
            <w:pPr>
              <w:spacing w:after="40"/>
            </w:pPr>
            <w:r/>
            <w:r>
              <w:rPr>
                <w:b/>
                <w:color w:val="FFFFFF"/>
                <w:sz w:val="20"/>
              </w:rPr>
              <w:t>Nombre</w:t>
            </w:r>
          </w:p>
        </w:tc>
        <w:tc>
          <w:tcPr>
            <w:tcW w:type="dxa" w:w="5613"/>
            <w:shd w:val="clear" w:color="auto" w:fill="005F2C"/>
          </w:tcPr>
          <w:p>
            <w:pPr>
              <w:spacing w:after="40"/>
            </w:pPr>
            <w:r/>
            <w:r>
              <w:rPr>
                <w:b/>
                <w:color w:val="FFFFFF"/>
                <w:sz w:val="20"/>
              </w:rPr>
              <w:t>Para qué sirve</w:t>
            </w:r>
          </w:p>
        </w:tc>
      </w:tr>
      <w:tr>
        <w:tc>
          <w:tcPr>
            <w:tcW w:type="dxa" w:w="794"/>
          </w:tcPr>
          <w:p>
            <w:pPr>
              <w:spacing w:after="40"/>
            </w:pPr>
            <w:r/>
            <w:r>
              <w:rPr>
                <w:sz w:val="20"/>
              </w:rPr>
              <w:t>1</w:t>
            </w:r>
          </w:p>
        </w:tc>
        <w:tc>
          <w:tcPr>
            <w:tcW w:type="dxa" w:w="2948"/>
          </w:tcPr>
          <w:p>
            <w:pPr>
              <w:spacing w:after="40"/>
            </w:pPr>
            <w:r/>
            <w:r>
              <w:rPr>
                <w:b/>
                <w:sz w:val="20"/>
              </w:rPr>
              <w:t>Filtros</w:t>
            </w:r>
          </w:p>
        </w:tc>
        <w:tc>
          <w:tcPr>
            <w:tcW w:type="dxa" w:w="5613"/>
          </w:tcPr>
          <w:p>
            <w:pPr>
              <w:spacing w:after="40"/>
            </w:pPr>
            <w:r/>
            <w:r>
              <w:rPr>
                <w:sz w:val="20"/>
              </w:rPr>
              <w:t>Elegir la población: unidad, sede (si existe), búsqueda y orden.</w:t>
            </w:r>
          </w:p>
        </w:tc>
      </w:tr>
      <w:tr>
        <w:tc>
          <w:tcPr>
            <w:tcW w:type="dxa" w:w="794"/>
            <w:shd w:val="clear" w:color="auto" w:fill="EEF5F0"/>
          </w:tcPr>
          <w:p>
            <w:pPr>
              <w:spacing w:after="40"/>
            </w:pPr>
            <w:r/>
            <w:r>
              <w:rPr>
                <w:sz w:val="20"/>
              </w:rPr>
              <w:t>2</w:t>
            </w:r>
          </w:p>
        </w:tc>
        <w:tc>
          <w:tcPr>
            <w:tcW w:type="dxa" w:w="2948"/>
            <w:shd w:val="clear" w:color="auto" w:fill="EEF5F0"/>
          </w:tcPr>
          <w:p>
            <w:pPr>
              <w:spacing w:after="40"/>
            </w:pPr>
            <w:r/>
            <w:r>
              <w:rPr>
                <w:b/>
                <w:sz w:val="20"/>
              </w:rPr>
              <w:t>Cajones de indicadores</w:t>
            </w:r>
          </w:p>
        </w:tc>
        <w:tc>
          <w:tcPr>
            <w:tcW w:type="dxa" w:w="5613"/>
            <w:shd w:val="clear" w:color="auto" w:fill="EEF5F0"/>
          </w:tcPr>
          <w:p>
            <w:pPr>
              <w:spacing w:after="40"/>
            </w:pPr>
            <w:r/>
            <w:r>
              <w:rPr>
                <w:sz w:val="20"/>
              </w:rPr>
              <w:t>Ver el resumen: esperados, encuestados, faltan, efectividad, coberturas.</w:t>
            </w:r>
          </w:p>
        </w:tc>
      </w:tr>
      <w:tr>
        <w:tc>
          <w:tcPr>
            <w:tcW w:type="dxa" w:w="794"/>
          </w:tcPr>
          <w:p>
            <w:pPr>
              <w:spacing w:after="40"/>
            </w:pPr>
            <w:r/>
            <w:r>
              <w:rPr>
                <w:sz w:val="20"/>
              </w:rPr>
              <w:t>3</w:t>
            </w:r>
          </w:p>
        </w:tc>
        <w:tc>
          <w:tcPr>
            <w:tcW w:type="dxa" w:w="2948"/>
          </w:tcPr>
          <w:p>
            <w:pPr>
              <w:spacing w:after="40"/>
            </w:pPr>
            <w:r/>
            <w:r>
              <w:rPr>
                <w:b/>
                <w:sz w:val="20"/>
              </w:rPr>
              <w:t>Gráfico</w:t>
            </w:r>
          </w:p>
        </w:tc>
        <w:tc>
          <w:tcPr>
            <w:tcW w:type="dxa" w:w="5613"/>
          </w:tcPr>
          <w:p>
            <w:pPr>
              <w:spacing w:after="40"/>
            </w:pPr>
            <w:r/>
            <w:r>
              <w:rPr>
                <w:sz w:val="20"/>
              </w:rPr>
              <w:t>Ver la evolución por día o por semana de cada métrica.</w:t>
            </w:r>
          </w:p>
        </w:tc>
      </w:tr>
      <w:tr>
        <w:tc>
          <w:tcPr>
            <w:tcW w:type="dxa" w:w="794"/>
            <w:shd w:val="clear" w:color="auto" w:fill="EEF5F0"/>
          </w:tcPr>
          <w:p>
            <w:pPr>
              <w:spacing w:after="40"/>
            </w:pPr>
            <w:r/>
            <w:r>
              <w:rPr>
                <w:sz w:val="20"/>
              </w:rPr>
              <w:t>4</w:t>
            </w:r>
          </w:p>
        </w:tc>
        <w:tc>
          <w:tcPr>
            <w:tcW w:type="dxa" w:w="2948"/>
            <w:shd w:val="clear" w:color="auto" w:fill="EEF5F0"/>
          </w:tcPr>
          <w:p>
            <w:pPr>
              <w:spacing w:after="40"/>
            </w:pPr>
            <w:r/>
            <w:r>
              <w:rPr>
                <w:b/>
                <w:sz w:val="20"/>
              </w:rPr>
              <w:t>Resumen y selector de vista</w:t>
            </w:r>
          </w:p>
        </w:tc>
        <w:tc>
          <w:tcPr>
            <w:tcW w:type="dxa" w:w="5613"/>
            <w:shd w:val="clear" w:color="auto" w:fill="EEF5F0"/>
          </w:tcPr>
          <w:p>
            <w:pPr>
              <w:spacing w:after="40"/>
            </w:pPr>
            <w:r/>
            <w:r>
              <w:rPr>
                <w:sz w:val="20"/>
              </w:rPr>
              <w:t>Cuántas dependencias y pendientes se muestran; cambiar entre Listado y Mapa de avance.</w:t>
            </w:r>
          </w:p>
        </w:tc>
      </w:tr>
      <w:tr>
        <w:tc>
          <w:tcPr>
            <w:tcW w:type="dxa" w:w="794"/>
          </w:tcPr>
          <w:p>
            <w:pPr>
              <w:spacing w:after="40"/>
            </w:pPr>
            <w:r/>
            <w:r>
              <w:rPr>
                <w:sz w:val="20"/>
              </w:rPr>
              <w:t>5</w:t>
            </w:r>
          </w:p>
        </w:tc>
        <w:tc>
          <w:tcPr>
            <w:tcW w:type="dxa" w:w="2948"/>
          </w:tcPr>
          <w:p>
            <w:pPr>
              <w:spacing w:after="40"/>
            </w:pPr>
            <w:r/>
            <w:r>
              <w:rPr>
                <w:b/>
                <w:sz w:val="20"/>
              </w:rPr>
              <w:t>Listado / Mapa de avance</w:t>
            </w:r>
          </w:p>
        </w:tc>
        <w:tc>
          <w:tcPr>
            <w:tcW w:type="dxa" w:w="5613"/>
          </w:tcPr>
          <w:p>
            <w:pPr>
              <w:spacing w:after="40"/>
            </w:pPr>
            <w:r/>
            <w:r>
              <w:rPr>
                <w:sz w:val="20"/>
              </w:rPr>
              <w:t>Comparar dependencias y abrir una.</w:t>
            </w:r>
          </w:p>
        </w:tc>
      </w:tr>
      <w:tr>
        <w:tc>
          <w:tcPr>
            <w:tcW w:type="dxa" w:w="794"/>
            <w:shd w:val="clear" w:color="auto" w:fill="EEF5F0"/>
          </w:tcPr>
          <w:p>
            <w:pPr>
              <w:spacing w:after="40"/>
            </w:pPr>
            <w:r/>
            <w:r>
              <w:rPr>
                <w:sz w:val="20"/>
              </w:rPr>
              <w:t>6</w:t>
            </w:r>
          </w:p>
        </w:tc>
        <w:tc>
          <w:tcPr>
            <w:tcW w:type="dxa" w:w="2948"/>
            <w:shd w:val="clear" w:color="auto" w:fill="EEF5F0"/>
          </w:tcPr>
          <w:p>
            <w:pPr>
              <w:spacing w:after="40"/>
            </w:pPr>
            <w:r/>
            <w:r>
              <w:rPr>
                <w:b/>
                <w:sz w:val="20"/>
              </w:rPr>
              <w:t>Detalle de la dependencia</w:t>
            </w:r>
          </w:p>
        </w:tc>
        <w:tc>
          <w:tcPr>
            <w:tcW w:type="dxa" w:w="5613"/>
            <w:shd w:val="clear" w:color="auto" w:fill="EEF5F0"/>
          </w:tcPr>
          <w:p>
            <w:pPr>
              <w:spacing w:after="40"/>
            </w:pPr>
            <w:r/>
            <w:r>
              <w:rPr>
                <w:sz w:val="20"/>
              </w:rPr>
              <w:t>Cifras de la dependencia y su lista de personas.</w:t>
            </w:r>
          </w:p>
        </w:tc>
      </w:tr>
      <w:tr>
        <w:tc>
          <w:tcPr>
            <w:tcW w:type="dxa" w:w="794"/>
          </w:tcPr>
          <w:p>
            <w:pPr>
              <w:spacing w:after="40"/>
            </w:pPr>
            <w:r/>
            <w:r>
              <w:rPr>
                <w:sz w:val="20"/>
              </w:rPr>
              <w:t>7</w:t>
            </w:r>
          </w:p>
        </w:tc>
        <w:tc>
          <w:tcPr>
            <w:tcW w:type="dxa" w:w="2948"/>
          </w:tcPr>
          <w:p>
            <w:pPr>
              <w:spacing w:after="40"/>
            </w:pPr>
            <w:r/>
            <w:r>
              <w:rPr>
                <w:b/>
                <w:sz w:val="20"/>
              </w:rPr>
              <w:t>Quién no contestó</w:t>
            </w:r>
          </w:p>
        </w:tc>
        <w:tc>
          <w:tcPr>
            <w:tcW w:type="dxa" w:w="5613"/>
          </w:tcPr>
          <w:p>
            <w:pPr>
              <w:spacing w:after="40"/>
            </w:pPr>
            <w:r/>
            <w:r>
              <w:rPr>
                <w:sz w:val="20"/>
              </w:rPr>
              <w:t>Personas citadas un día que siguen sin responder.</w:t>
            </w:r>
          </w:p>
        </w:tc>
      </w:tr>
    </w:tbl>
    <w:p>
      <w:pPr>
        <w:spacing w:after="40"/>
      </w:pPr>
    </w:p>
    <w:p>
      <w:pPr>
        <w:pStyle w:val="Heading1"/>
      </w:pPr>
      <w:r>
        <w:t>4. Tareas paso a paso</w:t>
      </w:r>
    </w:p>
    <w:p>
      <w:pPr>
        <w:pStyle w:val="Heading2"/>
      </w:pPr>
      <w:r>
        <w:t>4.1. Filtrar y buscar dependencias</w:t>
      </w:r>
    </w:p>
    <w:p>
      <w:pPr>
        <w:spacing w:after="60"/>
        <w:ind w:left="510" w:hanging="340"/>
      </w:pPr>
      <w:r>
        <w:rPr>
          <w:b/>
          <w:color w:val="005F2C"/>
        </w:rPr>
        <w:t xml:space="preserve">1.  </w:t>
      </w:r>
      <w:r>
        <w:t xml:space="preserve">En </w:t>
      </w:r>
      <w:r>
        <w:rPr>
          <w:b/>
        </w:rPr>
        <w:t>Unidad</w:t>
      </w:r>
      <w:r>
        <w:t>, elija una o varias facultades, escuelas o direcciones.</w:t>
      </w:r>
    </w:p>
    <w:p>
      <w:pPr>
        <w:spacing w:after="60"/>
        <w:ind w:left="510" w:hanging="340"/>
      </w:pPr>
      <w:r>
        <w:rPr>
          <w:b/>
          <w:color w:val="005F2C"/>
        </w:rPr>
        <w:t xml:space="preserve">2.  </w:t>
      </w:r>
      <w:r>
        <w:t xml:space="preserve">Si quiere una dependencia concreta, escriba parte de su nombre en </w:t>
      </w:r>
      <w:r>
        <w:rPr>
          <w:b/>
        </w:rPr>
        <w:t>Buscar dependencia</w:t>
      </w:r>
      <w:r>
        <w:t>.</w:t>
      </w:r>
    </w:p>
    <w:p>
      <w:pPr>
        <w:spacing w:after="60"/>
        <w:ind w:left="510" w:hanging="340"/>
      </w:pPr>
      <w:r>
        <w:rPr>
          <w:b/>
          <w:color w:val="005F2C"/>
        </w:rPr>
        <w:t xml:space="preserve">3.  </w:t>
      </w:r>
      <w:r>
        <w:t>Los cajones, el gráfico y el listado se actualizan solos.</w:t>
      </w:r>
    </w:p>
    <w:p>
      <w:pPr>
        <w:spacing w:after="60"/>
        <w:ind w:left="510" w:hanging="340"/>
      </w:pPr>
      <w:r>
        <w:rPr>
          <w:b/>
          <w:color w:val="005F2C"/>
        </w:rPr>
        <w:t xml:space="preserve">4.  </w:t>
      </w:r>
      <w:r>
        <w:t xml:space="preserve">Para volver a ver todo, pulse </w:t>
      </w:r>
      <w:r>
        <w:rPr>
          <w:b/>
        </w:rPr>
        <w:t>Limpiar filtros</w:t>
      </w:r>
      <w:r>
        <w:t>.</w:t>
      </w:r>
    </w:p>
    <w:tbl>
      <w:tblPr>
        <w:tblW w:type="auto" w:w="0"/>
        <w:jc w:val="center"/>
        <w:tblLook w:firstColumn="1" w:firstRow="1" w:lastColumn="0" w:lastRow="0" w:noHBand="0" w:noVBand="1" w:val="04A0"/>
      </w:tblPr>
      <w:tblGrid>
        <w:gridCol w:w="9406"/>
      </w:tblGrid>
      <w:tr>
        <w:tc>
          <w:tcPr>
            <w:tcW w:type="dxa" w:w="9354"/>
            <w:shd w:val="clear" w:color="auto" w:fill="EEF5F0"/>
          </w:tcPr>
          <w:p>
            <w:pPr>
              <w:spacing w:after="60"/>
            </w:pPr>
            <w:r>
              <w:rPr>
                <w:b/>
                <w:color w:val="005F2C"/>
              </w:rPr>
              <w:t xml:space="preserve">Consejo. </w:t>
            </w:r>
            <w:r>
              <w:t>La búsqueda no distingue mayúsculas ni tildes: «ingenieria» encuentra «Facultad de Ingeniería».</w:t>
            </w:r>
          </w:p>
        </w:tc>
      </w:tr>
    </w:tbl>
    <w:p>
      <w:pPr>
        <w:spacing w:after="40"/>
      </w:pPr>
    </w:p>
    <w:p>
      <w:pPr>
        <w:pStyle w:val="Heading2"/>
      </w:pPr>
      <w:r>
        <w:t>4.2. Ordenar el listado</w:t>
      </w:r>
    </w:p>
    <w:p>
      <w:pPr>
        <w:spacing w:after="60"/>
        <w:ind w:left="510" w:hanging="340"/>
      </w:pPr>
      <w:r>
        <w:rPr>
          <w:b/>
          <w:color w:val="005F2C"/>
        </w:rPr>
        <w:t xml:space="preserve">1.  </w:t>
      </w:r>
      <w:r>
        <w:t xml:space="preserve">Elija el criterio en </w:t>
      </w:r>
      <w:r>
        <w:rPr>
          <w:b/>
        </w:rPr>
        <w:t>Ordenar por</w:t>
      </w:r>
      <w:r>
        <w:t>: más pendientes, menor avance, más encuestados, nombre o más grandes.</w:t>
      </w:r>
    </w:p>
    <w:p>
      <w:pPr>
        <w:spacing w:after="60"/>
        <w:ind w:left="510" w:hanging="340"/>
      </w:pPr>
      <w:r>
        <w:rPr>
          <w:b/>
          <w:color w:val="005F2C"/>
        </w:rPr>
        <w:t xml:space="preserve">2.  </w:t>
      </w:r>
      <w:r>
        <w:t>También puede pulsar la cabecera de una columna de la tabla (Dependencia, Avance, Encuestados, Pendientes).</w:t>
      </w:r>
    </w:p>
    <w:p>
      <w:pPr>
        <w:pStyle w:val="Heading2"/>
      </w:pPr>
      <w:r>
        <w:t>4.3. Consultar el avance general</w:t>
      </w:r>
    </w:p>
    <w:p>
      <w:pPr>
        <w:spacing w:after="60"/>
        <w:ind w:left="510" w:hanging="340"/>
      </w:pPr>
      <w:r>
        <w:rPr>
          <w:b/>
          <w:color w:val="005F2C"/>
        </w:rPr>
        <w:t xml:space="preserve">1.  </w:t>
      </w:r>
      <w:r>
        <w:t>Aplique los filtros que necesite (o ninguno para ver toda la universidad).</w:t>
      </w:r>
    </w:p>
    <w:p>
      <w:pPr>
        <w:spacing w:after="60"/>
        <w:ind w:left="510" w:hanging="340"/>
      </w:pPr>
      <w:r>
        <w:rPr>
          <w:b/>
          <w:color w:val="005F2C"/>
        </w:rPr>
        <w:t xml:space="preserve">2.  </w:t>
      </w:r>
      <w:r>
        <w:t>Lea la fila de cajones: Esperados, Encuestados, Formas A y B, Faltan, Efectividad, No efectivas, Cobertura Citados, Cobertura Esperados, Dependencias y Al 100 %.</w:t>
      </w:r>
    </w:p>
    <w:p>
      <w:pPr>
        <w:spacing w:after="60"/>
        <w:ind w:left="510" w:hanging="340"/>
      </w:pPr>
      <w:r>
        <w:rPr>
          <w:b/>
          <w:color w:val="005F2C"/>
        </w:rPr>
        <w:t xml:space="preserve">3.  </w:t>
      </w:r>
      <w:r>
        <w:t>Debajo de cada porcentaje aparece el número de personas al que corresponde.</w:t>
      </w:r>
    </w:p>
    <w:p>
      <w:pPr>
        <w:pStyle w:val="Heading2"/>
      </w:pPr>
      <w:r>
        <w:t>4.4. Cambiar la vista del gráfico</w:t>
      </w:r>
    </w:p>
    <w:p>
      <w:pPr>
        <w:spacing w:after="60"/>
        <w:ind w:left="510" w:hanging="340"/>
      </w:pPr>
      <w:r>
        <w:rPr>
          <w:b/>
          <w:color w:val="005F2C"/>
        </w:rPr>
        <w:t xml:space="preserve">1.  </w:t>
      </w:r>
      <w:r>
        <w:t xml:space="preserve">En la cabecera del gráfico, elija el grano: </w:t>
      </w:r>
      <w:r>
        <w:rPr>
          <w:b/>
        </w:rPr>
        <w:t>Semanas</w:t>
      </w:r>
      <w:r>
        <w:t xml:space="preserve"> o </w:t>
      </w:r>
      <w:r>
        <w:rPr>
          <w:b/>
        </w:rPr>
        <w:t>Días</w:t>
      </w:r>
      <w:r>
        <w:t>.</w:t>
      </w:r>
    </w:p>
    <w:p>
      <w:pPr>
        <w:spacing w:after="60"/>
        <w:ind w:left="510" w:hanging="340"/>
      </w:pPr>
      <w:r>
        <w:rPr>
          <w:b/>
          <w:color w:val="005F2C"/>
        </w:rPr>
        <w:t xml:space="preserve">2.  </w:t>
      </w:r>
      <w:r>
        <w:t xml:space="preserve">Debajo, elija la métrica: </w:t>
      </w:r>
      <w:r>
        <w:rPr>
          <w:b/>
        </w:rPr>
        <w:t>Avance</w:t>
      </w:r>
      <w:r>
        <w:t xml:space="preserve">, </w:t>
      </w:r>
      <w:r>
        <w:rPr>
          <w:b/>
        </w:rPr>
        <w:t>Efectividad</w:t>
      </w:r>
      <w:r>
        <w:t xml:space="preserve">, </w:t>
      </w:r>
      <w:r>
        <w:rPr>
          <w:b/>
        </w:rPr>
        <w:t>Cobertura Citados</w:t>
      </w:r>
      <w:r>
        <w:t xml:space="preserve"> o </w:t>
      </w:r>
      <w:r>
        <w:rPr>
          <w:b/>
        </w:rPr>
        <w:t>Cobertura Esperados</w:t>
      </w:r>
      <w:r>
        <w:t>.</w:t>
      </w:r>
    </w:p>
    <w:p>
      <w:pPr>
        <w:spacing w:after="60"/>
        <w:ind w:left="510" w:hanging="340"/>
      </w:pPr>
      <w:r>
        <w:rPr>
          <w:b/>
          <w:color w:val="005F2C"/>
        </w:rPr>
        <w:t xml:space="preserve">3.  </w:t>
      </w:r>
      <w:r>
        <w:t>En la vista de días, pase el cursor sobre la curva (o use las flechas del teclado) para ver las cifras de cada día.</w:t>
      </w:r>
    </w:p>
    <w:tbl>
      <w:tblPr>
        <w:tblStyle w:val="TableGrid"/>
        <w:tblW w:type="auto" w:w="0"/>
        <w:jc w:val="center"/>
        <w:tblLook w:firstColumn="1" w:firstRow="1" w:lastColumn="0" w:lastRow="0" w:noHBand="0" w:noVBand="1" w:val="04A0"/>
      </w:tblPr>
      <w:tblGrid>
        <w:gridCol w:w="9406"/>
      </w:tblGrid>
      <w:tr>
        <w:tc>
          <w:tcPr>
            <w:tcW w:type="dxa" w:w="9354"/>
            <w:shd w:val="clear" w:color="auto" w:fill="F4F4F4"/>
          </w:tcPr>
          <w:p>
            <w:pPr>
              <w:spacing w:before="480" w:after="480"/>
              <w:jc w:val="center"/>
            </w:pPr>
            <w:r>
              <w:rPr>
                <w:i/>
                <w:color w:val="888888"/>
                <w:sz w:val="20"/>
              </w:rPr>
              <w:t>[ Insertar captura: gráfico con los dos selectores ]</w:t>
            </w:r>
          </w:p>
        </w:tc>
      </w:tr>
    </w:tbl>
    <w:p>
      <w:pPr>
        <w:spacing w:after="40"/>
      </w:pPr>
    </w:p>
    <w:p>
      <w:pPr>
        <w:pStyle w:val="Heading2"/>
      </w:pPr>
      <w:r>
        <w:t>4.5. Ver el mapa de avance</w:t>
      </w:r>
    </w:p>
    <w:p>
      <w:pPr>
        <w:spacing w:after="60"/>
        <w:ind w:left="510" w:hanging="340"/>
      </w:pPr>
      <w:r>
        <w:rPr>
          <w:b/>
          <w:color w:val="005F2C"/>
        </w:rPr>
        <w:t xml:space="preserve">1.  </w:t>
      </w:r>
      <w:r>
        <w:t xml:space="preserve">Sobre el listado, cambie el selector de </w:t>
      </w:r>
      <w:r>
        <w:rPr>
          <w:b/>
        </w:rPr>
        <w:t>Listado</w:t>
      </w:r>
      <w:r>
        <w:t xml:space="preserve"> a </w:t>
      </w:r>
      <w:r>
        <w:rPr>
          <w:b/>
        </w:rPr>
        <w:t>Mapa de avance</w:t>
      </w:r>
      <w:r>
        <w:t>.</w:t>
      </w:r>
    </w:p>
    <w:p>
      <w:pPr>
        <w:spacing w:after="60"/>
        <w:ind w:left="510" w:hanging="340"/>
      </w:pPr>
      <w:r>
        <w:rPr>
          <w:b/>
          <w:color w:val="005F2C"/>
        </w:rPr>
        <w:t xml:space="preserve">2.  </w:t>
      </w:r>
      <w:r>
        <w:t>Arriba verá cuántas dependencias están Críticas, En curso y Al día, y cuántas personas faltan en cada grupo.</w:t>
      </w:r>
    </w:p>
    <w:p>
      <w:pPr>
        <w:spacing w:after="60"/>
        <w:ind w:left="510" w:hanging="340"/>
      </w:pPr>
      <w:r>
        <w:rPr>
          <w:b/>
          <w:color w:val="005F2C"/>
        </w:rPr>
        <w:t xml:space="preserve">3.  </w:t>
      </w:r>
      <w:r>
        <w:t>Cada pieza del mosaico es una dependencia; su color va de rojo (0 %) a verde (100 %).</w:t>
      </w:r>
    </w:p>
    <w:p>
      <w:pPr>
        <w:spacing w:after="60"/>
        <w:ind w:left="510" w:hanging="340"/>
      </w:pPr>
      <w:r>
        <w:rPr>
          <w:b/>
          <w:color w:val="005F2C"/>
        </w:rPr>
        <w:t xml:space="preserve">4.  </w:t>
      </w:r>
      <w:r>
        <w:t>Pulse una pieza para abrir su detalle.</w:t>
      </w:r>
    </w:p>
    <w:p>
      <w:pPr>
        <w:pStyle w:val="Heading2"/>
      </w:pPr>
      <w:r>
        <w:t>4.6. Abrir el detalle de una dependencia</w:t>
      </w:r>
    </w:p>
    <w:p>
      <w:pPr>
        <w:spacing w:after="60"/>
        <w:ind w:left="510" w:hanging="340"/>
      </w:pPr>
      <w:r>
        <w:rPr>
          <w:b/>
          <w:color w:val="005F2C"/>
        </w:rPr>
        <w:t xml:space="preserve">1.  </w:t>
      </w:r>
      <w:r>
        <w:t>Haga clic en la fila, tarjeta o pieza de la dependencia.</w:t>
      </w:r>
    </w:p>
    <w:p>
      <w:pPr>
        <w:spacing w:after="60"/>
        <w:ind w:left="510" w:hanging="340"/>
      </w:pPr>
      <w:r>
        <w:rPr>
          <w:b/>
          <w:color w:val="005F2C"/>
        </w:rPr>
        <w:t xml:space="preserve">2.  </w:t>
      </w:r>
      <w:r>
        <w:t>El detalle se abre debajo del listado, en la pestaña «Avance».</w:t>
      </w:r>
    </w:p>
    <w:p>
      <w:pPr>
        <w:spacing w:after="60"/>
        <w:ind w:left="510" w:hanging="340"/>
      </w:pPr>
      <w:r>
        <w:rPr>
          <w:b/>
          <w:color w:val="005F2C"/>
        </w:rPr>
        <w:t xml:space="preserve">3.  </w:t>
      </w:r>
      <w:r>
        <w:t xml:space="preserve">Para cerrarlo, pulse </w:t>
      </w:r>
      <w:r>
        <w:rPr>
          <w:b/>
        </w:rPr>
        <w:t>Cerrar</w:t>
      </w:r>
      <w:r>
        <w:t xml:space="preserve"> en la esquina del detalle.</w:t>
      </w:r>
    </w:p>
    <w:p>
      <w:pPr>
        <w:pStyle w:val="Heading2"/>
      </w:pPr>
      <w:r>
        <w:t>4.7. Consultar y descargar la lista de personas</w:t>
      </w:r>
    </w:p>
    <w:p>
      <w:pPr>
        <w:spacing w:after="60"/>
        <w:ind w:left="510" w:hanging="340"/>
      </w:pPr>
      <w:r>
        <w:rPr>
          <w:b/>
          <w:color w:val="005F2C"/>
        </w:rPr>
        <w:t xml:space="preserve">1.  </w:t>
      </w:r>
      <w:r>
        <w:t xml:space="preserve">En el detalle, abra la pestaña </w:t>
      </w:r>
      <w:r>
        <w:rPr>
          <w:b/>
        </w:rPr>
        <w:t>Personas</w:t>
      </w:r>
      <w:r>
        <w:t>.</w:t>
      </w:r>
    </w:p>
    <w:p>
      <w:pPr>
        <w:spacing w:after="60"/>
        <w:ind w:left="510" w:hanging="340"/>
      </w:pPr>
      <w:r>
        <w:rPr>
          <w:b/>
          <w:color w:val="005F2C"/>
        </w:rPr>
        <w:t xml:space="preserve">2.  </w:t>
      </w:r>
      <w:r>
        <w:t xml:space="preserve">En </w:t>
      </w:r>
      <w:r>
        <w:rPr>
          <w:b/>
        </w:rPr>
        <w:t xml:space="preserve">Mostrar</w:t>
      </w:r>
      <w:r>
        <w:t xml:space="preserve">, elija el grupo: </w:t>
      </w:r>
      <w:r>
        <w:rPr>
          <w:b/>
        </w:rPr>
        <w:t xml:space="preserve">Faltan</w:t>
      </w:r>
      <w:r>
        <w:t xml:space="preserve">, </w:t>
      </w:r>
      <w:r>
        <w:rPr>
          <w:b/>
        </w:rPr>
        <w:t xml:space="preserve">Respondieron</w:t>
      </w:r>
      <w:r>
        <w:t xml:space="preserve">, </w:t>
      </w:r>
      <w:r>
        <w:rPr>
          <w:b/>
        </w:rPr>
        <w:t xml:space="preserve">Citados sin responder</w:t>
      </w:r>
      <w:r>
        <w:t xml:space="preserve">, </w:t>
      </w:r>
      <w:r>
        <w:rPr>
          <w:b/>
        </w:rPr>
        <w:t xml:space="preserve">Casos cerrados: rechazo o ausente</w:t>
      </w:r>
      <w:r>
        <w:t xml:space="preserve">, </w:t>
      </w:r>
      <w:r>
        <w:rPr>
          <w:b/>
        </w:rPr>
        <w:t xml:space="preserve">Todos los elegibles</w:t>
      </w:r>
      <w:r>
        <w:t xml:space="preserve"> o </w:t>
      </w:r>
      <w:r>
        <w:rPr>
          <w:b/>
        </w:rPr>
        <w:t xml:space="preserve">No elegibles</w:t>
      </w:r>
      <w:r>
        <w:t xml:space="preserve">. Los citados, los casos cerrados y los no elegibles solo aparecen si hay alguno.</w:t>
      </w:r>
    </w:p>
    <w:p>
      <w:pPr>
        <w:spacing w:after="60"/>
        <w:ind w:left="510" w:hanging="340"/>
      </w:pPr>
      <w:r>
        <w:rPr>
          <w:b/>
          <w:color w:val="005F2C"/>
        </w:rPr>
        <w:t xml:space="preserve">3.  </w:t>
      </w:r>
      <w:r>
        <w:t xml:space="preserve">Pulse </w:t>
      </w:r>
      <w:r>
        <w:rPr>
          <w:b/>
        </w:rPr>
        <w:t>Descargar Excel</w:t>
      </w:r>
      <w:r>
        <w:t xml:space="preserve"> para bajar exactamente la lista que está viendo.</w:t>
      </w:r>
    </w:p>
    <w:tbl>
      <w:tblPr>
        <w:tblStyle w:val="TableGrid"/>
        <w:tblW w:type="auto" w:w="0"/>
        <w:jc w:val="center"/>
        <w:tblLook w:firstColumn="1" w:firstRow="1" w:lastColumn="0" w:lastRow="0" w:noHBand="0" w:noVBand="1" w:val="04A0"/>
      </w:tblPr>
      <w:tblGrid>
        <w:gridCol w:w="9406"/>
      </w:tblGrid>
      <w:tr>
        <w:tc>
          <w:tcPr>
            <w:tcW w:type="dxa" w:w="9354"/>
            <w:shd w:val="clear" w:color="auto" w:fill="F4F4F4"/>
          </w:tcPr>
          <w:p>
            <w:pPr>
              <w:spacing w:before="480" w:after="480"/>
              <w:jc w:val="center"/>
            </w:pPr>
            <w:r>
              <w:rPr>
                <w:i/>
                <w:color w:val="888888"/>
                <w:sz w:val="20"/>
              </w:rPr>
              <w:t>[ Insertar captura: pestaña Personas con el selector «Mostrar» ]</w:t>
            </w:r>
          </w:p>
        </w:tc>
      </w:tr>
    </w:tbl>
    <w:p>
      <w:pPr>
        <w:spacing w:after="40"/>
      </w:pPr>
    </w:p>
    <w:p>
      <w:pPr>
        <w:pStyle w:val="Heading2"/>
      </w:pPr>
      <w:r>
        <w:t>4.8. Registrar un contacto con una persona</w:t>
      </w:r>
    </w:p>
    <w:p>
      <w:pPr>
        <w:spacing w:after="60"/>
        <w:ind w:left="510" w:hanging="340"/>
      </w:pPr>
      <w:r>
        <w:rPr>
          <w:b/>
          <w:color w:val="005F2C"/>
        </w:rPr>
        <w:t xml:space="preserve">1.  </w:t>
      </w:r>
      <w:r>
        <w:t>En la pestaña Personas (grupo Faltan o Citados sin responder), ubique a la persona.</w:t>
      </w:r>
    </w:p>
    <w:p>
      <w:pPr>
        <w:spacing w:after="60"/>
        <w:ind w:left="510" w:hanging="340"/>
      </w:pPr>
      <w:r>
        <w:rPr>
          <w:b/>
          <w:color w:val="005F2C"/>
        </w:rPr>
        <w:t xml:space="preserve">2.  </w:t>
      </w:r>
      <w:r>
        <w:t xml:space="preserve">Pulse </w:t>
      </w:r>
      <w:r>
        <w:rPr>
          <w:b/>
        </w:rPr>
        <w:t>Contactar</w:t>
      </w:r>
      <w:r>
        <w:t xml:space="preserve"> en su fila. Si ya tiene contactos, el botón dice «Contactar…» y la ventana muestra su historial.</w:t>
      </w:r>
    </w:p>
    <w:p>
      <w:pPr>
        <w:spacing w:after="60"/>
        <w:ind w:left="510" w:hanging="340"/>
      </w:pPr>
      <w:r>
        <w:rPr>
          <w:b/>
          <w:color w:val="005F2C"/>
        </w:rPr>
        <w:t xml:space="preserve">3.  </w:t>
      </w:r>
      <w:r>
        <w:t xml:space="preserve">Complete la ventana: </w:t>
      </w:r>
      <w:r>
        <w:rPr>
          <w:b/>
        </w:rPr>
        <w:t>Fecha del contacto</w:t>
      </w:r>
      <w:r>
        <w:t xml:space="preserve">, </w:t>
      </w:r>
      <w:r>
        <w:rPr>
          <w:b/>
        </w:rPr>
        <w:t>Medio del contacto</w:t>
      </w:r>
      <w:r>
        <w:t xml:space="preserve"> (si elige «Otro», escriba cuál), </w:t>
      </w:r>
      <w:r>
        <w:rPr>
          <w:b/>
        </w:rPr>
        <w:t>Observación</w:t>
      </w:r>
      <w:r>
        <w:t xml:space="preserve"> (opcional) y </w:t>
      </w:r>
      <w:r>
        <w:rPr>
          <w:b/>
        </w:rPr>
        <w:t>Cómo queda el seguimiento</w:t>
      </w:r>
      <w:r>
        <w:t>.</w:t>
      </w:r>
    </w:p>
    <w:p>
      <w:pPr>
        <w:spacing w:after="60"/>
        <w:ind w:left="510" w:hanging="340"/>
      </w:pPr>
      <w:r>
        <w:rPr>
          <w:b/>
          <w:color w:val="005F2C"/>
        </w:rPr>
        <w:t xml:space="preserve">4.  </w:t>
      </w:r>
      <w:r>
        <w:t xml:space="preserve">Pulse </w:t>
      </w:r>
      <w:r>
        <w:rPr>
          <w:b/>
        </w:rPr>
        <w:t>Guardar contacto</w:t>
      </w:r>
      <w:r>
        <w:t>.</w:t>
      </w:r>
    </w:p>
    <w:tbl>
      <w:tblPr>
        <w:tblStyle w:val="TableGrid"/>
        <w:tblW w:type="auto" w:w="0"/>
        <w:jc w:val="center"/>
        <w:tblLook w:firstColumn="1" w:firstRow="1" w:lastColumn="0" w:lastRow="0" w:noHBand="0" w:noVBand="1" w:val="04A0"/>
      </w:tblPr>
      <w:tblGrid>
        <w:gridCol w:w="9406"/>
      </w:tblGrid>
      <w:tr>
        <w:tc>
          <w:tcPr>
            <w:tcW w:type="dxa" w:w="9354"/>
            <w:shd w:val="clear" w:color="auto" w:fill="F4F4F4"/>
          </w:tcPr>
          <w:p>
            <w:pPr>
              <w:spacing w:before="480" w:after="480"/>
              <w:jc w:val="center"/>
            </w:pPr>
            <w:r>
              <w:rPr>
                <w:i/>
                <w:color w:val="888888"/>
                <w:sz w:val="20"/>
              </w:rPr>
              <w:t>[ Insertar captura: ventana «Registrar contacto» ]</w:t>
            </w:r>
          </w:p>
        </w:tc>
      </w:tr>
    </w:tbl>
    <w:p>
      <w:pPr>
        <w:spacing w:after="40"/>
      </w:pPr>
    </w:p>
    <w:p>
      <w:pPr>
        <w:pStyle w:val="Heading2"/>
      </w:pPr>
      <w:r>
        <w:t>4.9. Registrar el mismo contacto a varias personas</w:t>
      </w:r>
    </w:p>
    <w:p>
      <w:pPr>
        <w:spacing w:after="60"/>
        <w:ind w:left="510" w:hanging="340"/>
      </w:pPr>
      <w:r>
        <w:rPr>
          <w:b/>
          <w:color w:val="005F2C"/>
        </w:rPr>
        <w:t xml:space="preserve">1.  </w:t>
      </w:r>
      <w:r>
        <w:t>En la pestaña Personas, elija el grupo Faltan o Citados sin responder.</w:t>
      </w:r>
    </w:p>
    <w:p>
      <w:pPr>
        <w:spacing w:after="60"/>
        <w:ind w:left="510" w:hanging="340"/>
      </w:pPr>
      <w:r>
        <w:rPr>
          <w:b/>
          <w:color w:val="005F2C"/>
        </w:rPr>
        <w:t xml:space="preserve">2.  </w:t>
      </w:r>
      <w:r>
        <w:t>Marque las casillas de las personas (la casilla de la cabecera marca todas las de la lista).</w:t>
      </w:r>
    </w:p>
    <w:p>
      <w:pPr>
        <w:spacing w:after="60"/>
        <w:ind w:left="510" w:hanging="340"/>
      </w:pPr>
      <w:r>
        <w:rPr>
          <w:b/>
          <w:color w:val="005F2C"/>
        </w:rPr>
        <w:t xml:space="preserve">3.  </w:t>
      </w:r>
      <w:r>
        <w:t xml:space="preserve">Pulse </w:t>
      </w:r>
      <w:r>
        <w:rPr>
          <w:b/>
        </w:rPr>
        <w:t>Registrar contacto a N personas</w:t>
      </w:r>
      <w:r>
        <w:t>.</w:t>
      </w:r>
    </w:p>
    <w:p>
      <w:pPr>
        <w:spacing w:after="60"/>
        <w:ind w:left="510" w:hanging="340"/>
      </w:pPr>
      <w:r>
        <w:rPr>
          <w:b/>
          <w:color w:val="005F2C"/>
        </w:rPr>
        <w:t xml:space="preserve">4.  </w:t>
      </w:r>
      <w:r>
        <w:t xml:space="preserve">Complete la ventana y pulse </w:t>
      </w:r>
      <w:r>
        <w:rPr>
          <w:b/>
        </w:rPr>
        <w:t>Guardar contacto</w:t>
      </w:r>
      <w:r>
        <w:t>. Se guarda un contacto igual para cada persona marcada.</w:t>
      </w:r>
    </w:p>
    <w:p>
      <w:pPr>
        <w:pStyle w:val="Heading2"/>
      </w:pPr>
      <w:r>
        <w:t>4.10. Cerrar un caso (rechazo o ausente)</w:t>
      </w:r>
    </w:p>
    <w:p>
      <w:pPr>
        <w:spacing w:after="60"/>
        <w:ind w:left="510" w:hanging="340"/>
      </w:pPr>
      <w:r>
        <w:rPr>
          <w:b/>
          <w:color w:val="005F2C"/>
        </w:rPr>
        <w:t xml:space="preserve">1.  </w:t>
      </w:r>
      <w:r>
        <w:t>Registre un contacto con la persona, como en las tareas anteriores.</w:t>
      </w:r>
    </w:p>
    <w:p>
      <w:pPr>
        <w:spacing w:after="60"/>
        <w:ind w:left="510" w:hanging="340"/>
      </w:pPr>
      <w:r>
        <w:rPr>
          <w:b/>
          <w:color w:val="005F2C"/>
        </w:rPr>
        <w:t xml:space="preserve">2.  </w:t>
      </w:r>
      <w:r>
        <w:t xml:space="preserve">En </w:t>
      </w:r>
      <w:r>
        <w:rPr>
          <w:b/>
        </w:rPr>
        <w:t>Cómo queda el seguimiento</w:t>
      </w:r>
      <w:r>
        <w:t xml:space="preserve">, elija </w:t>
      </w:r>
      <w:r>
        <w:rPr>
          <w:b/>
        </w:rPr>
        <w:t>Rechazo</w:t>
      </w:r>
      <w:r>
        <w:t xml:space="preserve"> (dijo que no participará) o </w:t>
      </w:r>
      <w:r>
        <w:rPr>
          <w:b/>
        </w:rPr>
        <w:t>Ausente</w:t>
      </w:r>
      <w:r>
        <w:t xml:space="preserve"> (no respondió a ninguna convocatoria).</w:t>
      </w:r>
    </w:p>
    <w:p>
      <w:pPr>
        <w:spacing w:after="60"/>
        <w:ind w:left="510" w:hanging="340"/>
      </w:pPr>
      <w:r>
        <w:rPr>
          <w:b/>
          <w:color w:val="005F2C"/>
        </w:rPr>
        <w:t xml:space="preserve">3.  </w:t>
      </w:r>
      <w:r>
        <w:t xml:space="preserve">Al guardar, la persona sale de «Faltan» y pasa a «Respondieron» y a «Casos cerrados» con la etiqueta correspondiente. Si más adelante decide responder, se puede reabrir (tarea 4.11).</w:t>
      </w:r>
    </w:p>
    <w:tbl>
      <w:tblPr>
        <w:tblW w:type="auto" w:w="0"/>
        <w:jc w:val="center"/>
        <w:tblLook w:firstColumn="1" w:firstRow="1" w:lastColumn="0" w:lastRow="0" w:noHBand="0" w:noVBand="1" w:val="04A0"/>
      </w:tblPr>
      <w:tblGrid>
        <w:gridCol w:w="9406"/>
      </w:tblGrid>
      <w:tr>
        <w:tc>
          <w:tcPr>
            <w:tcW w:type="dxa" w:w="9354"/>
            <w:shd w:val="clear" w:color="auto" w:fill="EEF5F0"/>
          </w:tcPr>
          <w:p>
            <w:pPr>
              <w:spacing w:after="60"/>
            </w:pPr>
            <w:r>
              <w:rPr>
                <w:b/>
                <w:color w:val="005F2C"/>
              </w:rPr>
              <w:t xml:space="preserve">Importante. </w:t>
            </w:r>
            <w:r>
              <w:t>Un caso cerrado no cuenta como encuestado. Úselo solo cuando ya no se vaya a seguir buscando a la persona.</w:t>
            </w:r>
          </w:p>
        </w:tc>
      </w:tr>
    </w:tbl>
    <w:p>
      <w:pPr>
        <w:spacing w:after="40"/>
      </w:pPr>
    </w:p>
    <w:p>
      <w:pPr>
        <w:pStyle w:val="Heading2"/>
      </w:pPr>
      <w:r>
        <w:t>4.11. Reabrir un caso cerrado o corregir un contacto</w:t>
      </w:r>
    </w:p>
    <w:p>
      <w:r>
        <w:rPr>
          <w:i w:val="0"/>
        </w:rPr>
        <w:t xml:space="preserve">Si una persona que se cerró como rechazo o ausente decide responder, reabra su caso: vuelve a «Faltan» y el seguimiento continúa como con cualquier pendiente. El cierre se conserva en su historial y la reapertura queda marcada como «Reabierto».</w:t>
      </w:r>
    </w:p>
    <w:p>
      <w:pPr>
        <w:spacing w:after="60"/>
        <w:ind w:left="510" w:hanging="340"/>
      </w:pPr>
      <w:r>
        <w:rPr>
          <w:b/>
          <w:color w:val="005F2C"/>
        </w:rPr>
        <w:t xml:space="preserve">1.  </w:t>
      </w:r>
      <w:r>
        <w:t xml:space="preserve">En la pestaña </w:t>
      </w:r>
      <w:r>
        <w:rPr>
          <w:b/>
        </w:rPr>
        <w:t xml:space="preserve">Personas</w:t>
      </w:r>
      <w:r>
        <w:t xml:space="preserve">, elija el grupo </w:t>
      </w:r>
      <w:r>
        <w:rPr>
          <w:b/>
        </w:rPr>
        <w:t xml:space="preserve">Casos cerrados: rechazo o ausente</w:t>
      </w:r>
      <w:r>
        <w:t xml:space="preserve">. La persona también se puede ubicar en </w:t>
      </w:r>
      <w:r>
        <w:rPr>
          <w:b/>
        </w:rPr>
        <w:t xml:space="preserve">Respondieron</w:t>
      </w:r>
      <w:r>
        <w:t xml:space="preserve"> o en el recuadro «Quién no contestó».</w:t>
      </w:r>
    </w:p>
    <w:p>
      <w:pPr>
        <w:spacing w:after="60"/>
        <w:ind w:left="510" w:hanging="340"/>
      </w:pPr>
      <w:r>
        <w:rPr>
          <w:b/>
          <w:color w:val="005F2C"/>
        </w:rPr>
        <w:t xml:space="preserve">2.  </w:t>
      </w:r>
      <w:r>
        <w:t xml:space="preserve">Pulse </w:t>
      </w:r>
      <w:r>
        <w:rPr>
          <w:b/>
        </w:rPr>
        <w:t xml:space="preserve">Reabrir</w:t>
      </w:r>
      <w:r>
        <w:t xml:space="preserve"> en su fila. Para varias personas a la vez, marque sus casillas y pulse </w:t>
      </w:r>
      <w:r>
        <w:rPr>
          <w:b/>
        </w:rPr>
        <w:t xml:space="preserve">Reabrir el caso a N personas</w:t>
      </w:r>
      <w:r>
        <w:t xml:space="preserve">.</w:t>
      </w:r>
    </w:p>
    <w:p>
      <w:pPr>
        <w:spacing w:after="60"/>
        <w:ind w:left="510" w:hanging="340"/>
      </w:pPr>
      <w:r>
        <w:rPr>
          <w:b/>
          <w:color w:val="005F2C"/>
        </w:rPr>
        <w:t xml:space="preserve">3.  </w:t>
      </w:r>
      <w:r>
        <w:t xml:space="preserve">En la ventana, elija el medio por el que la persona avisó que quiere responder y, si quiere, escriba el motivo en la observación.</w:t>
      </w:r>
    </w:p>
    <w:p>
      <w:pPr>
        <w:spacing w:after="60"/>
        <w:ind w:left="510" w:hanging="340"/>
      </w:pPr>
      <w:r>
        <w:rPr>
          <w:b/>
          <w:color w:val="005F2C"/>
        </w:rPr>
        <w:t xml:space="preserve">4.  </w:t>
      </w:r>
      <w:r>
        <w:t xml:space="preserve">Pulse </w:t>
      </w:r>
      <w:r>
        <w:rPr>
          <w:b/>
        </w:rPr>
        <w:t xml:space="preserve">Reabrir caso</w:t>
      </w:r>
      <w:r>
        <w:t xml:space="preserve">. La reapertura se registra con la fecha de hoy.</w:t>
      </w:r>
    </w:p>
    <w:tbl>
      <w:tblPr>
        <w:tblW w:type="auto" w:w="0"/>
        <w:jc w:val="center"/>
        <w:tblLook w:firstColumn="1" w:firstRow="1" w:lastColumn="0" w:lastRow="0" w:noHBand="0" w:noVBand="1" w:val="04A0"/>
      </w:tblPr>
      <w:tblGrid>
        <w:gridCol w:w="9406"/>
      </w:tblGrid>
      <w:tr>
        <w:tc>
          <w:tcPr>
            <w:tcW w:type="dxa" w:w="9354"/>
            <w:shd w:val="clear" w:color="auto" w:fill="EEF5F0"/>
          </w:tcPr>
          <w:p>
            <w:pPr>
              <w:spacing w:after="60"/>
            </w:pPr>
            <w:r>
              <w:rPr>
                <w:b/>
                <w:color w:val="005F2C"/>
              </w:rPr>
              <w:t xml:space="preserve">Importante. </w:t>
            </w:r>
            <w:r>
              <w:t xml:space="preserve">Solo se reabren los casos cerrados en el registro de contactos. Quien marcó «No acepto» en el formulario no se reabre desde aquí: si decide responder, lo hace con un envío nuevo del formulario.</w:t>
            </w:r>
          </w:p>
        </w:tc>
      </w:tr>
    </w:tbl>
    <w:p>
      <w:pPr>
        <w:spacing w:after="40"/>
      </w:pPr>
    </w:p>
    <w:tbl>
      <w:tblPr>
        <w:tblStyle w:val="TableGrid"/>
        <w:tblW w:type="auto" w:w="0"/>
        <w:jc w:val="center"/>
        <w:tblLook w:firstColumn="1" w:firstRow="1" w:lastColumn="0" w:lastRow="0" w:noHBand="0" w:noVBand="1" w:val="04A0"/>
      </w:tblPr>
      <w:tblGrid>
        <w:gridCol w:w="9406"/>
      </w:tblGrid>
      <w:tr>
        <w:tc>
          <w:tcPr>
            <w:tcW w:type="dxa" w:w="9354"/>
            <w:shd w:val="clear" w:color="auto" w:fill="F4F4F4"/>
          </w:tcPr>
          <w:p>
            <w:pPr>
              <w:spacing w:before="480" w:after="480"/>
              <w:jc w:val="center"/>
            </w:pPr>
            <w:r>
              <w:rPr>
                <w:i/>
                <w:color w:val="888888"/>
                <w:sz w:val="20"/>
              </w:rPr>
              <w:t>[ Insertar captura: grupo «Casos cerrados» con el botón Reabrir ]</w:t>
            </w:r>
          </w:p>
        </w:tc>
      </w:tr>
    </w:tbl>
    <w:p>
      <w:pPr>
        <w:spacing w:after="40"/>
      </w:pPr>
    </w:p>
    <w:p>
      <w:r>
        <w:rPr>
          <w:b/>
          <w:i w:val="0"/>
        </w:rPr>
        <w:t xml:space="preserve">Corregir un contacto. </w:t>
      </w:r>
      <w:r>
        <w:rPr>
          <w:i w:val="0"/>
        </w:rPr>
        <w:t xml:space="preserve">Los contactos no se borran ni se editan. Registre uno nuevo con el resultado correcto y explique la corrección en la observación.</w:t>
      </w:r>
    </w:p>
    <w:p>
      <w:pPr>
        <w:pStyle w:val="Heading2"/>
      </w:pPr>
      <w:r>
        <w:t>4.12. Revisar quién no contestó a una citación</w:t>
      </w:r>
    </w:p>
    <w:p>
      <w:pPr>
        <w:spacing w:after="60"/>
        <w:ind w:left="510" w:hanging="340"/>
      </w:pPr>
      <w:r>
        <w:rPr>
          <w:b/>
          <w:color w:val="005F2C"/>
        </w:rPr>
        <w:t xml:space="preserve">1.  </w:t>
      </w:r>
      <w:r>
        <w:t>Baje hasta el recuadro «Quién no contestó, por día de citación», al final de la pestaña.</w:t>
      </w:r>
    </w:p>
    <w:p>
      <w:pPr>
        <w:spacing w:after="60"/>
        <w:ind w:left="510" w:hanging="340"/>
      </w:pPr>
      <w:r>
        <w:rPr>
          <w:b/>
          <w:color w:val="005F2C"/>
        </w:rPr>
        <w:t xml:space="preserve">2.  </w:t>
      </w:r>
      <w:r>
        <w:t xml:space="preserve">En </w:t>
      </w:r>
      <w:r>
        <w:rPr>
          <w:b/>
        </w:rPr>
        <w:t>Día de la citación</w:t>
      </w:r>
      <w:r>
        <w:t>, elija el día. Cada opción indica cuántas personas siguen sin responder de cuántas se citaron.</w:t>
      </w:r>
    </w:p>
    <w:p>
      <w:pPr>
        <w:spacing w:after="60"/>
        <w:ind w:left="510" w:hanging="340"/>
      </w:pPr>
      <w:r>
        <w:rPr>
          <w:b/>
          <w:color w:val="005F2C"/>
        </w:rPr>
        <w:t xml:space="preserve">3.  </w:t>
      </w:r>
      <w:r>
        <w:t xml:space="preserve">Pulse </w:t>
      </w:r>
      <w:r>
        <w:rPr>
          <w:b/>
        </w:rPr>
        <w:t>Contactar</w:t>
      </w:r>
      <w:r>
        <w:t xml:space="preserve"> en la fila de una persona para registrar el contacto desde ahí.</w:t>
      </w:r>
    </w:p>
    <w:p>
      <w:pPr>
        <w:spacing w:after="60"/>
        <w:ind w:left="510" w:hanging="340"/>
      </w:pPr>
      <w:r>
        <w:rPr>
          <w:b/>
          <w:color w:val="005F2C"/>
        </w:rPr>
        <w:t xml:space="preserve">4.  </w:t>
      </w:r>
      <w:r>
        <w:t xml:space="preserve">Pulse </w:t>
      </w:r>
      <w:r>
        <w:rPr>
          <w:b/>
        </w:rPr>
        <w:t>Descargar Excel</w:t>
      </w:r>
      <w:r>
        <w:t xml:space="preserve"> para bajar la lista del día.</w:t>
      </w:r>
    </w:p>
    <w:tbl>
      <w:tblPr>
        <w:tblStyle w:val="TableGrid"/>
        <w:tblW w:type="auto" w:w="0"/>
        <w:jc w:val="center"/>
        <w:tblLook w:firstColumn="1" w:firstRow="1" w:lastColumn="0" w:lastRow="0" w:noHBand="0" w:noVBand="1" w:val="04A0"/>
      </w:tblPr>
      <w:tblGrid>
        <w:gridCol w:w="9406"/>
      </w:tblGrid>
      <w:tr>
        <w:tc>
          <w:tcPr>
            <w:tcW w:type="dxa" w:w="9354"/>
            <w:shd w:val="clear" w:color="auto" w:fill="F4F4F4"/>
          </w:tcPr>
          <w:p>
            <w:pPr>
              <w:spacing w:before="480" w:after="480"/>
              <w:jc w:val="center"/>
            </w:pPr>
            <w:r>
              <w:rPr>
                <w:i/>
                <w:color w:val="888888"/>
                <w:sz w:val="20"/>
              </w:rPr>
              <w:t>[ Insertar captura: recuadro «Quién no contestó» ]</w:t>
            </w:r>
          </w:p>
        </w:tc>
      </w:tr>
    </w:tbl>
    <w:p>
      <w:pPr>
        <w:spacing w:after="40"/>
      </w:pPr>
    </w:p>
    <w:p>
      <w:pPr>
        <w:pStyle w:val="Heading1"/>
      </w:pPr>
      <w:r>
        <w:t>5. Cómo leer los resultados: un ejemplo</w:t>
      </w:r>
    </w:p>
    <w:p>
      <w:r>
        <w:rPr>
          <w:i w:val="0"/>
        </w:rPr>
        <w:t>Supongamos que, sin filtros, los cajones muestran:</w:t>
      </w:r>
    </w:p>
    <w:tbl>
      <w:tblPr>
        <w:tblStyle w:val="TableGrid"/>
        <w:tblW w:type="auto" w:w="0"/>
        <w:jc w:val="center"/>
        <w:tblLayout w:type="fixed"/>
        <w:tblLook w:firstColumn="1" w:firstRow="1" w:lastColumn="0" w:lastRow="0" w:noHBand="0" w:noVBand="1" w:val="04A0"/>
        <w:tblLayout w:type="fixed"/>
      </w:tblPr>
      <w:tblGrid>
        <w:gridCol w:w="2268"/>
        <w:gridCol w:w="1871"/>
        <w:gridCol w:w="5216"/>
      </w:tblGrid>
      <w:tr>
        <w:trPr>
          <w:tblHeader w:val="true"/>
        </w:trPr>
        <w:tc>
          <w:tcPr>
            <w:tcW w:type="dxa" w:w="2268"/>
            <w:shd w:val="clear" w:color="auto" w:fill="005F2C"/>
          </w:tcPr>
          <w:p>
            <w:pPr>
              <w:spacing w:after="40"/>
            </w:pPr>
            <w:r/>
            <w:r>
              <w:rPr>
                <w:b/>
                <w:color w:val="FFFFFF"/>
                <w:sz w:val="20"/>
              </w:rPr>
              <w:t>Cajón</w:t>
            </w:r>
          </w:p>
        </w:tc>
        <w:tc>
          <w:tcPr>
            <w:tcW w:type="dxa" w:w="1871"/>
            <w:shd w:val="clear" w:color="auto" w:fill="005F2C"/>
          </w:tcPr>
          <w:p>
            <w:pPr>
              <w:spacing w:after="40"/>
            </w:pPr>
            <w:r/>
            <w:r>
              <w:rPr>
                <w:b/>
                <w:color w:val="FFFFFF"/>
                <w:sz w:val="20"/>
              </w:rPr>
              <w:t>Valor</w:t>
            </w:r>
          </w:p>
        </w:tc>
        <w:tc>
          <w:tcPr>
            <w:tcW w:type="dxa" w:w="5216"/>
            <w:shd w:val="clear" w:color="auto" w:fill="005F2C"/>
          </w:tcPr>
          <w:p>
            <w:pPr>
              <w:spacing w:after="40"/>
            </w:pPr>
            <w:r/>
            <w:r>
              <w:rPr>
                <w:b/>
                <w:color w:val="FFFFFF"/>
                <w:sz w:val="20"/>
              </w:rPr>
              <w:t>Lectura</w:t>
            </w:r>
          </w:p>
        </w:tc>
      </w:tr>
      <w:tr>
        <w:tc>
          <w:tcPr>
            <w:tcW w:type="dxa" w:w="2268"/>
          </w:tcPr>
          <w:p>
            <w:pPr>
              <w:spacing w:after="40"/>
            </w:pPr>
            <w:r/>
            <w:r>
              <w:rPr>
                <w:sz w:val="20"/>
              </w:rPr>
              <w:t>Esperados</w:t>
            </w:r>
          </w:p>
        </w:tc>
        <w:tc>
          <w:tcPr>
            <w:tcW w:type="dxa" w:w="1871"/>
          </w:tcPr>
          <w:p>
            <w:pPr>
              <w:spacing w:after="40"/>
            </w:pPr>
            <w:r/>
            <w:r>
              <w:rPr>
                <w:sz w:val="20"/>
              </w:rPr>
              <w:t>3.357</w:t>
            </w:r>
          </w:p>
        </w:tc>
        <w:tc>
          <w:tcPr>
            <w:tcW w:type="dxa" w:w="5216"/>
          </w:tcPr>
          <w:p>
            <w:pPr>
              <w:spacing w:after="40"/>
            </w:pPr>
            <w:r/>
            <w:r>
              <w:rPr>
                <w:sz w:val="20"/>
              </w:rPr>
              <w:t>Hay que llegar a 3.357 personas.</w:t>
            </w:r>
          </w:p>
        </w:tc>
      </w:tr>
      <w:tr>
        <w:tc>
          <w:tcPr>
            <w:tcW w:type="dxa" w:w="2268"/>
            <w:shd w:val="clear" w:color="auto" w:fill="EEF5F0"/>
          </w:tcPr>
          <w:p>
            <w:pPr>
              <w:spacing w:after="40"/>
            </w:pPr>
            <w:r/>
            <w:r>
              <w:rPr>
                <w:sz w:val="20"/>
              </w:rPr>
              <w:t>Encuestados</w:t>
            </w:r>
          </w:p>
        </w:tc>
        <w:tc>
          <w:tcPr>
            <w:tcW w:type="dxa" w:w="1871"/>
            <w:shd w:val="clear" w:color="auto" w:fill="EEF5F0"/>
          </w:tcPr>
          <w:p>
            <w:pPr>
              <w:spacing w:after="40"/>
            </w:pPr>
            <w:r/>
            <w:r>
              <w:rPr>
                <w:sz w:val="20"/>
              </w:rPr>
              <w:t>1.630</w:t>
            </w:r>
          </w:p>
        </w:tc>
        <w:tc>
          <w:tcPr>
            <w:tcW w:type="dxa" w:w="5216"/>
            <w:shd w:val="clear" w:color="auto" w:fill="EEF5F0"/>
          </w:tcPr>
          <w:p>
            <w:pPr>
              <w:spacing w:after="40"/>
            </w:pPr>
            <w:r/>
            <w:r>
              <w:rPr>
                <w:sz w:val="20"/>
              </w:rPr>
              <w:t>Ya respondieron 1.630 personas.</w:t>
            </w:r>
          </w:p>
        </w:tc>
      </w:tr>
      <w:tr>
        <w:tc>
          <w:tcPr>
            <w:tcW w:type="dxa" w:w="2268"/>
          </w:tcPr>
          <w:p>
            <w:pPr>
              <w:spacing w:after="40"/>
            </w:pPr>
            <w:r/>
            <w:r>
              <w:rPr>
                <w:sz w:val="20"/>
              </w:rPr>
              <w:t>Faltan</w:t>
            </w:r>
          </w:p>
        </w:tc>
        <w:tc>
          <w:tcPr>
            <w:tcW w:type="dxa" w:w="1871"/>
          </w:tcPr>
          <w:p>
            <w:pPr>
              <w:spacing w:after="40"/>
            </w:pPr>
            <w:r/>
            <w:r>
              <w:rPr>
                <w:sz w:val="20"/>
              </w:rPr>
              <w:t>1.725</w:t>
            </w:r>
          </w:p>
        </w:tc>
        <w:tc>
          <w:tcPr>
            <w:tcW w:type="dxa" w:w="5216"/>
          </w:tcPr>
          <w:p>
            <w:pPr>
              <w:spacing w:after="40"/>
            </w:pPr>
            <w:r/>
            <w:r>
              <w:rPr>
                <w:sz w:val="20"/>
              </w:rPr>
              <w:t>Quedan 1.725 por encuestar (3.357 − 1.630 − 2 casos cerrados).</w:t>
            </w:r>
          </w:p>
        </w:tc>
      </w:tr>
      <w:tr>
        <w:tc>
          <w:tcPr>
            <w:tcW w:type="dxa" w:w="2268"/>
            <w:shd w:val="clear" w:color="auto" w:fill="EEF5F0"/>
          </w:tcPr>
          <w:p>
            <w:pPr>
              <w:spacing w:after="40"/>
            </w:pPr>
            <w:r/>
            <w:r>
              <w:rPr>
                <w:sz w:val="20"/>
              </w:rPr>
              <w:t>Efectividad</w:t>
            </w:r>
          </w:p>
        </w:tc>
        <w:tc>
          <w:tcPr>
            <w:tcW w:type="dxa" w:w="1871"/>
            <w:shd w:val="clear" w:color="auto" w:fill="EEF5F0"/>
          </w:tcPr>
          <w:p>
            <w:pPr>
              <w:spacing w:after="40"/>
            </w:pPr>
            <w:r/>
            <w:r>
              <w:rPr>
                <w:sz w:val="20"/>
              </w:rPr>
              <w:t>97,7 % · 1.593</w:t>
            </w:r>
          </w:p>
        </w:tc>
        <w:tc>
          <w:tcPr>
            <w:tcW w:type="dxa" w:w="5216"/>
            <w:shd w:val="clear" w:color="auto" w:fill="EEF5F0"/>
          </w:tcPr>
          <w:p>
            <w:pPr>
              <w:spacing w:after="40"/>
            </w:pPr>
            <w:r/>
            <w:r>
              <w:rPr>
                <w:sz w:val="20"/>
              </w:rPr>
              <w:t>De las 1.630 que respondieron, 1.593 aceptaron participar.</w:t>
            </w:r>
          </w:p>
        </w:tc>
      </w:tr>
      <w:tr>
        <w:tc>
          <w:tcPr>
            <w:tcW w:type="dxa" w:w="2268"/>
          </w:tcPr>
          <w:p>
            <w:pPr>
              <w:spacing w:after="40"/>
            </w:pPr>
            <w:r/>
            <w:r>
              <w:rPr>
                <w:sz w:val="20"/>
              </w:rPr>
              <w:t>No efectivas</w:t>
            </w:r>
          </w:p>
        </w:tc>
        <w:tc>
          <w:tcPr>
            <w:tcW w:type="dxa" w:w="1871"/>
          </w:tcPr>
          <w:p>
            <w:pPr>
              <w:spacing w:after="40"/>
            </w:pPr>
            <w:r/>
            <w:r>
              <w:rPr>
                <w:sz w:val="20"/>
              </w:rPr>
              <w:t>2,3 % · 37</w:t>
            </w:r>
          </w:p>
        </w:tc>
        <w:tc>
          <w:tcPr>
            <w:tcW w:type="dxa" w:w="5216"/>
          </w:tcPr>
          <w:p>
            <w:pPr>
              <w:spacing w:after="40"/>
            </w:pPr>
            <w:r/>
            <w:r>
              <w:rPr>
                <w:sz w:val="20"/>
              </w:rPr>
              <w:t>37 personas respondieron pero no aceptaron el consentimiento.</w:t>
            </w:r>
          </w:p>
        </w:tc>
      </w:tr>
      <w:tr>
        <w:tc>
          <w:tcPr>
            <w:tcW w:type="dxa" w:w="2268"/>
            <w:shd w:val="clear" w:color="auto" w:fill="EEF5F0"/>
          </w:tcPr>
          <w:p>
            <w:pPr>
              <w:spacing w:after="40"/>
            </w:pPr>
            <w:r/>
            <w:r>
              <w:rPr>
                <w:sz w:val="20"/>
              </w:rPr>
              <w:t>Cobertura Citados</w:t>
            </w:r>
          </w:p>
        </w:tc>
        <w:tc>
          <w:tcPr>
            <w:tcW w:type="dxa" w:w="1871"/>
            <w:shd w:val="clear" w:color="auto" w:fill="EEF5F0"/>
          </w:tcPr>
          <w:p>
            <w:pPr>
              <w:spacing w:after="40"/>
            </w:pPr>
            <w:r/>
            <w:r>
              <w:rPr>
                <w:sz w:val="20"/>
              </w:rPr>
              <w:t>56,0 %</w:t>
            </w:r>
          </w:p>
        </w:tc>
        <w:tc>
          <w:tcPr>
            <w:tcW w:type="dxa" w:w="5216"/>
            <w:shd w:val="clear" w:color="auto" w:fill="EEF5F0"/>
          </w:tcPr>
          <w:p>
            <w:pPr>
              <w:spacing w:after="40"/>
            </w:pPr>
            <w:r/>
            <w:r>
              <w:rPr>
                <w:sz w:val="20"/>
              </w:rPr>
              <w:t>De cada 100 personas citadas, unas 56 han respondido.</w:t>
            </w:r>
          </w:p>
        </w:tc>
      </w:tr>
      <w:tr>
        <w:tc>
          <w:tcPr>
            <w:tcW w:type="dxa" w:w="2268"/>
          </w:tcPr>
          <w:p>
            <w:pPr>
              <w:spacing w:after="40"/>
            </w:pPr>
            <w:r/>
            <w:r>
              <w:rPr>
                <w:sz w:val="20"/>
              </w:rPr>
              <w:t>Cobertura Esperados</w:t>
            </w:r>
          </w:p>
        </w:tc>
        <w:tc>
          <w:tcPr>
            <w:tcW w:type="dxa" w:w="1871"/>
          </w:tcPr>
          <w:p>
            <w:pPr>
              <w:spacing w:after="40"/>
            </w:pPr>
            <w:r/>
            <w:r>
              <w:rPr>
                <w:sz w:val="20"/>
              </w:rPr>
              <w:t>48,6 %</w:t>
            </w:r>
          </w:p>
        </w:tc>
        <w:tc>
          <w:tcPr>
            <w:tcW w:type="dxa" w:w="5216"/>
          </w:tcPr>
          <w:p>
            <w:pPr>
              <w:spacing w:after="40"/>
            </w:pPr>
            <w:r/>
            <w:r>
              <w:rPr>
                <w:sz w:val="20"/>
              </w:rPr>
              <w:t>Casi la mitad del marco ya respondió.</w:t>
            </w:r>
          </w:p>
        </w:tc>
      </w:tr>
    </w:tbl>
    <w:p>
      <w:pPr>
        <w:spacing w:after="40"/>
      </w:pPr>
    </w:p>
    <w:p>
      <w:r>
        <w:rPr>
          <w:i w:val="0"/>
        </w:rPr>
        <w:t>Si la Cobertura Citados baja de una semana a otra, hay citados que no están respondiendo: revise el recuadro «Quién no contestó» y registre los contactos.</w:t>
      </w:r>
    </w:p>
    <w:p>
      <w:pPr>
        <w:pStyle w:val="Heading1"/>
      </w:pPr>
      <w:r>
        <w:t>6. Preguntas frecuentes</w:t>
      </w:r>
    </w:p>
    <w:p>
      <w:pPr>
        <w:pStyle w:val="Heading3"/>
      </w:pPr>
      <w:r>
        <w:t>¿Por qué una dependencia sin pendientes no está al 100 %?</w:t>
      </w:r>
    </w:p>
    <w:p>
      <w:r>
        <w:rPr>
          <w:i w:val="0"/>
        </w:rPr>
        <w:t>Porque tiene casos cerrados (rechazo o ausente). Ya no se buscan, pero tampoco cuentan como encuestados.</w:t>
      </w:r>
    </w:p>
    <w:p>
      <w:pPr>
        <w:pStyle w:val="Heading3"/>
      </w:pPr>
      <w:r>
        <w:t>¿Por qué no aparece el filtro de sede?</w:t>
      </w:r>
    </w:p>
    <w:p>
      <w:r>
        <w:rPr>
          <w:i w:val="0"/>
        </w:rPr>
        <w:t>Porque el marco cargado no trae sedes. El filtro aparece solo cuando hay datos.</w:t>
      </w:r>
    </w:p>
    <w:p>
      <w:pPr>
        <w:pStyle w:val="Heading3"/>
      </w:pPr>
      <w:r>
        <w:t>Registré un contacto por error. ¿Cómo lo borro?</w:t>
      </w:r>
    </w:p>
    <w:p>
      <w:r>
        <w:rPr>
          <w:i w:val="0"/>
        </w:rPr>
        <w:t>No se puede borrar. Si cerró un caso por error (rechazo o ausente), use Reabrir (tarea 4.11). En cualquier otro caso, registre un contacto nuevo con el resultado correcto y explique la corrección en la observación.</w:t>
      </w:r>
    </w:p>
    <w:p>
      <w:pPr>
        <w:pStyle w:val="Heading3"/>
      </w:pPr>
      <w:r>
        <w:t>¿Por qué los cajones no muestran toda la universidad?</w:t>
      </w:r>
    </w:p>
    <w:p>
      <w:r>
        <w:rPr>
          <w:i w:val="0"/>
        </w:rPr>
        <w:t>Porque hay filtros activos (unidad, sede o búsqueda). Pulse «Limpiar filtros».</w:t>
      </w:r>
    </w:p>
    <w:p>
      <w:pPr>
        <w:pStyle w:val="Heading3"/>
      </w:pPr>
      <w:r>
        <w:t>¿Por qué Efectividad y No efectivas suman 100 %?</w:t>
      </w:r>
    </w:p>
    <w:p>
      <w:r>
        <w:rPr>
          <w:i w:val="0"/>
        </w:rPr>
        <w:t>Porque las dos se calculan sobre los encuestados: cada encuestado aceptó el consentimiento o no.</w:t>
      </w:r>
    </w:p>
    <w:p>
      <w:pPr>
        <w:pStyle w:val="Heading3"/>
      </w:pPr>
      <w:r>
        <w:t>¿Por qué una persona que marcó «No acepto» cuenta como encuestada?</w:t>
      </w:r>
    </w:p>
    <w:p>
      <w:r>
        <w:rPr>
          <w:i w:val="0"/>
        </w:rPr>
        <w:t>Porque envió el formulario. Se cuenta como encuestada y como no efectiva, porque no aceptó.</w:t>
      </w:r>
    </w:p>
    <w:p>
      <w:pPr>
        <w:pStyle w:val="Heading3"/>
      </w:pPr>
      <w:r>
        <w:t>¿Por qué la Cobertura Citados puede pasar de 100 %?</w:t>
      </w:r>
    </w:p>
    <w:p>
      <w:r>
        <w:rPr>
          <w:i w:val="0"/>
        </w:rPr>
        <w:t>Porque divide a todos los encuestados entre los citados, y también cuentan como encuestadas las personas que respondieron sin haber sido citadas.</w:t>
      </w:r>
    </w:p>
    <w:p>
      <w:pPr>
        <w:pStyle w:val="Heading3"/>
      </w:pPr>
      <w:r>
        <w:t>¿Por qué no veo un día en «Quién no contestó»?</w:t>
      </w:r>
    </w:p>
    <w:p>
      <w:r>
        <w:rPr>
          <w:i w:val="0"/>
        </w:rPr>
        <w:t>Solo aparecen días cuya hora de citación ya pasó. Si todos los citados de un día respondieron, el recuadro lo indica.</w:t>
      </w:r>
    </w:p>
    <w:p>
      <w:pPr>
        <w:pStyle w:val="Heading3"/>
      </w:pPr>
      <w:r>
        <w:t>La última semana del gráfico se ve baja. ¿Bajó el ritmo?</w:t>
      </w:r>
    </w:p>
    <w:p>
      <w:r>
        <w:rPr>
          <w:i w:val="0"/>
        </w:rPr>
        <w:t>No necesariamente: la semana en curso (con asterisco) llega solo hasta el último envío recibido.</w:t>
      </w:r>
    </w:p>
    <w:p>
      <w:pPr>
        <w:pStyle w:val="Heading3"/>
      </w:pPr>
      <w:r>
        <w:t>Se cerró mi sesión sola.</w:t>
      </w:r>
    </w:p>
    <w:p>
      <w:r>
        <w:rPr>
          <w:i w:val="0"/>
        </w:rPr>
        <w:t>Pasaron 30 minutos sin actividad. Vuelva a ingresar; no se pierde nada de lo guardado.</w:t>
      </w:r>
    </w:p>
    <w:p>
      <w:pPr>
        <w:pStyle w:val="Heading1"/>
      </w:pPr>
      <w:r>
        <w:t>7. Mensajes que puede ver</w:t>
      </w:r>
    </w:p>
    <w:tbl>
      <w:tblPr>
        <w:tblStyle w:val="TableGrid"/>
        <w:tblW w:type="auto" w:w="0"/>
        <w:jc w:val="center"/>
        <w:tblLayout w:type="fixed"/>
        <w:tblLook w:firstColumn="1" w:firstRow="1" w:lastColumn="0" w:lastRow="0" w:noHBand="0" w:noVBand="1" w:val="04A0"/>
        <w:tblLayout w:type="fixed"/>
      </w:tblPr>
      <w:tblGrid>
        <w:gridCol w:w="3969"/>
        <w:gridCol w:w="5386"/>
      </w:tblGrid>
      <w:tr>
        <w:trPr>
          <w:tblHeader w:val="true"/>
        </w:trPr>
        <w:tc>
          <w:tcPr>
            <w:tcW w:type="dxa" w:w="3969"/>
            <w:shd w:val="clear" w:color="auto" w:fill="005F2C"/>
          </w:tcPr>
          <w:p>
            <w:pPr>
              <w:spacing w:after="40"/>
            </w:pPr>
            <w:r/>
            <w:r>
              <w:rPr>
                <w:b/>
                <w:color w:val="FFFFFF"/>
                <w:sz w:val="20"/>
              </w:rPr>
              <w:t>Mensaje</w:t>
            </w:r>
          </w:p>
        </w:tc>
        <w:tc>
          <w:tcPr>
            <w:tcW w:type="dxa" w:w="5386"/>
            <w:shd w:val="clear" w:color="auto" w:fill="005F2C"/>
          </w:tcPr>
          <w:p>
            <w:pPr>
              <w:spacing w:after="40"/>
            </w:pPr>
            <w:r/>
            <w:r>
              <w:rPr>
                <w:b/>
                <w:color w:val="FFFFFF"/>
                <w:sz w:val="20"/>
              </w:rPr>
              <w:t>Qué significa / qué hacer</w:t>
            </w:r>
          </w:p>
        </w:tc>
      </w:tr>
      <w:tr>
        <w:tc>
          <w:tcPr>
            <w:tcW w:type="dxa" w:w="3969"/>
          </w:tcPr>
          <w:p>
            <w:pPr>
              <w:spacing w:after="40"/>
            </w:pPr>
            <w:r/>
            <w:r>
              <w:rPr>
                <w:sz w:val="20"/>
              </w:rPr>
              <w:t>Ninguna dependencia coincide con el filtro.</w:t>
            </w:r>
          </w:p>
        </w:tc>
        <w:tc>
          <w:tcPr>
            <w:tcW w:type="dxa" w:w="5386"/>
          </w:tcPr>
          <w:p>
            <w:pPr>
              <w:spacing w:after="40"/>
            </w:pPr>
            <w:r/>
            <w:r>
              <w:rPr>
                <w:sz w:val="20"/>
              </w:rPr>
              <w:t>Los filtros no dejan ninguna dependencia. Cambie la búsqueda o pulse «Limpiar filtros».</w:t>
            </w:r>
          </w:p>
        </w:tc>
      </w:tr>
      <w:tr>
        <w:tc>
          <w:tcPr>
            <w:tcW w:type="dxa" w:w="3969"/>
            <w:shd w:val="clear" w:color="auto" w:fill="EEF5F0"/>
          </w:tcPr>
          <w:p>
            <w:pPr>
              <w:spacing w:after="40"/>
            </w:pPr>
            <w:r/>
            <w:r>
              <w:rPr>
                <w:sz w:val="20"/>
              </w:rPr>
              <w:t>Marque al menos una persona.</w:t>
            </w:r>
          </w:p>
        </w:tc>
        <w:tc>
          <w:tcPr>
            <w:tcW w:type="dxa" w:w="5386"/>
            <w:shd w:val="clear" w:color="auto" w:fill="EEF5F0"/>
          </w:tcPr>
          <w:p>
            <w:pPr>
              <w:spacing w:after="40"/>
            </w:pPr>
            <w:r/>
            <w:r>
              <w:rPr>
                <w:sz w:val="20"/>
              </w:rPr>
              <w:t>Pulsó «Registrar contacto» sin casillas marcadas.</w:t>
            </w:r>
          </w:p>
        </w:tc>
      </w:tr>
      <w:tr>
        <w:tc>
          <w:tcPr>
            <w:tcW w:type="dxa" w:w="3969"/>
          </w:tcPr>
          <w:p>
            <w:pPr>
              <w:spacing w:after="40"/>
            </w:pPr>
            <w:r/>
            <w:r>
              <w:rPr>
                <w:sz w:val="20"/>
              </w:rPr>
              <w:t>Escriba cuál fue el medio de contacto.</w:t>
            </w:r>
          </w:p>
        </w:tc>
        <w:tc>
          <w:tcPr>
            <w:tcW w:type="dxa" w:w="5386"/>
          </w:tcPr>
          <w:p>
            <w:pPr>
              <w:spacing w:after="40"/>
            </w:pPr>
            <w:r/>
            <w:r>
              <w:rPr>
                <w:sz w:val="20"/>
              </w:rPr>
              <w:t>Eligió «Otro» como medio y dejó vacío «¿Cuál?».</w:t>
            </w:r>
          </w:p>
        </w:tc>
      </w:tr>
      <w:tr>
        <w:tc>
          <w:tcPr>
            <w:tcW w:type="dxa" w:w="3969"/>
            <w:shd w:val="clear" w:color="auto" w:fill="EEF5F0"/>
          </w:tcPr>
          <w:p>
            <w:pPr>
              <w:spacing w:after="40"/>
            </w:pPr>
            <w:r/>
            <w:r>
              <w:rPr>
                <w:sz w:val="20"/>
              </w:rPr>
              <w:t>La fecha del contacto no puede estar en el futuro.</w:t>
            </w:r>
          </w:p>
        </w:tc>
        <w:tc>
          <w:tcPr>
            <w:tcW w:type="dxa" w:w="5386"/>
            <w:shd w:val="clear" w:color="auto" w:fill="EEF5F0"/>
          </w:tcPr>
          <w:p>
            <w:pPr>
              <w:spacing w:after="40"/>
            </w:pPr>
            <w:r/>
            <w:r>
              <w:rPr>
                <w:sz w:val="20"/>
              </w:rPr>
              <w:t>Corrija la fecha: el registro es de contactos ya hechos.</w:t>
            </w:r>
          </w:p>
        </w:tc>
      </w:tr>
      <w:tr>
        <w:tc>
          <w:tcPr>
            <w:tcW w:type="dxa" w:w="3969"/>
          </w:tcPr>
          <w:p>
            <w:pPr>
              <w:spacing w:after="40"/>
            </w:pPr>
            <w:r/>
            <w:r>
              <w:rPr>
                <w:sz w:val="20"/>
              </w:rPr>
              <w:t>Contacto registrado para N personas.</w:t>
            </w:r>
          </w:p>
        </w:tc>
        <w:tc>
          <w:tcPr>
            <w:tcW w:type="dxa" w:w="5386"/>
          </w:tcPr>
          <w:p>
            <w:pPr>
              <w:spacing w:after="40"/>
            </w:pPr>
            <w:r/>
            <w:r>
              <w:rPr>
                <w:sz w:val="20"/>
              </w:rPr>
              <w:t>El contacto se guardó correctamente.</w:t>
            </w:r>
          </w:p>
        </w:tc>
      </w:tr>
      <w:tr>
        <w:tc>
          <w:tcPr>
            <w:tcW w:type="dxa" w:w="3969"/>
            <w:shd w:val="clear" w:color="auto" w:fill="EEF5F0"/>
          </w:tcPr>
          <w:p>
            <w:pPr>
              <w:spacing w:after="40"/>
            </w:pPr>
            <w:r/>
            <w:r>
              <w:rPr>
                <w:sz w:val="20"/>
              </w:rPr>
              <w:t>Todas las personas citadas el … ya enviaron algo.</w:t>
            </w:r>
          </w:p>
        </w:tc>
        <w:tc>
          <w:tcPr>
            <w:tcW w:type="dxa" w:w="5386"/>
            <w:shd w:val="clear" w:color="auto" w:fill="EEF5F0"/>
          </w:tcPr>
          <w:p>
            <w:pPr>
              <w:spacing w:after="40"/>
            </w:pPr>
            <w:r/>
            <w:r>
              <w:rPr>
                <w:sz w:val="20"/>
              </w:rPr>
              <w:t>Nadie queda pendiente de ese día de citación.</w:t>
            </w:r>
          </w:p>
        </w:tc>
      </w:tr>
      <w:tr>
        <w:tc>
          <w:tcPr>
            <w:tcW w:type="dxa" w:w="3969"/>
          </w:tcPr>
          <w:p>
            <w:pPr>
              <w:spacing w:after="40"/>
            </w:pPr>
            <w:r/>
            <w:r>
              <w:rPr>
                <w:sz w:val="20"/>
              </w:rPr>
              <w:t>Su sesión se cerró tras 30 minutos sin actividad.</w:t>
            </w:r>
          </w:p>
        </w:tc>
        <w:tc>
          <w:tcPr>
            <w:tcW w:type="dxa" w:w="5386"/>
          </w:tcPr>
          <w:p>
            <w:pPr>
              <w:spacing w:after="40"/>
            </w:pPr>
            <w:r/>
            <w:r>
              <w:rPr>
                <w:sz w:val="20"/>
              </w:rPr>
              <w:t>Vuelva a ingresar.</w:t>
            </w:r>
          </w:p>
        </w:tc>
      </w:tr>
    </w:tbl>
    <w:p>
      <w:pPr>
        <w:spacing w:after="40"/>
      </w:pPr>
    </w:p>
    <w:p>
      <w:pPr>
        <w:pStyle w:val="Heading1"/>
      </w:pPr>
      <w:r>
        <w:t>8. Soporte</w:t>
      </w:r>
    </w:p>
    <w:p>
      <w:r>
        <w:rPr>
          <w:i w:val="0"/>
        </w:rPr>
        <w:t>Para crear o reiniciar usuarios, cambiar roles o reportar un dato que no cuadra, comuníquese con el administrador de la aplicación. Al reportar un problema indique la pestaña, los filtros aplicados, la dependencia y, si es posible, una captura de pantalla.</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Manual de usuario · Avance por dependencia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 w:eastAsiaTheme="majorEastAsia" w:hAnsiTheme="majorHAnsi" w:cstheme="majorBidi" w:ascii="Calibri" w:hAnsi="Calibri"/>
      <w:b/>
      <w:bCs/>
      <w:color w:val="005F2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 w:eastAsiaTheme="majorEastAsia" w:hAnsiTheme="majorHAnsi" w:cstheme="majorBidi" w:ascii="Calibri" w:hAnsi="Calibri"/>
      <w:b/>
      <w:bCs/>
      <w:color w:val="005F2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 w:eastAsiaTheme="majorEastAsia" w:hAnsiTheme="majorHAnsi" w:cstheme="majorBidi" w:ascii="Calibri" w:hAnsi="Calibri"/>
      <w:b/>
      <w:bCs/>
      <w:color w:val="005F2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