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Homogeneity</w:t>
      </w:r>
      <w:r>
        <w:t xml:space="preserve"> </w:t>
      </w:r>
      <w:r>
        <w:t xml:space="preserve">test</w:t>
      </w:r>
      <w:r>
        <w:t xml:space="preserve"> </w:t>
      </w:r>
      <w:r>
        <w:t xml:space="preserve">of</w:t>
      </w:r>
      <w:r>
        <w:t xml:space="preserve"> </w:t>
      </w:r>
      <w:r>
        <w:t xml:space="preserve">factor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2011-04-26</w:t>
      </w:r>
      <w:r>
        <w:t xml:space="preserve"> </w:t>
      </w:r>
      <w:r>
        <w:t xml:space="preserve">20:25</w:t>
      </w:r>
      <w:r>
        <w:t xml:space="preserve"> </w:t>
      </w:r>
      <w:r>
        <w:t xml:space="preserve">CET</w:t>
      </w:r>
    </w:p>
    <w:bookmarkStart w:id="21" w:name="description"/>
    <w:p>
      <w:pPr>
        <w:pStyle w:val="Heading2"/>
      </w:pPr>
      <w:r>
        <w:t xml:space="preserve">Description</w:t>
      </w:r>
    </w:p>
    <w:bookmarkEnd w:id="21"/>
    <w:p>
      <w:r>
        <w:t xml:space="preserve">Test of homogeneity of a given factor variable split by another factor.</w:t>
      </w:r>
    </w:p>
    <w:bookmarkStart w:id="22" w:name="variable-description"/>
    <w:p>
      <w:pPr>
        <w:pStyle w:val="Heading3"/>
      </w:pPr>
      <w:r>
        <w:t xml:space="preserve">Variable description</w:t>
      </w:r>
    </w:p>
    <w:bookmarkEnd w:id="22"/>
    <w:p>
      <w:r>
        <w:t xml:space="preserve">Analysing "gender" ("Gender") with</w:t>
      </w:r>
      <w:r>
        <w:t xml:space="preserve"> </w:t>
      </w:r>
      <w:r>
        <w:rPr>
          <w:i/>
        </w:rPr>
        <w:t xml:space="preserve">673</w:t>
      </w:r>
      <w:r>
        <w:t xml:space="preserve"> </w:t>
      </w:r>
      <w:r>
        <w:t xml:space="preserve">valid values whether frequency counts are distributed equally across different categories of "dwell" ("Dwelling").</w:t>
      </w:r>
    </w:p>
    <w:p>
      <w:r>
        <w:t xml:space="preserve">"dwell" has</w:t>
      </w:r>
      <w:r>
        <w:t xml:space="preserve"> </w:t>
      </w:r>
      <w:r>
        <w:rPr>
          <w:i/>
        </w:rPr>
        <w:t xml:space="preserve">3</w:t>
      </w:r>
      <w:r>
        <w:t xml:space="preserve"> </w:t>
      </w:r>
      <w:r>
        <w:t xml:space="preserve">categories:</w:t>
      </w:r>
    </w:p>
    <w:p>
      <w:pPr>
        <w:numPr>
          <w:numId w:val="2"/>
          <w:ilvl w:val="0"/>
        </w:numPr>
      </w:pPr>
      <w:r>
        <w:t xml:space="preserve">city</w:t>
      </w:r>
    </w:p>
    <w:p>
      <w:pPr>
        <w:numPr>
          <w:numId w:val="2"/>
          <w:ilvl w:val="0"/>
        </w:numPr>
      </w:pPr>
      <w:r>
        <w:t xml:space="preserve">small town</w:t>
      </w:r>
    </w:p>
    <w:p>
      <w:pPr>
        <w:numPr>
          <w:numId w:val="2"/>
          <w:ilvl w:val="0"/>
        </w:numPr>
      </w:pPr>
      <w:r>
        <w:t xml:space="preserve">village</w:t>
      </w:r>
    </w:p>
    <w:bookmarkStart w:id="23" w:name="counts"/>
    <w:p>
      <w:pPr>
        <w:pStyle w:val="Heading3"/>
      </w:pPr>
      <w:r>
        <w:t xml:space="preserve">Counts</w:t>
      </w:r>
    </w:p>
    <w:bookmarkEnd w:id="23"/>
    <w:tbl>
      <w:tblPr>
        <w:tblStyle w:val="TableNormal"/>
        <w:tblCaption w:val="Counted values: &quot;dwell&quot; and &quot;gender&quot;"/>
      </w:tblPr>
      <w:tblGrid>
        <w:gridCol w:w="1870"/>
        <w:gridCol w:w="770"/>
        <w:gridCol w:w="990"/>
        <w:gridCol w:w="110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Sum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city</w:t>
            </w:r>
          </w:p>
        </w:tc>
        <w:tc>
          <w:p>
            <w:pPr>
              <w:jc w:val="center"/>
            </w:pPr>
            <w:r>
              <w:t xml:space="preserve">338</w:t>
            </w:r>
          </w:p>
        </w:tc>
        <w:tc>
          <w:p>
            <w:pPr>
              <w:jc w:val="center"/>
            </w:pPr>
            <w:r>
              <w:t xml:space="preserve">234</w:t>
            </w:r>
          </w:p>
        </w:tc>
        <w:tc>
          <w:p>
            <w:pPr>
              <w:jc w:val="center"/>
            </w:pPr>
            <w:r>
              <w:t xml:space="preserve">27</w:t>
            </w:r>
          </w:p>
        </w:tc>
        <w:tc>
          <w:p>
            <w:pPr>
              <w:jc w:val="center"/>
            </w:pPr>
            <w:r>
              <w:t xml:space="preserve">599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small town</w:t>
            </w:r>
          </w:p>
        </w:tc>
        <w:tc>
          <w:p>
            <w:pPr>
              <w:jc w:val="center"/>
            </w:pPr>
            <w:r>
              <w:t xml:space="preserve">28</w:t>
            </w:r>
          </w:p>
        </w:tc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33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village</w:t>
            </w:r>
          </w:p>
        </w:tc>
        <w:tc>
          <w:p>
            <w:pPr>
              <w:jc w:val="center"/>
            </w:pPr>
            <w:r>
              <w:t xml:space="preserve">19</w:t>
            </w:r>
          </w:p>
        </w:tc>
        <w:tc>
          <w:p>
            <w:pPr>
              <w:jc w:val="center"/>
            </w:pPr>
            <w:r>
              <w:t xml:space="preserve">9</w:t>
            </w:r>
          </w:p>
        </w:tc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30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Missing</w:t>
            </w:r>
          </w:p>
        </w:tc>
        <w:tc>
          <w:p>
            <w:pPr>
              <w:jc w:val="center"/>
            </w:pPr>
            <w:r>
              <w:t xml:space="preserve">25</w:t>
            </w:r>
          </w:p>
        </w:tc>
        <w:tc>
          <w:p>
            <w:pPr>
              <w:jc w:val="center"/>
            </w:pPr>
            <w:r>
              <w:t xml:space="preserve">17</w:t>
            </w:r>
          </w:p>
        </w:tc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47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Sum</w:t>
            </w:r>
          </w:p>
        </w:tc>
        <w:tc>
          <w:p>
            <w:pPr>
              <w:jc w:val="center"/>
            </w:pPr>
            <w:r>
              <w:t xml:space="preserve">410</w:t>
            </w:r>
          </w:p>
        </w:tc>
        <w:tc>
          <w:p>
            <w:pPr>
              <w:jc w:val="center"/>
            </w:pPr>
            <w:r>
              <w:t xml:space="preserve">263</w:t>
            </w:r>
          </w:p>
        </w:tc>
        <w:tc>
          <w:p>
            <w:pPr>
              <w:jc w:val="center"/>
            </w:pPr>
            <w:r>
              <w:t xml:space="preserve">36</w:t>
            </w:r>
          </w:p>
        </w:tc>
        <w:tc>
          <w:p>
            <w:pPr>
              <w:jc w:val="center"/>
            </w:pPr>
            <w:r>
              <w:t xml:space="preserve">709</w:t>
            </w:r>
          </w:p>
        </w:tc>
      </w:tr>
    </w:tbl>
    <w:p>
      <w:pPr>
        <w:pStyle w:val="TableCaption"/>
      </w:pPr>
      <w:r>
        <w:t xml:space="preserve">Counted values: "dwell" and "gender"</w:t>
      </w:r>
    </w:p>
    <w:bookmarkStart w:id="24" w:name="chi-squared-test"/>
    <w:p>
      <w:pPr>
        <w:pStyle w:val="Heading3"/>
      </w:pPr>
      <w:r>
        <w:t xml:space="preserve">Chi-squared test</w:t>
      </w:r>
    </w:p>
    <w:bookmarkEnd w:id="24"/>
    <w:p>
      <w:r>
        <w:t xml:space="preserve">Our</w:t>
      </w:r>
      <w:r>
        <w:t xml:space="preserve"> </w:t>
      </w:r>
      <w:hyperlink r:id="rId25">
        <w:r>
          <w:rPr>
            <w:rStyle w:val="Link"/>
          </w:rPr>
          <w:t xml:space="preserve">null hypothetis</w:t>
        </w:r>
      </w:hyperlink>
      <w:r>
        <w:t xml:space="preserve"> </w:t>
      </w:r>
      <w:r>
        <w:t xml:space="preserve">says that the proportion of</w:t>
      </w:r>
      <w:r>
        <w:t xml:space="preserve"> </w:t>
      </w:r>
      <w:r>
        <w:rPr>
          <w:i/>
        </w:rPr>
        <w:t xml:space="preserve">gender</w:t>
      </w:r>
      <w:r>
        <w:t xml:space="preserve"> </w:t>
      </w:r>
      <w:r>
        <w:t xml:space="preserve">is indentical in each categories of</w:t>
      </w:r>
      <w:r>
        <w:t xml:space="preserve"> </w:t>
      </w:r>
      <w:r>
        <w:rPr>
          <w:i/>
        </w:rPr>
        <w:t xml:space="preserve">dwell</w:t>
      </w:r>
      <w:r>
        <w:t xml:space="preserve">.</w:t>
      </w:r>
    </w:p>
    <w:tbl>
      <w:tblPr>
        <w:tblStyle w:val="TableNormal"/>
        <w:tblCaption w:val="Pearson's Chi-squared test: table"/>
      </w:tblPr>
      <w:tblGrid>
        <w:gridCol w:w="1870"/>
        <w:gridCol w:w="550"/>
        <w:gridCol w:w="121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Test 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 value</w:t>
            </w:r>
          </w:p>
        </w:tc>
      </w:tr>
      <w:tr>
        <w:tc>
          <w:p>
            <w:pPr>
              <w:jc w:val="center"/>
            </w:pPr>
            <w:r>
              <w:t xml:space="preserve">16.18</w:t>
            </w:r>
          </w:p>
        </w:tc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rPr>
                <w:i/>
              </w:rPr>
              <w:t xml:space="preserve">0.01282</w:t>
            </w:r>
            <w:r>
              <w:t xml:space="preserve"> </w:t>
            </w:r>
            <w:r>
              <w:t xml:space="preserve">*</w:t>
            </w:r>
          </w:p>
        </w:tc>
      </w:tr>
    </w:tbl>
    <w:p>
      <w:pPr>
        <w:pStyle w:val="TableCaption"/>
      </w:pPr>
      <w:r>
        <w:t xml:space="preserve">Pearson's Chi-squared test:</w:t>
      </w:r>
      <w:r>
        <w:t xml:space="preserve"> </w:t>
      </w:r>
      <w:r>
        <w:rPr>
          <w:rStyle w:val="VerbatimChar"/>
        </w:rPr>
        <w:t xml:space="preserve">table</w:t>
      </w:r>
    </w:p>
    <w:p>
      <w:r>
        <w:t xml:space="preserve">The chi-squared test returned the value of</w:t>
      </w:r>
      <w:r>
        <w:t xml:space="preserve"> </w:t>
      </w:r>
      <w:r>
        <w:rPr>
          <w:i/>
        </w:rPr>
        <w:t xml:space="preserve">16.18</w:t>
      </w:r>
      <w:r>
        <w:t xml:space="preserve"> </w:t>
      </w:r>
      <w:r>
        <w:t xml:space="preserve">with a degree of freedom being</w:t>
      </w:r>
      <w:r>
        <w:t xml:space="preserve"> </w:t>
      </w:r>
      <w:r>
        <w:rPr>
          <w:i/>
        </w:rPr>
        <w:t xml:space="preserve">6</w:t>
      </w:r>
      <w:r>
        <w:t xml:space="preserve">. Based on the returned</w:t>
      </w:r>
      <w:r>
        <w:t xml:space="preserve"> </w:t>
      </w:r>
      <w:hyperlink r:id="rId26">
        <w:r>
          <w:rPr>
            <w:rStyle w:val="Link"/>
          </w:rPr>
          <w:t xml:space="preserve">p value</w:t>
        </w:r>
      </w:hyperlink>
      <w:r>
        <w:t xml:space="preserve"> </w:t>
      </w:r>
      <w:r>
        <w:t xml:space="preserve">(</w:t>
      </w:r>
      <w:r>
        <w:rPr>
          <w:i/>
        </w:rPr>
        <w:t xml:space="preserve">0.01282</w:t>
      </w:r>
      <w:r>
        <w:t xml:space="preserve">) we could state that the null hypothesis is rejected.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rId27">
        <w:r>
          <w:rPr>
            <w:rStyle w:val="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rId28">
        <w:r>
          <w:rPr>
            <w:rStyle w:val="Link"/>
          </w:rPr>
          <w:t xml:space="preserve">rapport</w:t>
        </w:r>
      </w:hyperlink>
      <w:r>
        <w:t xml:space="preserve"> </w:t>
      </w:r>
      <w:r>
        <w:t xml:space="preserve">(0.51) in</w:t>
      </w:r>
      <w:r>
        <w:t xml:space="preserve"> </w:t>
      </w:r>
      <w:r>
        <w:rPr>
          <w:i/>
        </w:rPr>
        <w:t xml:space="preserve">0.298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ae613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e728ca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5" Target="http://en.wikipedia.org/wiki/Null_hypothesis" TargetMode="External" /><Relationship Type="http://schemas.openxmlformats.org/officeDocument/2006/relationships/hyperlink" Id="rId26" Target="http://en.wikipedia.org/wiki/P-value" TargetMode="External" /><Relationship Type="http://schemas.openxmlformats.org/officeDocument/2006/relationships/hyperlink" Id="rId28" Target="http://rapport-package.info/" TargetMode="External" /><Relationship Type="http://schemas.openxmlformats.org/officeDocument/2006/relationships/hyperlink" Id="rId27" Target="http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en.wikipedia.org/wiki/Null_hypothesis" TargetMode="External" /><Relationship Type="http://schemas.openxmlformats.org/officeDocument/2006/relationships/hyperlink" Id="rId26" Target="http://en.wikipedia.org/wiki/P-value" TargetMode="External" /><Relationship Type="http://schemas.openxmlformats.org/officeDocument/2006/relationships/hyperlink" Id="rId28" Target="http://rapport-package.info/" TargetMode="External" /><Relationship Type="http://schemas.openxmlformats.org/officeDocument/2006/relationships/hyperlink" Id="rId27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Homogeneity test of factor variables</dc:creator>
</cp:coreProperties>
</file>