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26.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package</w:t>
      </w:r>
      <w:r>
        <w:t xml:space="preserve"> </w:t>
      </w:r>
      <w:r>
        <w:t xml:space="preserve">team</w:t>
      </w:r>
    </w:p>
    <w:p>
      <w:pPr>
        <w:pStyle w:val="Authors"/>
      </w:pPr>
      <w:r>
        <w:t xml:space="preserve">Principal</w:t>
      </w:r>
      <w:r>
        <w:t xml:space="preserve"> </w:t>
      </w:r>
      <w:r>
        <w:t xml:space="preserve">Component</w:t>
      </w:r>
      <w:r>
        <w:t xml:space="preserve"> </w:t>
      </w:r>
      <w:r>
        <w:t xml:space="preserve">Analysis</w:t>
      </w:r>
    </w:p>
    <w:p>
      <w:pPr>
        <w:pStyle w:val="Date"/>
      </w:pPr>
      <w:r>
        <w:t xml:space="preserve">2011-04-26</w:t>
      </w:r>
      <w:r>
        <w:t xml:space="preserve"> </w:t>
      </w:r>
      <w:r>
        <w:t xml:space="preserve">20:25</w:t>
      </w:r>
      <w:r>
        <w:t xml:space="preserve"> </w:t>
      </w:r>
      <w:r>
        <w:t xml:space="preserve">CET</w:t>
      </w:r>
    </w:p>
    <w:bookmarkStart w:id="21" w:name="description"/>
    <w:p>
      <w:pPr>
        <w:pStyle w:val="Heading2"/>
      </w:pPr>
      <w:r>
        <w:t xml:space="preserve">Description</w:t>
      </w:r>
    </w:p>
    <w:bookmarkEnd w:id="21"/>
    <w:p>
      <w:r>
        <w:t xml:space="preserve">In this template Rapporter will present you Principal Component Analysis.</w:t>
      </w:r>
    </w:p>
    <w:bookmarkStart w:id="22" w:name="introduction"/>
    <w:p>
      <w:pPr>
        <w:pStyle w:val="Heading3"/>
      </w:pPr>
      <w:r>
        <w:t xml:space="preserve">Introduction</w:t>
      </w:r>
    </w:p>
    <w:bookmarkEnd w:id="22"/>
    <w:p>
      <w:hyperlink r:id="rId23">
        <w:r>
          <w:rPr>
            <w:rStyle w:val="Link"/>
          </w:rPr>
          <w:t xml:space="preserve">Principal Component Analysis</w:t>
        </w:r>
      </w:hyperlink>
      <w:r>
        <w:t xml:space="preserve"> </w:t>
      </w:r>
      <w:r>
        <w:t xml:space="preserve">is a dimension reduction method. It produces linearly independent principal components using the variances of the observations in a set of variables.</w:t>
      </w:r>
    </w:p>
    <w:bookmarkStart w:id="24" w:name="results"/>
    <w:p>
      <w:pPr>
        <w:pStyle w:val="Heading3"/>
      </w:pPr>
      <w:r>
        <w:t xml:space="preserve">Results</w:t>
      </w:r>
    </w:p>
    <w:bookmarkEnd w:id="24"/>
    <w:tbl>
      <w:tblPr>
        <w:tblStyle w:val="TableNormal"/>
      </w:tblPr>
      <w:tblGrid>
        <w:gridCol w:w="3190"/>
        <w:gridCol w:w="770"/>
        <w:gridCol w:w="880"/>
        <w:gridCol w:w="88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PC1</w:t>
            </w:r>
          </w:p>
        </w:tc>
        <w:tc>
          <w:tcPr>
            <w:tcBorders>
              <w:bottom w:val="single"/>
            </w:tcBorders>
            <w:vAlign w:val="bottom"/>
          </w:tcPr>
          <w:p>
            <w:pPr>
              <w:jc w:val="center"/>
            </w:pPr>
            <w:r>
              <w:t xml:space="preserve">PC2</w:t>
            </w:r>
          </w:p>
        </w:tc>
        <w:tc>
          <w:tcPr>
            <w:tcBorders>
              <w:bottom w:val="single"/>
            </w:tcBorders>
            <w:vAlign w:val="bottom"/>
          </w:tcPr>
          <w:p>
            <w:pPr>
              <w:jc w:val="center"/>
            </w:pPr>
            <w:r>
              <w:t xml:space="preserve">PC3</w:t>
            </w:r>
          </w:p>
        </w:tc>
      </w:tr>
      <w:tr>
        <w:tc>
          <w:p>
            <w:pPr>
              <w:jc w:val="center"/>
            </w:pPr>
            <w:r>
              <w:rPr>
                <w:b/>
              </w:rPr>
              <w:t xml:space="preserve">Standard deviation</w:t>
            </w:r>
          </w:p>
        </w:tc>
        <w:tc>
          <w:p>
            <w:pPr>
              <w:jc w:val="center"/>
            </w:pPr>
            <w:r>
              <w:t xml:space="preserve">6.298</w:t>
            </w:r>
          </w:p>
        </w:tc>
        <w:tc>
          <w:p>
            <w:pPr>
              <w:jc w:val="center"/>
            </w:pPr>
            <w:r>
              <w:t xml:space="preserve">1.35</w:t>
            </w:r>
          </w:p>
        </w:tc>
        <w:tc>
          <w:p>
            <w:pPr>
              <w:jc w:val="center"/>
            </w:pPr>
            <w:r>
              <w:t xml:space="preserve">0.9088</w:t>
            </w:r>
          </w:p>
        </w:tc>
      </w:tr>
      <w:tr>
        <w:tc>
          <w:p>
            <w:pPr>
              <w:jc w:val="center"/>
            </w:pPr>
            <w:r>
              <w:rPr>
                <w:b/>
              </w:rPr>
              <w:t xml:space="preserve">Proportion of Variance</w:t>
            </w:r>
          </w:p>
        </w:tc>
        <w:tc>
          <w:p>
            <w:pPr>
              <w:jc w:val="center"/>
            </w:pPr>
            <w:r>
              <w:t xml:space="preserve">0.9354</w:t>
            </w:r>
          </w:p>
        </w:tc>
        <w:tc>
          <w:p>
            <w:pPr>
              <w:jc w:val="center"/>
            </w:pPr>
            <w:r>
              <w:t xml:space="preserve">0.04298</w:t>
            </w:r>
          </w:p>
        </w:tc>
        <w:tc>
          <w:p>
            <w:pPr>
              <w:jc w:val="center"/>
            </w:pPr>
            <w:r>
              <w:t xml:space="preserve">0.01947</w:t>
            </w:r>
          </w:p>
        </w:tc>
      </w:tr>
      <w:tr>
        <w:tc>
          <w:p>
            <w:pPr>
              <w:jc w:val="center"/>
            </w:pPr>
            <w:r>
              <w:rPr>
                <w:b/>
              </w:rPr>
              <w:t xml:space="preserve">Cumulative Proportion</w:t>
            </w:r>
          </w:p>
        </w:tc>
        <w:tc>
          <w:p>
            <w:pPr>
              <w:jc w:val="center"/>
            </w:pPr>
            <w:r>
              <w:t xml:space="preserve">0.9354</w:t>
            </w:r>
          </w:p>
        </w:tc>
        <w:tc>
          <w:p>
            <w:pPr>
              <w:jc w:val="center"/>
            </w:pPr>
            <w:r>
              <w:t xml:space="preserve">0.9783</w:t>
            </w:r>
          </w:p>
        </w:tc>
        <w:tc>
          <w:p>
            <w:pPr>
              <w:jc w:val="center"/>
            </w:pPr>
            <w:r>
              <w:t xml:space="preserve">0.9978</w:t>
            </w:r>
          </w:p>
        </w:tc>
      </w:tr>
    </w:tbl>
    <w:p>
      <w:r>
        <w:t xml:space="preserve">From the table above one can see that the first</w:t>
      </w:r>
      <w:r>
        <w:t xml:space="preserve"> </w:t>
      </w:r>
      <w:r>
        <w:rPr>
          <w:i/>
        </w:rPr>
        <w:t xml:space="preserve">3</w:t>
      </w:r>
      <w:r>
        <w:t xml:space="preserve"> </w:t>
      </w:r>
      <w:r>
        <w:t xml:space="preserve">Principal Components contains the</w:t>
      </w:r>
      <w:r>
        <w:t xml:space="preserve"> </w:t>
      </w:r>
      <w:r>
        <w:rPr>
          <w:i/>
        </w:rPr>
        <w:t xml:space="preserve">93.535 %</w:t>
      </w:r>
      <w:r>
        <w:t xml:space="preserve">,</w:t>
      </w:r>
      <w:r>
        <w:t xml:space="preserve"> </w:t>
      </w:r>
      <w:r>
        <w:rPr>
          <w:i/>
        </w:rPr>
        <w:t xml:space="preserve">4.298 %</w:t>
      </w:r>
      <w:r>
        <w:t xml:space="preserve"> </w:t>
      </w:r>
      <w:r>
        <w:t xml:space="preserve">and</w:t>
      </w:r>
      <w:r>
        <w:t xml:space="preserve"> </w:t>
      </w:r>
      <w:r>
        <w:rPr>
          <w:i/>
        </w:rPr>
        <w:t xml:space="preserve">1.947 %</w:t>
      </w:r>
      <w:r>
        <w:t xml:space="preserve"> </w:t>
      </w:r>
      <w:r>
        <w:t xml:space="preserve">of the variances, so together the 99.78 % of that.</w:t>
      </w:r>
    </w:p>
    <w:bookmarkStart w:id="25" w:name="visual-representation"/>
    <w:p>
      <w:pPr>
        <w:pStyle w:val="Heading5"/>
      </w:pPr>
      <w:r>
        <w:t xml:space="preserve">Visual representation</w:t>
      </w:r>
    </w:p>
    <w:bookmarkEnd w:id="25"/>
    <w:p>
      <w:r>
        <w:t xml:space="preserve">It could be informative to see visually how the observations lies on these components. On that two dimensional plot below, where the axes are the components which contains the two most variances, you can see (the red vectors) the effect of the variables as well.</w:t>
      </w:r>
    </w:p>
    <w:p>
      <w:hyperlink r:id="rId27">
        <w:r>
          <w:drawing>
            <wp:inline>
              <wp:extent cx="6172200" cy="6172200"/>
              <wp:effectExtent b="0" l="0" r="0" t="0"/>
              <wp:docPr descr="" id="1" name="Picture"/>
              <a:graphic>
                <a:graphicData uri="http://schemas.openxmlformats.org/drawingml/2006/picture">
                  <pic:pic>
                    <pic:nvPicPr>
                      <pic:cNvPr descr="plots/PCA.tpl-1.png" id="0" name="Picture"/>
                      <pic:cNvPicPr>
                        <a:picLocks noChangeArrowheads="1" noChangeAspect="1"/>
                      </pic:cNvPicPr>
                    </pic:nvPicPr>
                    <pic:blipFill>
                      <a:blip r:embed="rId26"/>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28" w:name="rotation"/>
    <w:p>
      <w:pPr>
        <w:pStyle w:val="Heading4"/>
      </w:pPr>
      <w:r>
        <w:t xml:space="preserve">Rotation</w:t>
      </w:r>
    </w:p>
    <w:bookmarkEnd w:id="28"/>
    <w:p>
      <w:r>
        <w:t xml:space="preserve">As you wanted to check the Rotation matrix let us present that for you:</w:t>
      </w:r>
    </w:p>
    <w:tbl>
      <w:tblPr>
        <w:tblStyle w:val="TableNormal"/>
      </w:tblPr>
      <w:tblGrid>
        <w:gridCol w:w="1210"/>
        <w:gridCol w:w="1210"/>
        <w:gridCol w:w="1210"/>
        <w:gridCol w:w="121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PC1</w:t>
            </w:r>
          </w:p>
        </w:tc>
        <w:tc>
          <w:tcPr>
            <w:tcBorders>
              <w:bottom w:val="single"/>
            </w:tcBorders>
            <w:vAlign w:val="bottom"/>
          </w:tcPr>
          <w:p>
            <w:pPr>
              <w:jc w:val="center"/>
            </w:pPr>
            <w:r>
              <w:t xml:space="preserve">PC2</w:t>
            </w:r>
          </w:p>
        </w:tc>
        <w:tc>
          <w:tcPr>
            <w:tcBorders>
              <w:bottom w:val="single"/>
            </w:tcBorders>
            <w:vAlign w:val="bottom"/>
          </w:tcPr>
          <w:p>
            <w:pPr>
              <w:jc w:val="center"/>
            </w:pPr>
            <w:r>
              <w:t xml:space="preserve">PC3</w:t>
            </w:r>
          </w:p>
        </w:tc>
      </w:tr>
      <w:tr>
        <w:tc>
          <w:p>
            <w:pPr>
              <w:jc w:val="center"/>
            </w:pPr>
            <w:r>
              <w:rPr>
                <w:b/>
              </w:rPr>
              <w:t xml:space="preserve">carb</w:t>
            </w:r>
          </w:p>
        </w:tc>
        <w:tc>
          <w:p>
            <w:pPr>
              <w:jc w:val="center"/>
            </w:pPr>
            <w:r>
              <w:t xml:space="preserve">-0.1486</w:t>
            </w:r>
          </w:p>
        </w:tc>
        <w:tc>
          <w:p>
            <w:pPr>
              <w:jc w:val="center"/>
            </w:pPr>
            <w:r>
              <w:rPr>
                <w:b/>
              </w:rPr>
              <w:t xml:space="preserve">0.9728</w:t>
            </w:r>
          </w:p>
        </w:tc>
        <w:tc>
          <w:p>
            <w:pPr>
              <w:jc w:val="center"/>
            </w:pPr>
            <w:r>
              <w:t xml:space="preserve">-0.08587</w:t>
            </w:r>
          </w:p>
        </w:tc>
      </w:tr>
      <w:tr>
        <w:tc>
          <w:p>
            <w:pPr>
              <w:jc w:val="center"/>
            </w:pPr>
            <w:r>
              <w:rPr>
                <w:b/>
              </w:rPr>
              <w:t xml:space="preserve">mpg</w:t>
            </w:r>
          </w:p>
        </w:tc>
        <w:tc>
          <w:p>
            <w:pPr>
              <w:jc w:val="center"/>
            </w:pPr>
            <w:r>
              <w:rPr>
                <w:b/>
              </w:rPr>
              <w:t xml:space="preserve">0.9557</w:t>
            </w:r>
          </w:p>
        </w:tc>
        <w:tc>
          <w:p>
            <w:pPr>
              <w:jc w:val="center"/>
            </w:pPr>
            <w:r>
              <w:t xml:space="preserve">0.1614</w:t>
            </w:r>
          </w:p>
        </w:tc>
        <w:tc>
          <w:p>
            <w:pPr>
              <w:jc w:val="center"/>
            </w:pPr>
            <w:r>
              <w:t xml:space="preserve">0.2433</w:t>
            </w:r>
          </w:p>
        </w:tc>
      </w:tr>
      <w:tr>
        <w:tc>
          <w:p>
            <w:pPr>
              <w:jc w:val="center"/>
            </w:pPr>
            <w:r>
              <w:rPr>
                <w:b/>
              </w:rPr>
              <w:t xml:space="preserve">cyl</w:t>
            </w:r>
          </w:p>
        </w:tc>
        <w:tc>
          <w:p>
            <w:pPr>
              <w:jc w:val="center"/>
            </w:pPr>
            <w:r>
              <w:t xml:space="preserve">-0.2476</w:t>
            </w:r>
          </w:p>
        </w:tc>
        <w:tc>
          <w:p>
            <w:pPr>
              <w:jc w:val="center"/>
            </w:pPr>
            <w:r>
              <w:t xml:space="preserve">0.07389</w:t>
            </w:r>
          </w:p>
        </w:tc>
        <w:tc>
          <w:p>
            <w:pPr>
              <w:jc w:val="center"/>
            </w:pPr>
            <w:r>
              <w:rPr>
                <w:b/>
              </w:rPr>
              <w:t xml:space="preserve">0.9502</w:t>
            </w:r>
          </w:p>
        </w:tc>
      </w:tr>
      <w:tr>
        <w:tc>
          <w:p>
            <w:pPr>
              <w:jc w:val="center"/>
            </w:pPr>
            <w:r>
              <w:rPr>
                <w:b/>
              </w:rPr>
              <w:t xml:space="preserve">drat</w:t>
            </w:r>
          </w:p>
        </w:tc>
        <w:tc>
          <w:p>
            <w:pPr>
              <w:jc w:val="center"/>
            </w:pPr>
            <w:r>
              <w:t xml:space="preserve">0.05777</w:t>
            </w:r>
          </w:p>
        </w:tc>
        <w:tc>
          <w:p>
            <w:pPr>
              <w:jc w:val="center"/>
            </w:pPr>
            <w:r>
              <w:t xml:space="preserve">0.1488</w:t>
            </w:r>
          </w:p>
        </w:tc>
        <w:tc>
          <w:p>
            <w:pPr>
              <w:jc w:val="center"/>
            </w:pPr>
            <w:r>
              <w:t xml:space="preserve">-0.1745</w:t>
            </w:r>
          </w:p>
        </w:tc>
      </w:tr>
    </w:tbl>
    <w:p>
      <w:r>
        <w:t xml:space="preserve">The cells written in bold shows which components explain the most variances of the variables, with the help of them we can draw the following conclusion:</w:t>
      </w:r>
    </w:p>
    <w:p>
      <w:pPr>
        <w:numPr>
          <w:numId w:val="2"/>
          <w:ilvl w:val="0"/>
        </w:numPr>
      </w:pPr>
      <w:r>
        <w:t xml:space="preserve">PC1 is a principal component of mpg</w:t>
      </w:r>
    </w:p>
    <w:p>
      <w:pPr>
        <w:numPr>
          <w:numId w:val="2"/>
          <w:ilvl w:val="0"/>
        </w:numPr>
      </w:pPr>
      <w:r>
        <w:t xml:space="preserve">PC2 is a principal component of carb</w:t>
      </w:r>
    </w:p>
    <w:p>
      <w:pPr>
        <w:numPr>
          <w:numId w:val="2"/>
          <w:ilvl w:val="0"/>
        </w:numPr>
      </w:pPr>
      <w:r>
        <w:t xml:space="preserve">PC3 is a principal component of cyl</w:t>
      </w:r>
    </w:p>
    <w:p>
      <w:r>
        <w:t xml:space="preserve">We can say that none of these impacts are negative.</w:t>
      </w:r>
    </w:p>
    <w:bookmarkStart w:id="29" w:name="description-1"/>
    <w:p>
      <w:pPr>
        <w:pStyle w:val="Heading2"/>
      </w:pPr>
      <w:r>
        <w:t xml:space="preserve">Description</w:t>
      </w:r>
    </w:p>
    <w:bookmarkEnd w:id="29"/>
    <w:p>
      <w:r>
        <w:t xml:space="preserve">In this template Rapporter will present you Principal Component Analysis.</w:t>
      </w:r>
    </w:p>
    <w:bookmarkStart w:id="30" w:name="introduction-1"/>
    <w:p>
      <w:pPr>
        <w:pStyle w:val="Heading3"/>
      </w:pPr>
      <w:r>
        <w:t xml:space="preserve">Introduction</w:t>
      </w:r>
    </w:p>
    <w:bookmarkEnd w:id="30"/>
    <w:p>
      <w:hyperlink r:id="rId23">
        <w:r>
          <w:rPr>
            <w:rStyle w:val="Link"/>
          </w:rPr>
          <w:t xml:space="preserve">Principal Component Analysis</w:t>
        </w:r>
      </w:hyperlink>
      <w:r>
        <w:t xml:space="preserve"> </w:t>
      </w:r>
      <w:r>
        <w:t xml:space="preserve">is a dimension reduction method. It produces linearly independent principal components using the variances of the observations in a set of variables.</w:t>
      </w:r>
    </w:p>
    <w:bookmarkStart w:id="31" w:name="results-1"/>
    <w:p>
      <w:pPr>
        <w:pStyle w:val="Heading3"/>
      </w:pPr>
      <w:r>
        <w:t xml:space="preserve">Results</w:t>
      </w:r>
    </w:p>
    <w:bookmarkEnd w:id="31"/>
    <w:tbl>
      <w:tblPr>
        <w:tblStyle w:val="TableNormal"/>
      </w:tblPr>
      <w:tblGrid>
        <w:gridCol w:w="3190"/>
        <w:gridCol w:w="770"/>
        <w:gridCol w:w="880"/>
        <w:gridCol w:w="88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PC1</w:t>
            </w:r>
          </w:p>
        </w:tc>
        <w:tc>
          <w:tcPr>
            <w:tcBorders>
              <w:bottom w:val="single"/>
            </w:tcBorders>
            <w:vAlign w:val="bottom"/>
          </w:tcPr>
          <w:p>
            <w:pPr>
              <w:jc w:val="center"/>
            </w:pPr>
            <w:r>
              <w:t xml:space="preserve">PC2</w:t>
            </w:r>
          </w:p>
        </w:tc>
        <w:tc>
          <w:tcPr>
            <w:tcBorders>
              <w:bottom w:val="single"/>
            </w:tcBorders>
            <w:vAlign w:val="bottom"/>
          </w:tcPr>
          <w:p>
            <w:pPr>
              <w:jc w:val="center"/>
            </w:pPr>
            <w:r>
              <w:t xml:space="preserve">PC3</w:t>
            </w:r>
          </w:p>
        </w:tc>
      </w:tr>
      <w:tr>
        <w:tc>
          <w:p>
            <w:pPr>
              <w:jc w:val="center"/>
            </w:pPr>
            <w:r>
              <w:rPr>
                <w:b/>
              </w:rPr>
              <w:t xml:space="preserve">Standard deviation</w:t>
            </w:r>
          </w:p>
        </w:tc>
        <w:tc>
          <w:p>
            <w:pPr>
              <w:jc w:val="center"/>
            </w:pPr>
            <w:r>
              <w:t xml:space="preserve">6.298</w:t>
            </w:r>
          </w:p>
        </w:tc>
        <w:tc>
          <w:p>
            <w:pPr>
              <w:jc w:val="center"/>
            </w:pPr>
            <w:r>
              <w:t xml:space="preserve">1.35</w:t>
            </w:r>
          </w:p>
        </w:tc>
        <w:tc>
          <w:p>
            <w:pPr>
              <w:jc w:val="center"/>
            </w:pPr>
            <w:r>
              <w:t xml:space="preserve">0.9088</w:t>
            </w:r>
          </w:p>
        </w:tc>
      </w:tr>
      <w:tr>
        <w:tc>
          <w:p>
            <w:pPr>
              <w:jc w:val="center"/>
            </w:pPr>
            <w:r>
              <w:rPr>
                <w:b/>
              </w:rPr>
              <w:t xml:space="preserve">Proportion of Variance</w:t>
            </w:r>
          </w:p>
        </w:tc>
        <w:tc>
          <w:p>
            <w:pPr>
              <w:jc w:val="center"/>
            </w:pPr>
            <w:r>
              <w:t xml:space="preserve">0.9354</w:t>
            </w:r>
          </w:p>
        </w:tc>
        <w:tc>
          <w:p>
            <w:pPr>
              <w:jc w:val="center"/>
            </w:pPr>
            <w:r>
              <w:t xml:space="preserve">0.04298</w:t>
            </w:r>
          </w:p>
        </w:tc>
        <w:tc>
          <w:p>
            <w:pPr>
              <w:jc w:val="center"/>
            </w:pPr>
            <w:r>
              <w:t xml:space="preserve">0.01947</w:t>
            </w:r>
          </w:p>
        </w:tc>
      </w:tr>
      <w:tr>
        <w:tc>
          <w:p>
            <w:pPr>
              <w:jc w:val="center"/>
            </w:pPr>
            <w:r>
              <w:rPr>
                <w:b/>
              </w:rPr>
              <w:t xml:space="preserve">Cumulative Proportion</w:t>
            </w:r>
          </w:p>
        </w:tc>
        <w:tc>
          <w:p>
            <w:pPr>
              <w:jc w:val="center"/>
            </w:pPr>
            <w:r>
              <w:t xml:space="preserve">0.9354</w:t>
            </w:r>
          </w:p>
        </w:tc>
        <w:tc>
          <w:p>
            <w:pPr>
              <w:jc w:val="center"/>
            </w:pPr>
            <w:r>
              <w:t xml:space="preserve">0.9783</w:t>
            </w:r>
          </w:p>
        </w:tc>
        <w:tc>
          <w:p>
            <w:pPr>
              <w:jc w:val="center"/>
            </w:pPr>
            <w:r>
              <w:t xml:space="preserve">0.9978</w:t>
            </w:r>
          </w:p>
        </w:tc>
      </w:tr>
    </w:tbl>
    <w:p>
      <w:r>
        <w:t xml:space="preserve">From the table above one can see that the first</w:t>
      </w:r>
      <w:r>
        <w:t xml:space="preserve"> </w:t>
      </w:r>
      <w:r>
        <w:rPr>
          <w:i/>
        </w:rPr>
        <w:t xml:space="preserve">3</w:t>
      </w:r>
      <w:r>
        <w:t xml:space="preserve"> </w:t>
      </w:r>
      <w:r>
        <w:t xml:space="preserve">Principal Components contains the</w:t>
      </w:r>
      <w:r>
        <w:t xml:space="preserve"> </w:t>
      </w:r>
      <w:r>
        <w:rPr>
          <w:i/>
        </w:rPr>
        <w:t xml:space="preserve">93.535 %</w:t>
      </w:r>
      <w:r>
        <w:t xml:space="preserve">,</w:t>
      </w:r>
      <w:r>
        <w:t xml:space="preserve"> </w:t>
      </w:r>
      <w:r>
        <w:rPr>
          <w:i/>
        </w:rPr>
        <w:t xml:space="preserve">4.298 %</w:t>
      </w:r>
      <w:r>
        <w:t xml:space="preserve"> </w:t>
      </w:r>
      <w:r>
        <w:t xml:space="preserve">and</w:t>
      </w:r>
      <w:r>
        <w:t xml:space="preserve"> </w:t>
      </w:r>
      <w:r>
        <w:rPr>
          <w:i/>
        </w:rPr>
        <w:t xml:space="preserve">1.947 %</w:t>
      </w:r>
      <w:r>
        <w:t xml:space="preserve"> </w:t>
      </w:r>
      <w:r>
        <w:t xml:space="preserve">of the variances, so together the 99.78 % of that.</w:t>
      </w:r>
    </w:p>
    <w:bookmarkStart w:id="32" w:name="visual-representation-1"/>
    <w:p>
      <w:pPr>
        <w:pStyle w:val="Heading5"/>
      </w:pPr>
      <w:r>
        <w:t xml:space="preserve">Visual representation</w:t>
      </w:r>
    </w:p>
    <w:bookmarkEnd w:id="32"/>
    <w:p>
      <w:r>
        <w:t xml:space="preserve">It could be informative to see visually how the observations lies on these components. On that two dimensional plot below, where the axes are the components which contains the two most variances, you can see (the red vectors) the effect of the variables as well.</w:t>
      </w:r>
    </w:p>
    <w:p>
      <w:hyperlink r:id="rId27">
        <w:r>
          <w:drawing>
            <wp:inline>
              <wp:extent cx="6172200" cy="6172200"/>
              <wp:effectExtent b="0" l="0" r="0" t="0"/>
              <wp:docPr descr="" id="1" name="Picture"/>
              <a:graphic>
                <a:graphicData uri="http://schemas.openxmlformats.org/drawingml/2006/picture">
                  <pic:pic>
                    <pic:nvPicPr>
                      <pic:cNvPr descr="plots/PCA.tpl-1.png" id="0" name="Picture"/>
                      <pic:cNvPicPr>
                        <a:picLocks noChangeArrowheads="1" noChangeAspect="1"/>
                      </pic:cNvPicPr>
                    </pic:nvPicPr>
                    <pic:blipFill>
                      <a:blip r:embed="rId26"/>
                      <a:stretch>
                        <a:fillRect/>
                      </a:stretch>
                    </pic:blipFill>
                    <pic:spPr bwMode="auto">
                      <a:xfrm>
                        <a:off x="0" y="0"/>
                        <a:ext cx="6172200" cy="6172200"/>
                      </a:xfrm>
                      <a:prstGeom prst="rect">
                        <a:avLst/>
                      </a:prstGeom>
                      <a:noFill/>
                      <a:ln w="9525">
                        <a:noFill/>
                        <a:headEnd/>
                        <a:tailEnd/>
                      </a:ln>
                    </pic:spPr>
                  </pic:pic>
                </a:graphicData>
              </a:graphic>
            </wp:inline>
          </w:drawing>
        </w:r>
      </w:hyperlink>
    </w:p>
    <w:bookmarkStart w:id="33" w:name="rotation-1"/>
    <w:p>
      <w:pPr>
        <w:pStyle w:val="Heading4"/>
      </w:pPr>
      <w:r>
        <w:t xml:space="preserve">Rotation</w:t>
      </w:r>
    </w:p>
    <w:bookmarkEnd w:id="33"/>
    <w:p>
      <w:r>
        <w:t xml:space="preserve">As you wanted to check the Rotation matrix let us present that for you:</w:t>
      </w:r>
    </w:p>
    <w:tbl>
      <w:tblPr>
        <w:tblStyle w:val="TableNormal"/>
      </w:tblPr>
      <w:tblGrid>
        <w:gridCol w:w="1210"/>
        <w:gridCol w:w="1210"/>
        <w:gridCol w:w="1210"/>
        <w:gridCol w:w="1210"/>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PC1</w:t>
            </w:r>
          </w:p>
        </w:tc>
        <w:tc>
          <w:tcPr>
            <w:tcBorders>
              <w:bottom w:val="single"/>
            </w:tcBorders>
            <w:vAlign w:val="bottom"/>
          </w:tcPr>
          <w:p>
            <w:pPr>
              <w:jc w:val="center"/>
            </w:pPr>
            <w:r>
              <w:t xml:space="preserve">PC2</w:t>
            </w:r>
          </w:p>
        </w:tc>
        <w:tc>
          <w:tcPr>
            <w:tcBorders>
              <w:bottom w:val="single"/>
            </w:tcBorders>
            <w:vAlign w:val="bottom"/>
          </w:tcPr>
          <w:p>
            <w:pPr>
              <w:jc w:val="center"/>
            </w:pPr>
            <w:r>
              <w:t xml:space="preserve">PC3</w:t>
            </w:r>
          </w:p>
        </w:tc>
      </w:tr>
      <w:tr>
        <w:tc>
          <w:p>
            <w:pPr>
              <w:jc w:val="center"/>
            </w:pPr>
            <w:r>
              <w:rPr>
                <w:b/>
              </w:rPr>
              <w:t xml:space="preserve">carb</w:t>
            </w:r>
          </w:p>
        </w:tc>
        <w:tc>
          <w:p>
            <w:pPr>
              <w:jc w:val="center"/>
            </w:pPr>
            <w:r>
              <w:t xml:space="preserve">-0.1486</w:t>
            </w:r>
          </w:p>
        </w:tc>
        <w:tc>
          <w:p>
            <w:pPr>
              <w:jc w:val="center"/>
            </w:pPr>
            <w:r>
              <w:rPr>
                <w:b/>
              </w:rPr>
              <w:t xml:space="preserve">0.9728</w:t>
            </w:r>
          </w:p>
        </w:tc>
        <w:tc>
          <w:p>
            <w:pPr>
              <w:jc w:val="center"/>
            </w:pPr>
            <w:r>
              <w:t xml:space="preserve">-0.08587</w:t>
            </w:r>
          </w:p>
        </w:tc>
      </w:tr>
      <w:tr>
        <w:tc>
          <w:p>
            <w:pPr>
              <w:jc w:val="center"/>
            </w:pPr>
            <w:r>
              <w:rPr>
                <w:b/>
              </w:rPr>
              <w:t xml:space="preserve">mpg</w:t>
            </w:r>
          </w:p>
        </w:tc>
        <w:tc>
          <w:p>
            <w:pPr>
              <w:jc w:val="center"/>
            </w:pPr>
            <w:r>
              <w:rPr>
                <w:b/>
              </w:rPr>
              <w:t xml:space="preserve">0.9557</w:t>
            </w:r>
          </w:p>
        </w:tc>
        <w:tc>
          <w:p>
            <w:pPr>
              <w:jc w:val="center"/>
            </w:pPr>
            <w:r>
              <w:t xml:space="preserve">0.1614</w:t>
            </w:r>
          </w:p>
        </w:tc>
        <w:tc>
          <w:p>
            <w:pPr>
              <w:jc w:val="center"/>
            </w:pPr>
            <w:r>
              <w:t xml:space="preserve">0.2433</w:t>
            </w:r>
          </w:p>
        </w:tc>
      </w:tr>
      <w:tr>
        <w:tc>
          <w:p>
            <w:pPr>
              <w:jc w:val="center"/>
            </w:pPr>
            <w:r>
              <w:rPr>
                <w:b/>
              </w:rPr>
              <w:t xml:space="preserve">cyl</w:t>
            </w:r>
          </w:p>
        </w:tc>
        <w:tc>
          <w:p>
            <w:pPr>
              <w:jc w:val="center"/>
            </w:pPr>
            <w:r>
              <w:t xml:space="preserve">-0.2476</w:t>
            </w:r>
          </w:p>
        </w:tc>
        <w:tc>
          <w:p>
            <w:pPr>
              <w:jc w:val="center"/>
            </w:pPr>
            <w:r>
              <w:t xml:space="preserve">0.07389</w:t>
            </w:r>
          </w:p>
        </w:tc>
        <w:tc>
          <w:p>
            <w:pPr>
              <w:jc w:val="center"/>
            </w:pPr>
            <w:r>
              <w:rPr>
                <w:b/>
              </w:rPr>
              <w:t xml:space="preserve">0.9502</w:t>
            </w:r>
          </w:p>
        </w:tc>
      </w:tr>
      <w:tr>
        <w:tc>
          <w:p>
            <w:pPr>
              <w:jc w:val="center"/>
            </w:pPr>
            <w:r>
              <w:rPr>
                <w:b/>
              </w:rPr>
              <w:t xml:space="preserve">drat</w:t>
            </w:r>
          </w:p>
        </w:tc>
        <w:tc>
          <w:p>
            <w:pPr>
              <w:jc w:val="center"/>
            </w:pPr>
            <w:r>
              <w:t xml:space="preserve">0.05777</w:t>
            </w:r>
          </w:p>
        </w:tc>
        <w:tc>
          <w:p>
            <w:pPr>
              <w:jc w:val="center"/>
            </w:pPr>
            <w:r>
              <w:t xml:space="preserve">0.1488</w:t>
            </w:r>
          </w:p>
        </w:tc>
        <w:tc>
          <w:p>
            <w:pPr>
              <w:jc w:val="center"/>
            </w:pPr>
            <w:r>
              <w:t xml:space="preserve">-0.1745</w:t>
            </w:r>
          </w:p>
        </w:tc>
      </w:tr>
    </w:tbl>
    <w:p>
      <w:r>
        <w:t xml:space="preserve">The cells written in bold shows which components explain the most variances of the variables, with the help of them we can draw the following conclusion:</w:t>
      </w:r>
    </w:p>
    <w:p>
      <w:pPr>
        <w:numPr>
          <w:numId w:val="3"/>
          <w:ilvl w:val="0"/>
        </w:numPr>
      </w:pPr>
      <w:r>
        <w:t xml:space="preserve">PC1 is a principal component of mpg</w:t>
      </w:r>
    </w:p>
    <w:p>
      <w:pPr>
        <w:numPr>
          <w:numId w:val="3"/>
          <w:ilvl w:val="0"/>
        </w:numPr>
      </w:pPr>
      <w:r>
        <w:t xml:space="preserve">PC2 is a principal component of carb</w:t>
      </w:r>
    </w:p>
    <w:p>
      <w:pPr>
        <w:numPr>
          <w:numId w:val="3"/>
          <w:ilvl w:val="0"/>
        </w:numPr>
      </w:pPr>
      <w:r>
        <w:t xml:space="preserve">PC3 is a principal component of cyl</w:t>
      </w:r>
    </w:p>
    <w:p>
      <w:r>
        <w:t xml:space="preserve">We can say that none of these impacts are negative.</w:t>
      </w:r>
    </w:p>
    <w:p>
      <w:r>
        <w:pict>
          <v:rect style="width:0;height:1.5pt" o:hralign="center" o:hrstd="t" o:hr="t"/>
        </w:pict>
      </w:r>
    </w:p>
    <w:p>
      <w:r>
        <w:t xml:space="preserve">This report was generated with</w:t>
      </w:r>
      <w:r>
        <w:t xml:space="preserve"> </w:t>
      </w:r>
      <w:hyperlink r:id="rId34">
        <w:r>
          <w:rPr>
            <w:rStyle w:val="Link"/>
          </w:rPr>
          <w:t xml:space="preserve">R</w:t>
        </w:r>
      </w:hyperlink>
      <w:r>
        <w:t xml:space="preserve"> </w:t>
      </w:r>
      <w:r>
        <w:t xml:space="preserve">(3.0.1) and</w:t>
      </w:r>
      <w:r>
        <w:t xml:space="preserve"> </w:t>
      </w:r>
      <w:hyperlink r:id="rId35">
        <w:r>
          <w:rPr>
            <w:rStyle w:val="Link"/>
          </w:rPr>
          <w:t xml:space="preserve">rapport</w:t>
        </w:r>
      </w:hyperlink>
      <w:r>
        <w:t xml:space="preserve"> </w:t>
      </w:r>
      <w:r>
        <w:t xml:space="preserve">(0.51) in</w:t>
      </w:r>
      <w:r>
        <w:t xml:space="preserve"> </w:t>
      </w:r>
      <w:r>
        <w:rPr>
          <w:i/>
        </w:rPr>
        <w:t xml:space="preserve">0.891</w:t>
      </w:r>
      <w:r>
        <w:t xml:space="preserve"> </w:t>
      </w:r>
      <w:r>
        <w:t xml:space="preserve">sec on x86_64-unknown-linux-gnu platform.</w:t>
      </w:r>
    </w:p>
    <w:p>
      <w:r>
        <w:drawing>
          <wp:inline>
            <wp:extent cx="1498600" cy="1993900"/>
            <wp:effectExtent b="0" l="0" r="0" t="0"/>
            <wp:docPr descr="" id="1" name="Picture"/>
            <a:graphic>
              <a:graphicData uri="http://schemas.openxmlformats.org/drawingml/2006/picture">
                <pic:pic>
                  <pic:nvPicPr>
                    <pic:cNvPr descr="/usr/lib/R/library/rapport/includes/images/logo.png" id="0" name="Picture"/>
                    <pic:cNvPicPr>
                      <a:picLocks noChangeArrowheads="1" noChangeAspect="1"/>
                    </pic:cNvPicPr>
                  </pic:nvPicPr>
                  <pic:blipFill>
                    <a:blip r:embed="rId36"/>
                    <a:stretch>
                      <a:fillRect/>
                    </a:stretch>
                  </pic:blipFill>
                  <pic:spPr bwMode="auto">
                    <a:xfrm>
                      <a:off x="0" y="0"/>
                      <a:ext cx="1498600" cy="1993900"/>
                    </a:xfrm>
                    <a:prstGeom prst="rect">
                      <a:avLst/>
                    </a:prstGeom>
                    <a:noFill/>
                    <a:ln w="9525">
                      <a:noFill/>
                      <a:headEnd/>
                      <a:tailEnd/>
                    </a:ln>
                  </pic:spPr>
                </pic:pic>
              </a:graphicData>
            </a:graphic>
          </wp:inline>
        </w:drawing>
      </w:r>
    </w:p>
    <w:p>
      <w:pPr>
        <w:pStyle w:val="ImageCaption"/>
      </w:pP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8516b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7ccdd6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hyperlink" Id="rId35" Target="http://rapport-package.info/" TargetMode="External" /><Relationship Type="http://schemas.openxmlformats.org/officeDocument/2006/relationships/hyperlink" Id="rId34" Target="http://www.r-project.org/" TargetMode="External" /><Relationship Type="http://schemas.openxmlformats.org/officeDocument/2006/relationships/hyperlink" Id="rId23" Target="https://en.wikipedia.org/wiki/Principal_component_analysis" TargetMode="External" /><Relationship Type="http://schemas.openxmlformats.org/officeDocument/2006/relationships/hyperlink" Id="rId27" Target="plots/PCA.tpl-1-hires.png" TargetMode="External" /></Relationships>
</file>

<file path=word/_rels/footnotes.xml.rels><?xml version="1.0" encoding="UTF-8"?>
<Relationships xmlns="http://schemas.openxmlformats.org/package/2006/relationships"><Relationship Type="http://schemas.openxmlformats.org/officeDocument/2006/relationships/hyperlink" Id="rId35" Target="http://rapport-package.info/" TargetMode="External" /><Relationship Type="http://schemas.openxmlformats.org/officeDocument/2006/relationships/hyperlink" Id="rId34" Target="http://www.r-project.org/" TargetMode="External" /><Relationship Type="http://schemas.openxmlformats.org/officeDocument/2006/relationships/hyperlink" Id="rId23" Target="https://en.wikipedia.org/wiki/Principal_component_analysis" TargetMode="External" /><Relationship Type="http://schemas.openxmlformats.org/officeDocument/2006/relationships/hyperlink" Id="rId27" Target="plots/PCA.tpl-1-hires.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package team</dc:title>
  <dcterms:created xsi:type="dcterms:W3CDTF"/>
  <dcterms:modified xsi:type="dcterms:W3CDTF"/>
  <dc:creator>Principal Component Analysis</dc:creator>
</cp:coreProperties>
</file>