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t-test</w:t>
      </w:r>
      <w:r>
        <w:t xml:space="preserve"> </w:t>
      </w:r>
      <w:r>
        <w:t xml:space="preserve">Template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A t-test report with table of descriptives, diagnostic tests and t-test specific statistics.</w:t>
      </w:r>
    </w:p>
    <w:bookmarkStart w:id="22" w:name="introduction"/>
    <w:p>
      <w:pPr>
        <w:pStyle w:val="Heading3"/>
      </w:pPr>
      <w:r>
        <w:t xml:space="preserve">Introduction</w:t>
      </w:r>
    </w:p>
    <w:bookmarkEnd w:id="22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rId23">
        <w:r>
          <w:rPr>
            <w:i/>
            <w:rStyle w:val="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2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2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24" w:name="overview"/>
    <w:p>
      <w:pPr>
        <w:pStyle w:val="Heading3"/>
      </w:pPr>
      <w:r>
        <w:t xml:space="preserve">Overview</w:t>
      </w:r>
    </w:p>
    <w:bookmarkEnd w:id="24"/>
    <w:p>
      <w:r>
        <w:t xml:space="preserve">Independent samples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variable, and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as independent variable. Confidence interval is set to 95%. Equality of variances wasn't assumed.</w:t>
      </w:r>
    </w:p>
    <w:bookmarkStart w:id="25" w:name="descriptives"/>
    <w:p>
      <w:pPr>
        <w:pStyle w:val="Heading3"/>
      </w:pPr>
      <w:r>
        <w:t xml:space="preserve">Descriptives</w:t>
      </w:r>
    </w:p>
    <w:bookmarkEnd w:id="25"/>
    <w:p>
      <w:r>
        <w:t xml:space="preserve">In order to get more insight on the underlying data, a table of basic descriptive statistics is displayed below.</w:t>
      </w:r>
    </w:p>
    <w:tbl>
      <w:tblPr>
        <w:tblStyle w:val="TableNormal"/>
        <w:tblCaption w:val="Table continues below"/>
      </w:tblPr>
      <w:tblGrid>
        <w:gridCol w:w="990"/>
        <w:gridCol w:w="660"/>
        <w:gridCol w:w="660"/>
        <w:gridCol w:w="770"/>
        <w:gridCol w:w="660"/>
        <w:gridCol w:w="660"/>
        <w:gridCol w:w="99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IQR</w:t>
            </w:r>
          </w:p>
        </w:tc>
      </w:tr>
      <w:tr>
        <w:tc>
          <w:p>
            <w:pPr>
              <w:jc w:val="center"/>
            </w:pPr>
            <w:r>
              <w:t xml:space="preserve">male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  <w:tc>
          <w:p>
            <w:pPr>
              <w:jc w:val="center"/>
            </w:pPr>
            <w:r>
              <w:t xml:space="preserve">12</w:t>
            </w:r>
          </w:p>
        </w:tc>
        <w:tc>
          <w:p>
            <w:pPr>
              <w:jc w:val="center"/>
            </w:pPr>
            <w:r>
              <w:t xml:space="preserve">3.27</w:t>
            </w:r>
          </w:p>
        </w:tc>
        <w:tc>
          <w:p>
            <w:pPr>
              <w:jc w:val="center"/>
            </w:pPr>
            <w:r>
              <w:t xml:space="preserve">1.953</w:t>
            </w:r>
          </w:p>
        </w:tc>
        <w:tc>
          <w:p>
            <w:pPr>
              <w:jc w:val="center"/>
            </w:pPr>
            <w:r>
              <w:t xml:space="preserve">3.816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</w:tr>
      <w:tr>
        <w:tc>
          <w:p>
            <w:pPr>
              <w:jc w:val="center"/>
            </w:pPr>
            <w:r>
              <w:t xml:space="preserve">female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  <w:tc>
          <w:p>
            <w:pPr>
              <w:jc w:val="center"/>
            </w:pPr>
            <w:r>
              <w:t xml:space="preserve">12</w:t>
            </w:r>
          </w:p>
        </w:tc>
        <w:tc>
          <w:p>
            <w:pPr>
              <w:jc w:val="center"/>
            </w:pPr>
            <w:r>
              <w:t xml:space="preserve">3.064</w:t>
            </w:r>
          </w:p>
        </w:tc>
        <w:tc>
          <w:p>
            <w:pPr>
              <w:jc w:val="center"/>
            </w:pPr>
            <w:r>
              <w:t xml:space="preserve">2.355</w:t>
            </w:r>
          </w:p>
        </w:tc>
        <w:tc>
          <w:p>
            <w:pPr>
              <w:jc w:val="center"/>
            </w:pPr>
            <w:r>
              <w:t xml:space="preserve">5.544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kurtosis</w:t>
            </w:r>
          </w:p>
        </w:tc>
      </w:tr>
      <w:tr>
        <w:tc>
          <w:p>
            <w:pPr>
              <w:jc w:val="center"/>
            </w:pPr>
            <w:r>
              <w:t xml:space="preserve">0.9443</w:t>
            </w:r>
          </w:p>
        </w:tc>
        <w:tc>
          <w:p>
            <w:pPr>
              <w:jc w:val="center"/>
            </w:pPr>
            <w:r>
              <w:t xml:space="preserve">0.9858</w:t>
            </w:r>
          </w:p>
        </w:tc>
      </w:tr>
      <w:tr>
        <w:tc>
          <w:p>
            <w:pPr>
              <w:jc w:val="center"/>
            </w:pPr>
            <w:r>
              <w:t xml:space="preserve">1.398</w:t>
            </w:r>
          </w:p>
        </w:tc>
        <w:tc>
          <w:p>
            <w:pPr>
              <w:jc w:val="center"/>
            </w:pPr>
            <w:r>
              <w:t xml:space="preserve">1.87</w:t>
            </w:r>
          </w:p>
        </w:tc>
      </w:tr>
    </w:tbl>
    <w:bookmarkStart w:id="26" w:name="diagnostics"/>
    <w:p>
      <w:pPr>
        <w:pStyle w:val="Heading3"/>
      </w:pPr>
      <w:r>
        <w:t xml:space="preserve">Diagnostics</w:t>
      </w:r>
    </w:p>
    <w:bookmarkEnd w:id="26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27" w:name="normality-tests"/>
    <w:p>
      <w:pPr>
        <w:pStyle w:val="Heading4"/>
      </w:pPr>
      <w:r>
        <w:t xml:space="preserve">Normality Tests</w:t>
      </w:r>
    </w:p>
    <w:bookmarkEnd w:id="27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>
        <w:tblStyle w:val="TableNormal"/>
      </w:tblPr>
      <w:tblGrid>
        <w:gridCol w:w="3080"/>
        <w:gridCol w:w="77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1.618e-20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3e-52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18.75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</w:tbl>
    <w:p>
      <w:r>
        <w:t xml:space="preserve">As you can see, applied tests yield different results on hypotheses of normality, so you may want to stick with one you find most appropriate or you trust the most..</w:t>
      </w:r>
    </w:p>
    <w:bookmarkStart w:id="28" w:name="results"/>
    <w:p>
      <w:pPr>
        <w:pStyle w:val="Heading3"/>
      </w:pPr>
      <w:r>
        <w:t xml:space="preserve">Results</w:t>
      </w:r>
    </w:p>
    <w:bookmarkEnd w:id="28"/>
    <w:p>
      <w:r>
        <w:t xml:space="preserve">Welch Two Sample t-test was applied, and significant differences were found.</w:t>
      </w:r>
    </w:p>
    <w:tbl>
      <w:tblPr>
        <w:tblStyle w:val="TableNormal"/>
      </w:tblPr>
      <w:tblGrid>
        <w:gridCol w:w="880"/>
        <w:gridCol w:w="1320"/>
        <w:gridCol w:w="660"/>
        <w:gridCol w:w="77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</w:t>
            </w:r>
          </w:p>
        </w:tc>
        <w:tc>
          <w:p>
            <w:pPr>
              <w:jc w:val="center"/>
            </w:pPr>
            <w:r>
              <w:t xml:space="preserve">1.148</w:t>
            </w:r>
          </w:p>
        </w:tc>
        <w:tc>
          <w:p>
            <w:pPr>
              <w:jc w:val="center"/>
            </w:pPr>
            <w:r>
              <w:t xml:space="preserve">457.9</w:t>
            </w:r>
          </w:p>
        </w:tc>
        <w:tc>
          <w:p>
            <w:pPr>
              <w:jc w:val="center"/>
            </w:pPr>
            <w:r>
              <w:t xml:space="preserve">0.2514</w:t>
            </w:r>
          </w:p>
        </w:tc>
        <w:tc>
          <w:p>
            <w:pPr>
              <w:jc w:val="center"/>
            </w:pPr>
            <w:r>
              <w:t xml:space="preserve">-0.1463</w:t>
            </w:r>
          </w:p>
        </w:tc>
        <w:tc>
          <w:p>
            <w:pPr>
              <w:jc w:val="center"/>
            </w:pPr>
            <w:r>
              <w:t xml:space="preserve">0.5576</w:t>
            </w:r>
          </w:p>
        </w:tc>
      </w:tr>
    </w:tbl>
    <w:bookmarkStart w:id="29" w:name="description-1"/>
    <w:p>
      <w:pPr>
        <w:pStyle w:val="Heading2"/>
      </w:pPr>
      <w:r>
        <w:t xml:space="preserve">Description</w:t>
      </w:r>
    </w:p>
    <w:bookmarkEnd w:id="29"/>
    <w:p>
      <w:r>
        <w:t xml:space="preserve">A t-test report with table of descriptives, diagnostic tests and t-test specific statistics.</w:t>
      </w:r>
    </w:p>
    <w:bookmarkStart w:id="30" w:name="introduction-1"/>
    <w:p>
      <w:pPr>
        <w:pStyle w:val="Heading3"/>
      </w:pPr>
      <w:r>
        <w:t xml:space="preserve">Introduction</w:t>
      </w:r>
    </w:p>
    <w:bookmarkEnd w:id="30"/>
    <w:p>
      <w:r>
        <w:t xml:space="preserve">In a nutshell,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statistical test that assesses hypothesis of equality of two means. But in theory, any hypothesis test that yields statistic which follows</w:t>
      </w:r>
      <w:r>
        <w:t xml:space="preserve"> </w:t>
      </w:r>
      <w:hyperlink r:id="rId23">
        <w:r>
          <w:rPr>
            <w:i/>
            <w:rStyle w:val="Link"/>
          </w:rPr>
          <w:t xml:space="preserve">t-distribution</w:t>
        </w:r>
      </w:hyperlink>
      <w:r>
        <w:t xml:space="preserve"> </w:t>
      </w:r>
      <w:r>
        <w:t xml:space="preserve">can be considered a</w:t>
      </w:r>
      <w:r>
        <w:t xml:space="preserve"> </w:t>
      </w:r>
      <w:r>
        <w:rPr>
          <w:i/>
        </w:rPr>
        <w:t xml:space="preserve">t-test</w:t>
      </w:r>
      <w:r>
        <w:t xml:space="preserve">. The most common usage of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to:</w:t>
      </w:r>
    </w:p>
    <w:p>
      <w:pPr>
        <w:numPr>
          <w:numId w:val="3"/>
          <w:ilvl w:val="0"/>
        </w:numPr>
      </w:pPr>
      <w:r>
        <w:t xml:space="preserve">compare the mean of a variable with given test mean value -</w:t>
      </w:r>
      <w:r>
        <w:t xml:space="preserve"> </w:t>
      </w:r>
      <w:r>
        <w:rPr>
          <w:b/>
        </w:rPr>
        <w:t xml:space="preserve">one-sample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independent samples -</w:t>
      </w:r>
      <w:r>
        <w:t xml:space="preserve"> </w:t>
      </w:r>
      <w:r>
        <w:rPr>
          <w:b/>
        </w:rPr>
        <w:t xml:space="preserve">independent 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p>
      <w:pPr>
        <w:numPr>
          <w:numId w:val="3"/>
          <w:ilvl w:val="0"/>
        </w:numPr>
      </w:pPr>
      <w:r>
        <w:t xml:space="preserve">compare means of two variables from dependent samples -</w:t>
      </w:r>
      <w:r>
        <w:t xml:space="preserve"> </w:t>
      </w:r>
      <w:r>
        <w:rPr>
          <w:b/>
        </w:rPr>
        <w:t xml:space="preserve">paired-samples</w:t>
      </w:r>
      <w:r>
        <w:rPr>
          <w:b/>
        </w:rPr>
        <w:t xml:space="preserve"> </w:t>
      </w:r>
      <w:r>
        <w:rPr>
          <w:i/>
          <w:b/>
        </w:rPr>
        <w:t xml:space="preserve">t-test</w:t>
      </w:r>
    </w:p>
    <w:bookmarkStart w:id="31" w:name="overview-1"/>
    <w:p>
      <w:pPr>
        <w:pStyle w:val="Heading3"/>
      </w:pPr>
      <w:r>
        <w:t xml:space="preserve">Overview</w:t>
      </w:r>
    </w:p>
    <w:bookmarkEnd w:id="31"/>
    <w:p>
      <w:r>
        <w:t xml:space="preserve">One-sample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carried out with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as dependent variable. Confidence interval is set to 95%. Equality of variances wasn't assumed.</w:t>
      </w:r>
    </w:p>
    <w:bookmarkStart w:id="32" w:name="descriptives-1"/>
    <w:p>
      <w:pPr>
        <w:pStyle w:val="Heading3"/>
      </w:pPr>
      <w:r>
        <w:t xml:space="preserve">Descriptives</w:t>
      </w:r>
    </w:p>
    <w:bookmarkEnd w:id="32"/>
    <w:p>
      <w:r>
        <w:t xml:space="preserve">In order to get more insight on the underlying data, a table of basic descriptive statistics is displayed below.</w:t>
      </w:r>
    </w:p>
    <w:tbl>
      <w:tblPr>
        <w:tblStyle w:val="TableNormal"/>
        <w:tblCaption w:val="Table continues below"/>
      </w:tblPr>
      <w:tblGrid>
        <w:gridCol w:w="3410"/>
        <w:gridCol w:w="660"/>
        <w:gridCol w:w="66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</w:t>
            </w:r>
          </w:p>
        </w:tc>
      </w:tr>
      <w:tr>
        <w:tc>
          <w:p>
            <w:pPr>
              <w:jc w:val="center"/>
            </w:pPr>
            <w:r>
              <w:t xml:space="preserve">Internet usage in leisure time (hours per day)</w:t>
            </w:r>
          </w:p>
        </w:tc>
        <w:tc>
          <w:p>
            <w:pPr>
              <w:jc w:val="center"/>
            </w:pPr>
            <w:r>
              <w:t xml:space="preserve">0</w:t>
            </w:r>
          </w:p>
        </w:tc>
        <w:tc>
          <w:p>
            <w:pPr>
              <w:jc w:val="center"/>
            </w:pPr>
            <w:r>
              <w:t xml:space="preserve">12</w:t>
            </w:r>
          </w:p>
        </w:tc>
        <w:tc>
          <w:p>
            <w:pPr>
              <w:jc w:val="center"/>
            </w:pPr>
            <w:r>
              <w:t xml:space="preserve">3.199</w:t>
            </w:r>
          </w:p>
        </w:tc>
        <w:tc>
          <w:p>
            <w:pPr>
              <w:jc w:val="center"/>
            </w:pPr>
            <w:r>
              <w:t xml:space="preserve">2.144</w:t>
            </w:r>
          </w:p>
        </w:tc>
        <w:tc>
          <w:p>
            <w:pPr>
              <w:jc w:val="center"/>
            </w:pPr>
            <w:r>
              <w:t xml:space="preserve">4.595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</w:tblPr>
      <w:tblGrid>
        <w:gridCol w:w="990"/>
        <w:gridCol w:w="66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IQR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kurtosis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1.185</w:t>
            </w:r>
          </w:p>
        </w:tc>
        <w:tc>
          <w:p>
            <w:pPr>
              <w:jc w:val="center"/>
            </w:pPr>
            <w:r>
              <w:t xml:space="preserve">1.533</w:t>
            </w:r>
          </w:p>
        </w:tc>
      </w:tr>
    </w:tbl>
    <w:bookmarkStart w:id="33" w:name="diagnostics-1"/>
    <w:p>
      <w:pPr>
        <w:pStyle w:val="Heading3"/>
      </w:pPr>
      <w:r>
        <w:t xml:space="preserve">Diagnostics</w:t>
      </w:r>
    </w:p>
    <w:bookmarkEnd w:id="33"/>
    <w:p>
      <w:r>
        <w:t xml:space="preserve">Since</w:t>
      </w:r>
      <w:r>
        <w:t xml:space="preserve"> </w:t>
      </w:r>
      <w:r>
        <w:rPr>
          <w:i/>
        </w:rPr>
        <w:t xml:space="preserve">t-test</w:t>
      </w:r>
      <w:r>
        <w:t xml:space="preserve"> </w:t>
      </w:r>
      <w:r>
        <w:t xml:space="preserve">is a parametric technique, it sets some basic assumptions on distribution shape: it has to be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(or approximately normal). A few normality test are to be applied, in order to screen possible departures from normality.</w:t>
      </w:r>
    </w:p>
    <w:bookmarkStart w:id="34" w:name="normality-tests-1"/>
    <w:p>
      <w:pPr>
        <w:pStyle w:val="Heading4"/>
      </w:pPr>
      <w:r>
        <w:t xml:space="preserve">Normality Tests</w:t>
      </w:r>
    </w:p>
    <w:bookmarkEnd w:id="34"/>
    <w:p>
      <w:r>
        <w:t xml:space="preserve">We will use</w:t>
      </w:r>
      <w:r>
        <w:t xml:space="preserve"> </w:t>
      </w:r>
      <w:r>
        <w:rPr>
          <w:i/>
        </w:rPr>
        <w:t xml:space="preserve">Shapiro-Wilk</w:t>
      </w:r>
      <w:r>
        <w:t xml:space="preserve">,</w:t>
      </w:r>
      <w:r>
        <w:t xml:space="preserve"> </w:t>
      </w:r>
      <w:r>
        <w:rPr>
          <w:i/>
        </w:rPr>
        <w:t xml:space="preserve">Lilliefors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Anderson-Darling</w:t>
      </w:r>
      <w:r>
        <w:t xml:space="preserve"> </w:t>
      </w:r>
      <w:r>
        <w:t xml:space="preserve">tests to screen departures from normality in the response variable (</w:t>
      </w:r>
      <w:r>
        <w:rPr>
          <w:i/>
        </w:rPr>
        <w:t xml:space="preserve">Internet usage in leisure time (hours per day)</w:t>
      </w:r>
      <w:r>
        <w:t xml:space="preserve">).</w:t>
      </w:r>
    </w:p>
    <w:tbl>
      <w:tblPr>
        <w:tblStyle w:val="TableNormal"/>
      </w:tblPr>
      <w:tblGrid>
        <w:gridCol w:w="3080"/>
        <w:gridCol w:w="77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jc w:val="center"/>
            </w:pPr>
            <w:r>
              <w:t xml:space="preserve">Shapiro-Wilk normality test</w:t>
            </w:r>
          </w:p>
        </w:tc>
        <w:tc>
          <w:p>
            <w:pPr>
              <w:jc w:val="center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1.618e-20</w:t>
            </w:r>
          </w:p>
        </w:tc>
      </w:tr>
      <w:tr>
        <w:tc>
          <w:p>
            <w:pPr>
              <w:jc w:val="center"/>
            </w:pPr>
            <w:r>
              <w:t xml:space="preserve">Lilliefors (Kolmogorov-Smirnov) normality test</w:t>
            </w:r>
          </w:p>
        </w:tc>
        <w:tc>
          <w:p>
            <w:pPr>
              <w:jc w:val="center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3e-52</w:t>
            </w:r>
          </w:p>
        </w:tc>
      </w:tr>
      <w:tr>
        <w:tc>
          <w:p>
            <w:pPr>
              <w:jc w:val="center"/>
            </w:pPr>
            <w:r>
              <w:t xml:space="preserve">Anderson-Darling normality test</w:t>
            </w:r>
          </w:p>
        </w:tc>
        <w:tc>
          <w:p>
            <w:pPr>
              <w:jc w:val="center"/>
            </w:pPr>
            <w:r>
              <w:t xml:space="preserve">18.75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</w:tbl>
    <w:p>
      <w:r>
        <w:t xml:space="preserve">As you can see, applied tests yield different results on hypotheses of normality, so you may want to stick with one you find most appropriate or you trust the most..</w:t>
      </w:r>
    </w:p>
    <w:bookmarkStart w:id="35" w:name="results-1"/>
    <w:p>
      <w:pPr>
        <w:pStyle w:val="Heading3"/>
      </w:pPr>
      <w:r>
        <w:t xml:space="preserve">Results</w:t>
      </w:r>
    </w:p>
    <w:bookmarkEnd w:id="35"/>
    <w:p>
      <w:r>
        <w:t xml:space="preserve">One Sample t-test was applied, and significant differences were found.</w:t>
      </w:r>
    </w:p>
    <w:tbl>
      <w:tblPr>
        <w:tblStyle w:val="TableNormal"/>
      </w:tblPr>
      <w:tblGrid>
        <w:gridCol w:w="880"/>
        <w:gridCol w:w="1320"/>
        <w:gridCol w:w="550"/>
        <w:gridCol w:w="770"/>
        <w:gridCol w:w="132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CI(lower)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CI(upper)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</w:t>
            </w:r>
          </w:p>
        </w:tc>
        <w:tc>
          <w:p>
            <w:pPr>
              <w:jc w:val="center"/>
            </w:pPr>
            <w:r>
              <w:t xml:space="preserve">-0.007198</w:t>
            </w:r>
          </w:p>
        </w:tc>
        <w:tc>
          <w:p>
            <w:pPr>
              <w:jc w:val="center"/>
            </w:pPr>
            <w:r>
              <w:t xml:space="preserve">671</w:t>
            </w:r>
          </w:p>
        </w:tc>
        <w:tc>
          <w:p>
            <w:pPr>
              <w:jc w:val="center"/>
            </w:pPr>
            <w:r>
              <w:t xml:space="preserve">0.9943</w:t>
            </w:r>
          </w:p>
        </w:tc>
        <w:tc>
          <w:p>
            <w:pPr>
              <w:jc w:val="center"/>
            </w:pPr>
            <w:r>
              <w:t xml:space="preserve">3.037</w:t>
            </w:r>
          </w:p>
        </w:tc>
        <w:tc>
          <w:p>
            <w:pPr>
              <w:jc w:val="center"/>
            </w:pPr>
            <w:r>
              <w:t xml:space="preserve">3.362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36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37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0.88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683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49091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hyperlink" Id="rId37" Target="http://rapport-package.info/" TargetMode="External" /><Relationship Type="http://schemas.openxmlformats.org/officeDocument/2006/relationships/hyperlink" Id="rId36" Target="http://www.r-project.org/" TargetMode="External" /><Relationship Type="http://schemas.openxmlformats.org/officeDocument/2006/relationships/hyperlink" Id="rId23" Target="https://en.wikipedia.org/wiki/Student%27s_t-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rapport-package.info/" TargetMode="External" /><Relationship Type="http://schemas.openxmlformats.org/officeDocument/2006/relationships/hyperlink" Id="rId36" Target="http://www.r-project.org/" TargetMode="External" /><Relationship Type="http://schemas.openxmlformats.org/officeDocument/2006/relationships/hyperlink" Id="rId23" Target="https://en.wikipedia.org/wiki/Student%27s_t-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t-test Template</dc:creator>
</cp:coreProperties>
</file>