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Crosstable</w:t>
      </w:r>
    </w:p>
    <w:p>
      <w:pPr>
        <w:pStyle w:val="Authors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  <w:r>
        <w:t xml:space="preserve"> </w:t>
      </w:r>
      <w:r>
        <w:t xml:space="preserve">@</w:t>
      </w:r>
      <w:r>
        <w:t xml:space="preserve"> </w:t>
      </w:r>
      <w:r>
        <w:t xml:space="preserve">https</w:t>
      </w:r>
      <w:r>
        <w:t xml:space="preserve">:</w:t>
      </w:r>
      <w:r>
        <w:t xml:space="preserve">/</w:t>
      </w:r>
      <w:r>
        <w:t xml:space="preserve">/</w:t>
      </w:r>
      <w:r>
        <w:t xml:space="preserve">github</w:t>
      </w:r>
      <w:r>
        <w:t xml:space="preserve">.</w:t>
      </w:r>
      <w:r>
        <w:t xml:space="preserve">com</w:t>
      </w:r>
      <w:r>
        <w:t xml:space="preserve">/</w:t>
      </w:r>
      <w:r>
        <w:t xml:space="preserve">aL3xa</w:t>
      </w:r>
      <w:r>
        <w:t xml:space="preserve">/</w:t>
      </w:r>
      <w:r>
        <w:t xml:space="preserve">rapport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Returning the Chi-squared test of two given variables with count, percentages and Pearson's residuals table.</w:t>
      </w:r>
    </w:p>
    <w:bookmarkStart w:id="variable-description" w:name="variable-description"/>
    <w:p>
      <w:pPr>
        <w:pStyle w:val="Heading2"/>
      </w:pPr>
      <w:r>
        <w:t xml:space="preserve">Variable description</w:t>
      </w:r>
    </w:p>
    <w:bookmarkEnd w:id="variable-description"/>
    <w:p>
      <w:r>
        <w:t xml:space="preserve">Two variables specified:</w:t>
      </w:r>
    </w:p>
    <w:p>
      <w:pPr>
        <w:numPr>
          <w:numId w:val="2"/>
          <w:ilvl w:val="0"/>
        </w:numPr>
      </w:pPr>
      <w:r>
        <w:t xml:space="preserve">"gender" ("Gender") with</w:t>
      </w:r>
      <w:r>
        <w:t xml:space="preserve"> </w:t>
      </w:r>
      <w:r>
        <w:rPr>
          <w:i/>
        </w:rPr>
        <w:t xml:space="preserve">673</w:t>
      </w:r>
      <w:r>
        <w:t xml:space="preserve"> </w:t>
      </w:r>
      <w:r>
        <w:t xml:space="preserve">and</w:t>
      </w:r>
    </w:p>
    <w:p>
      <w:pPr>
        <w:numPr>
          <w:numId w:val="2"/>
          <w:ilvl w:val="0"/>
        </w:numPr>
      </w:pPr>
      <w:r>
        <w:t xml:space="preserve">"dwell" ("Dwelling") with</w:t>
      </w:r>
      <w:r>
        <w:t xml:space="preserve"> </w:t>
      </w:r>
      <w:r>
        <w:rPr>
          <w:i/>
        </w:rPr>
        <w:t xml:space="preserve">662</w:t>
      </w:r>
      <w:r>
        <w:t xml:space="preserve"> </w:t>
      </w:r>
      <w:r>
        <w:t xml:space="preserve">valid values.</w:t>
      </w:r>
    </w:p>
    <w:bookmarkStart w:id="counts" w:name="counts"/>
    <w:p>
      <w:pPr>
        <w:pStyle w:val="Heading2"/>
      </w:pPr>
      <w:r>
        <w:t xml:space="preserve">Counts</w:t>
      </w:r>
    </w:p>
    <w:bookmarkEnd w:id="counts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village</w:t>
            </w:r>
          </w:p>
        </w:tc>
      </w:tr>
      <w:tr>
        <w:tc>
          <w:p>
            <w:pPr>
              <w:jc w:val="left"/>
            </w:pPr>
            <w:r>
              <w:t xml:space="preserve">male</w:t>
            </w:r>
          </w:p>
        </w:tc>
        <w:tc>
          <w:p>
            <w:pPr>
              <w:jc w:val="left"/>
            </w:pPr>
            <w:r>
              <w:t xml:space="preserve">338</w:t>
            </w:r>
          </w:p>
        </w:tc>
        <w:tc>
          <w:p>
            <w:pPr>
              <w:jc w:val="left"/>
            </w:pPr>
            <w:r>
              <w:t xml:space="preserve">28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</w:tr>
      <w:tr>
        <w:tc>
          <w:p>
            <w:pPr>
              <w:jc w:val="left"/>
            </w:pPr>
            <w:r>
              <w:t xml:space="preserve">female</w:t>
            </w:r>
          </w:p>
        </w:tc>
        <w:tc>
          <w:p>
            <w:pPr>
              <w:jc w:val="left"/>
            </w:pPr>
            <w:r>
              <w:t xml:space="preserve">234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9</w:t>
            </w:r>
          </w:p>
        </w:tc>
      </w:tr>
    </w:tbl>
    <w:bookmarkStart w:id="percentages" w:name="percentages"/>
    <w:p>
      <w:pPr>
        <w:pStyle w:val="Heading2"/>
      </w:pPr>
      <w:r>
        <w:t xml:space="preserve">Percentages</w:t>
      </w:r>
    </w:p>
    <w:bookmarkEnd w:id="percentages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village</w:t>
            </w:r>
          </w:p>
        </w:tc>
      </w:tr>
      <w:tr>
        <w:tc>
          <w:p>
            <w:pPr>
              <w:jc w:val="left"/>
            </w:pPr>
            <w:r>
              <w:t xml:space="preserve">male</w:t>
            </w:r>
          </w:p>
        </w:tc>
        <w:tc>
          <w:p>
            <w:pPr>
              <w:jc w:val="left"/>
            </w:pPr>
            <w:r>
              <w:t xml:space="preserve">0.5357</w:t>
            </w:r>
          </w:p>
        </w:tc>
        <w:tc>
          <w:p>
            <w:pPr>
              <w:jc w:val="left"/>
            </w:pPr>
            <w:r>
              <w:t xml:space="preserve">0.0444</w:t>
            </w:r>
          </w:p>
        </w:tc>
        <w:tc>
          <w:p>
            <w:pPr>
              <w:jc w:val="left"/>
            </w:pPr>
            <w:r>
              <w:t xml:space="preserve">0.0301</w:t>
            </w:r>
          </w:p>
        </w:tc>
      </w:tr>
      <w:tr>
        <w:tc>
          <w:p>
            <w:pPr>
              <w:jc w:val="left"/>
            </w:pPr>
            <w:r>
              <w:t xml:space="preserve">female</w:t>
            </w:r>
          </w:p>
        </w:tc>
        <w:tc>
          <w:p>
            <w:pPr>
              <w:jc w:val="left"/>
            </w:pPr>
            <w:r>
              <w:t xml:space="preserve">0.3708</w:t>
            </w:r>
          </w:p>
        </w:tc>
        <w:tc>
          <w:p>
            <w:pPr>
              <w:jc w:val="left"/>
            </w:pPr>
            <w:r>
              <w:t xml:space="preserve">0.0048</w:t>
            </w:r>
          </w:p>
        </w:tc>
        <w:tc>
          <w:p>
            <w:pPr>
              <w:jc w:val="left"/>
            </w:pPr>
            <w:r>
              <w:t xml:space="preserve">0.0143</w:t>
            </w:r>
          </w:p>
        </w:tc>
      </w:tr>
    </w:tbl>
    <w:bookmarkStart w:id="row-percentages" w:name="row-percentages"/>
    <w:p>
      <w:pPr>
        <w:pStyle w:val="Heading3"/>
      </w:pPr>
      <w:r>
        <w:t xml:space="preserve">Row percentages</w:t>
      </w:r>
    </w:p>
    <w:bookmarkEnd w:id="row-percentages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village</w:t>
            </w:r>
          </w:p>
        </w:tc>
      </w:tr>
      <w:tr>
        <w:tc>
          <w:p>
            <w:pPr>
              <w:jc w:val="left"/>
            </w:pPr>
            <w:r>
              <w:t xml:space="preserve">male</w:t>
            </w:r>
          </w:p>
        </w:tc>
        <w:tc>
          <w:p>
            <w:pPr>
              <w:jc w:val="left"/>
            </w:pPr>
            <w:r>
              <w:t xml:space="preserve">0.8779</w:t>
            </w:r>
          </w:p>
        </w:tc>
        <w:tc>
          <w:p>
            <w:pPr>
              <w:jc w:val="left"/>
            </w:pPr>
            <w:r>
              <w:t xml:space="preserve">0.0727</w:t>
            </w:r>
          </w:p>
        </w:tc>
        <w:tc>
          <w:p>
            <w:pPr>
              <w:jc w:val="left"/>
            </w:pPr>
            <w:r>
              <w:t xml:space="preserve">0.0494</w:t>
            </w:r>
          </w:p>
        </w:tc>
      </w:tr>
      <w:tr>
        <w:tc>
          <w:p>
            <w:pPr>
              <w:jc w:val="left"/>
            </w:pPr>
            <w:r>
              <w:t xml:space="preserve">female</w:t>
            </w:r>
          </w:p>
        </w:tc>
        <w:tc>
          <w:p>
            <w:pPr>
              <w:jc w:val="left"/>
            </w:pPr>
            <w:r>
              <w:t xml:space="preserve">0.9512</w:t>
            </w:r>
          </w:p>
        </w:tc>
        <w:tc>
          <w:p>
            <w:pPr>
              <w:jc w:val="left"/>
            </w:pPr>
            <w:r>
              <w:t xml:space="preserve">0.0122</w:t>
            </w:r>
          </w:p>
        </w:tc>
        <w:tc>
          <w:p>
            <w:pPr>
              <w:jc w:val="left"/>
            </w:pPr>
            <w:r>
              <w:t xml:space="preserve">0.0366</w:t>
            </w:r>
          </w:p>
        </w:tc>
      </w:tr>
    </w:tbl>
    <w:bookmarkStart w:id="column-percentages" w:name="column-percentages"/>
    <w:p>
      <w:pPr>
        <w:pStyle w:val="Heading3"/>
      </w:pPr>
      <w:r>
        <w:t xml:space="preserve">Column percentages</w:t>
      </w:r>
    </w:p>
    <w:bookmarkEnd w:id="column-percentages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village</w:t>
            </w:r>
          </w:p>
        </w:tc>
      </w:tr>
      <w:tr>
        <w:tc>
          <w:p>
            <w:pPr>
              <w:jc w:val="left"/>
            </w:pPr>
            <w:r>
              <w:t xml:space="preserve">male</w:t>
            </w:r>
          </w:p>
        </w:tc>
        <w:tc>
          <w:p>
            <w:pPr>
              <w:jc w:val="left"/>
            </w:pPr>
            <w:r>
              <w:t xml:space="preserve">0.5909</w:t>
            </w:r>
          </w:p>
        </w:tc>
        <w:tc>
          <w:p>
            <w:pPr>
              <w:jc w:val="left"/>
            </w:pPr>
            <w:r>
              <w:t xml:space="preserve">0.9032</w:t>
            </w:r>
          </w:p>
        </w:tc>
        <w:tc>
          <w:p>
            <w:pPr>
              <w:jc w:val="left"/>
            </w:pPr>
            <w:r>
              <w:t xml:space="preserve">0.6786</w:t>
            </w:r>
          </w:p>
        </w:tc>
      </w:tr>
      <w:tr>
        <w:tc>
          <w:p>
            <w:pPr>
              <w:jc w:val="left"/>
            </w:pPr>
            <w:r>
              <w:t xml:space="preserve">female</w:t>
            </w:r>
          </w:p>
        </w:tc>
        <w:tc>
          <w:p>
            <w:pPr>
              <w:jc w:val="left"/>
            </w:pPr>
            <w:r>
              <w:t xml:space="preserve">0.4091</w:t>
            </w:r>
          </w:p>
        </w:tc>
        <w:tc>
          <w:p>
            <w:pPr>
              <w:jc w:val="left"/>
            </w:pPr>
            <w:r>
              <w:t xml:space="preserve">0.0968</w:t>
            </w:r>
          </w:p>
        </w:tc>
        <w:tc>
          <w:p>
            <w:pPr>
              <w:jc w:val="left"/>
            </w:pPr>
            <w:r>
              <w:t xml:space="preserve">0.3214</w:t>
            </w:r>
          </w:p>
        </w:tc>
      </w:tr>
    </w:tbl>
    <w:bookmarkStart w:id="chi-squared-test" w:name="chi-squared-test"/>
    <w:p>
      <w:pPr>
        <w:pStyle w:val="Heading2"/>
      </w:pPr>
      <w:r>
        <w:t xml:space="preserve">Chi-squared test</w:t>
      </w:r>
    </w:p>
    <w:bookmarkEnd w:id="chi-squared-test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X-squared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jc w:val="left"/>
            </w:pPr>
            <w:r>
              <w:t xml:space="preserve">X-squared</w:t>
            </w:r>
          </w:p>
        </w:tc>
        <w:tc>
          <w:p>
            <w:pPr>
              <w:jc w:val="left"/>
            </w:pPr>
            <w:r>
              <w:t xml:space="preserve">12.6353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0.0018</w:t>
            </w:r>
          </w:p>
        </w:tc>
      </w:tr>
    </w:tbl>
    <w:p>
      <w:r>
        <w:t xml:space="preserve">It seems that a real association can be pointed out between</w:t>
      </w:r>
      <w:r>
        <w:t xml:space="preserve"> </w:t>
      </w:r>
      <w:r>
        <w:rPr>
          <w:i/>
        </w:rPr>
        <w:t xml:space="preserve">gender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dwell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Pearson's Chi-squared test</w:t>
      </w:r>
      <w:r>
        <w:t xml:space="preserve"> </w:t>
      </w:r>
      <w:r>
        <w:t xml:space="preserve">(χ=12.6353 at the degree of freedom being 2) at the significance level of 0.0018. Based on Goodman and Kruskal's lambda it seems that</w:t>
      </w:r>
      <w:r>
        <w:t xml:space="preserve"> </w:t>
      </w:r>
      <w:r>
        <w:rPr>
          <w:i/>
        </w:rPr>
        <w:t xml:space="preserve">dwell</w:t>
      </w:r>
      <w:r>
        <w:t xml:space="preserve"> </w:t>
      </w:r>
      <w:r>
        <w:t xml:space="preserve">(λ=0.7602) has an effect on</w:t>
      </w:r>
      <w:r>
        <w:t xml:space="preserve"> </w:t>
      </w:r>
      <w:r>
        <w:rPr>
          <w:i/>
        </w:rPr>
        <w:t xml:space="preserve">gender</w:t>
      </w:r>
      <w:r>
        <w:t xml:space="preserve"> </w:t>
      </w:r>
      <w:r>
        <w:t xml:space="preserve">(λ=0) if we assume both variables to be nominal. The association between the two variables seems to be weak based on Cramer's V (0.1001).</w:t>
      </w:r>
    </w:p>
    <w:bookmarkStart w:id="pearsons-residuals" w:name="pearsons-residuals"/>
    <w:p>
      <w:pPr>
        <w:pStyle w:val="Heading3"/>
      </w:pPr>
      <w:r>
        <w:t xml:space="preserve">Pearson's residuals</w:t>
      </w:r>
    </w:p>
    <w:bookmarkEnd w:id="pearsons-residuals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village</w:t>
            </w:r>
          </w:p>
        </w:tc>
      </w:tr>
      <w:tr>
        <w:tc>
          <w:p>
            <w:pPr>
              <w:jc w:val="left"/>
            </w:pPr>
            <w:r>
              <w:t xml:space="preserve">male</w:t>
            </w:r>
          </w:p>
        </w:tc>
        <w:tc>
          <w:p>
            <w:pPr>
              <w:jc w:val="left"/>
            </w:pPr>
            <w:r>
              <w:t xml:space="preserve">-3.0844</w:t>
            </w:r>
          </w:p>
        </w:tc>
        <w:tc>
          <w:p>
            <w:pPr>
              <w:jc w:val="left"/>
            </w:pPr>
            <w:r>
              <w:t xml:space="preserve">3.4312</w:t>
            </w:r>
          </w:p>
        </w:tc>
        <w:tc>
          <w:p>
            <w:pPr>
              <w:jc w:val="left"/>
            </w:pPr>
            <w:r>
              <w:t xml:space="preserve">0.7595</w:t>
            </w:r>
          </w:p>
        </w:tc>
      </w:tr>
      <w:tr>
        <w:tc>
          <w:p>
            <w:pPr>
              <w:jc w:val="left"/>
            </w:pPr>
            <w:r>
              <w:t xml:space="preserve">female</w:t>
            </w:r>
          </w:p>
        </w:tc>
        <w:tc>
          <w:p>
            <w:pPr>
              <w:jc w:val="left"/>
            </w:pPr>
            <w:r>
              <w:t xml:space="preserve">3.0844</w:t>
            </w:r>
          </w:p>
        </w:tc>
        <w:tc>
          <w:p>
            <w:pPr>
              <w:jc w:val="left"/>
            </w:pPr>
            <w:r>
              <w:t xml:space="preserve">-3.4312</w:t>
            </w:r>
          </w:p>
        </w:tc>
        <w:tc>
          <w:p>
            <w:pPr>
              <w:jc w:val="left"/>
            </w:pPr>
            <w:r>
              <w:t xml:space="preserve">-0.7595</w:t>
            </w:r>
          </w:p>
        </w:tc>
      </w:tr>
    </w:tbl>
    <w:bookmarkStart w:id="mosaic-chart" w:name="mosaic-chart"/>
    <w:p>
      <w:pPr>
        <w:pStyle w:val="Heading3"/>
      </w:pPr>
      <w:r>
        <w:t xml:space="preserve">Mosaic chart</w:t>
      </w:r>
    </w:p>
    <w:bookmarkEnd w:id="mosaic-chart"/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6859a3b6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Returning the Chi-squared test of two given variables with count, percentages and Pearson's residuals table.</w:t>
      </w:r>
    </w:p>
    <w:bookmarkStart w:id="variable-description-1" w:name="variable-description-1"/>
    <w:p>
      <w:pPr>
        <w:pStyle w:val="Heading2"/>
      </w:pPr>
      <w:r>
        <w:t xml:space="preserve">Variable description</w:t>
      </w:r>
    </w:p>
    <w:bookmarkEnd w:id="variable-description-1"/>
    <w:p>
      <w:r>
        <w:t xml:space="preserve">Two variables specified:</w:t>
      </w:r>
    </w:p>
    <w:p>
      <w:pPr>
        <w:numPr>
          <w:numId w:val="3"/>
          <w:ilvl w:val="0"/>
        </w:numPr>
      </w:pPr>
      <w:r>
        <w:t xml:space="preserve">"email" ("Email usage") with</w:t>
      </w:r>
      <w:r>
        <w:t xml:space="preserve"> </w:t>
      </w:r>
      <w:r>
        <w:rPr>
          <w:i/>
        </w:rPr>
        <w:t xml:space="preserve">672</w:t>
      </w:r>
      <w:r>
        <w:t xml:space="preserve"> </w:t>
      </w:r>
      <w:r>
        <w:t xml:space="preserve">and</w:t>
      </w:r>
    </w:p>
    <w:p>
      <w:pPr>
        <w:numPr>
          <w:numId w:val="3"/>
          <w:ilvl w:val="0"/>
        </w:numPr>
      </w:pPr>
      <w:r>
        <w:t xml:space="preserve">"dwell" ("Dwelling") with</w:t>
      </w:r>
      <w:r>
        <w:t xml:space="preserve"> </w:t>
      </w:r>
      <w:r>
        <w:rPr>
          <w:i/>
        </w:rPr>
        <w:t xml:space="preserve">662</w:t>
      </w:r>
      <w:r>
        <w:t xml:space="preserve"> </w:t>
      </w:r>
      <w:r>
        <w:t xml:space="preserve">valid values.</w:t>
      </w:r>
    </w:p>
    <w:bookmarkStart w:id="counts-1" w:name="counts-1"/>
    <w:p>
      <w:pPr>
        <w:pStyle w:val="Heading2"/>
      </w:pPr>
      <w:r>
        <w:t xml:space="preserve">Counts</w:t>
      </w:r>
    </w:p>
    <w:bookmarkEnd w:id="counts-1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village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30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41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67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101</w:t>
            </w:r>
          </w:p>
        </w:tc>
        <w:tc>
          <w:p>
            <w:pPr>
              <w:jc w:val="left"/>
            </w:pPr>
            <w:r>
              <w:t xml:space="preserve">10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88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226</w:t>
            </w:r>
          </w:p>
        </w:tc>
        <w:tc>
          <w:p>
            <w:pPr>
              <w:jc w:val="left"/>
            </w:pPr>
            <w:r>
              <w:t xml:space="preserve">9</w:t>
            </w:r>
          </w:p>
        </w:tc>
        <w:tc>
          <w:p>
            <w:pPr>
              <w:jc w:val="left"/>
            </w:pPr>
            <w:r>
              <w:t xml:space="preserve">7</w:t>
            </w:r>
          </w:p>
        </w:tc>
      </w:tr>
    </w:tbl>
    <w:bookmarkStart w:id="percentages-1" w:name="percentages-1"/>
    <w:p>
      <w:pPr>
        <w:pStyle w:val="Heading2"/>
      </w:pPr>
      <w:r>
        <w:t xml:space="preserve">Percentages</w:t>
      </w:r>
    </w:p>
    <w:bookmarkEnd w:id="percentages-1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village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0.0192</w:t>
            </w:r>
          </w:p>
        </w:tc>
        <w:tc>
          <w:p>
            <w:pPr>
              <w:jc w:val="left"/>
            </w:pPr>
            <w:r>
              <w:t xml:space="preserve">0.0000</w:t>
            </w:r>
          </w:p>
        </w:tc>
        <w:tc>
          <w:p>
            <w:pPr>
              <w:jc w:val="left"/>
            </w:pPr>
            <w:r>
              <w:t xml:space="preserve">0.0000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0.0479</w:t>
            </w:r>
          </w:p>
        </w:tc>
        <w:tc>
          <w:p>
            <w:pPr>
              <w:jc w:val="left"/>
            </w:pPr>
            <w:r>
              <w:t xml:space="preserve">0.0016</w:t>
            </w:r>
          </w:p>
        </w:tc>
        <w:tc>
          <w:p>
            <w:pPr>
              <w:jc w:val="left"/>
            </w:pPr>
            <w:r>
              <w:t xml:space="preserve">0.0048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0.0655</w:t>
            </w:r>
          </w:p>
        </w:tc>
        <w:tc>
          <w:p>
            <w:pPr>
              <w:jc w:val="left"/>
            </w:pPr>
            <w:r>
              <w:t xml:space="preserve">0.0048</w:t>
            </w:r>
          </w:p>
        </w:tc>
        <w:tc>
          <w:p>
            <w:pPr>
              <w:jc w:val="left"/>
            </w:pPr>
            <w:r>
              <w:t xml:space="preserve">0.0016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0.1070</w:t>
            </w:r>
          </w:p>
        </w:tc>
        <w:tc>
          <w:p>
            <w:pPr>
              <w:jc w:val="left"/>
            </w:pPr>
            <w:r>
              <w:t xml:space="preserve">0.0064</w:t>
            </w:r>
          </w:p>
        </w:tc>
        <w:tc>
          <w:p>
            <w:pPr>
              <w:jc w:val="left"/>
            </w:pPr>
            <w:r>
              <w:t xml:space="preserve">0.0128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0.1613</w:t>
            </w:r>
          </w:p>
        </w:tc>
        <w:tc>
          <w:p>
            <w:pPr>
              <w:jc w:val="left"/>
            </w:pPr>
            <w:r>
              <w:t xml:space="preserve">0.0160</w:t>
            </w:r>
          </w:p>
        </w:tc>
        <w:tc>
          <w:p>
            <w:pPr>
              <w:jc w:val="left"/>
            </w:pPr>
            <w:r>
              <w:t xml:space="preserve">0.0080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0.1406</w:t>
            </w:r>
          </w:p>
        </w:tc>
        <w:tc>
          <w:p>
            <w:pPr>
              <w:jc w:val="left"/>
            </w:pPr>
            <w:r>
              <w:t xml:space="preserve">0.0080</w:t>
            </w:r>
          </w:p>
        </w:tc>
        <w:tc>
          <w:p>
            <w:pPr>
              <w:jc w:val="left"/>
            </w:pPr>
            <w:r>
              <w:t xml:space="preserve">0.0080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0.3610</w:t>
            </w:r>
          </w:p>
        </w:tc>
        <w:tc>
          <w:p>
            <w:pPr>
              <w:jc w:val="left"/>
            </w:pPr>
            <w:r>
              <w:t xml:space="preserve">0.0144</w:t>
            </w:r>
          </w:p>
        </w:tc>
        <w:tc>
          <w:p>
            <w:pPr>
              <w:jc w:val="left"/>
            </w:pPr>
            <w:r>
              <w:t xml:space="preserve">0.0112</w:t>
            </w:r>
          </w:p>
        </w:tc>
      </w:tr>
    </w:tbl>
    <w:bookmarkStart w:id="row-percentages-1" w:name="row-percentages-1"/>
    <w:p>
      <w:pPr>
        <w:pStyle w:val="Heading3"/>
      </w:pPr>
      <w:r>
        <w:t xml:space="preserve">Row percentages</w:t>
      </w:r>
    </w:p>
    <w:bookmarkEnd w:id="row-percentages-1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village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1.0000</w:t>
            </w:r>
          </w:p>
        </w:tc>
        <w:tc>
          <w:p>
            <w:pPr>
              <w:jc w:val="left"/>
            </w:pPr>
            <w:r>
              <w:t xml:space="preserve">0.0000</w:t>
            </w:r>
          </w:p>
        </w:tc>
        <w:tc>
          <w:p>
            <w:pPr>
              <w:jc w:val="left"/>
            </w:pPr>
            <w:r>
              <w:t xml:space="preserve">0.0000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0.8824</w:t>
            </w:r>
          </w:p>
        </w:tc>
        <w:tc>
          <w:p>
            <w:pPr>
              <w:jc w:val="left"/>
            </w:pPr>
            <w:r>
              <w:t xml:space="preserve">0.0294</w:t>
            </w:r>
          </w:p>
        </w:tc>
        <w:tc>
          <w:p>
            <w:pPr>
              <w:jc w:val="left"/>
            </w:pPr>
            <w:r>
              <w:t xml:space="preserve">0.0882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0.9111</w:t>
            </w:r>
          </w:p>
        </w:tc>
        <w:tc>
          <w:p>
            <w:pPr>
              <w:jc w:val="left"/>
            </w:pPr>
            <w:r>
              <w:t xml:space="preserve">0.0667</w:t>
            </w:r>
          </w:p>
        </w:tc>
        <w:tc>
          <w:p>
            <w:pPr>
              <w:jc w:val="left"/>
            </w:pPr>
            <w:r>
              <w:t xml:space="preserve">0.0222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0.8481</w:t>
            </w:r>
          </w:p>
        </w:tc>
        <w:tc>
          <w:p>
            <w:pPr>
              <w:jc w:val="left"/>
            </w:pPr>
            <w:r>
              <w:t xml:space="preserve">0.0506</w:t>
            </w:r>
          </w:p>
        </w:tc>
        <w:tc>
          <w:p>
            <w:pPr>
              <w:jc w:val="left"/>
            </w:pPr>
            <w:r>
              <w:t xml:space="preserve">0.1013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0.8707</w:t>
            </w:r>
          </w:p>
        </w:tc>
        <w:tc>
          <w:p>
            <w:pPr>
              <w:jc w:val="left"/>
            </w:pPr>
            <w:r>
              <w:t xml:space="preserve">0.0862</w:t>
            </w:r>
          </w:p>
        </w:tc>
        <w:tc>
          <w:p>
            <w:pPr>
              <w:jc w:val="left"/>
            </w:pPr>
            <w:r>
              <w:t xml:space="preserve">0.0431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0.8980</w:t>
            </w:r>
          </w:p>
        </w:tc>
        <w:tc>
          <w:p>
            <w:pPr>
              <w:jc w:val="left"/>
            </w:pPr>
            <w:r>
              <w:t xml:space="preserve">0.0510</w:t>
            </w:r>
          </w:p>
        </w:tc>
        <w:tc>
          <w:p>
            <w:pPr>
              <w:jc w:val="left"/>
            </w:pPr>
            <w:r>
              <w:t xml:space="preserve">0.0510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0.9339</w:t>
            </w:r>
          </w:p>
        </w:tc>
        <w:tc>
          <w:p>
            <w:pPr>
              <w:jc w:val="left"/>
            </w:pPr>
            <w:r>
              <w:t xml:space="preserve">0.0372</w:t>
            </w:r>
          </w:p>
        </w:tc>
        <w:tc>
          <w:p>
            <w:pPr>
              <w:jc w:val="left"/>
            </w:pPr>
            <w:r>
              <w:t xml:space="preserve">0.0289</w:t>
            </w:r>
          </w:p>
        </w:tc>
      </w:tr>
    </w:tbl>
    <w:bookmarkStart w:id="column-percentages-1" w:name="column-percentages-1"/>
    <w:p>
      <w:pPr>
        <w:pStyle w:val="Heading3"/>
      </w:pPr>
      <w:r>
        <w:t xml:space="preserve">Column percentages</w:t>
      </w:r>
    </w:p>
    <w:bookmarkEnd w:id="column-percentages-1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village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0.0212</w:t>
            </w:r>
          </w:p>
        </w:tc>
        <w:tc>
          <w:p>
            <w:pPr>
              <w:jc w:val="left"/>
            </w:pPr>
            <w:r>
              <w:t xml:space="preserve">0.0000</w:t>
            </w:r>
          </w:p>
        </w:tc>
        <w:tc>
          <w:p>
            <w:pPr>
              <w:jc w:val="left"/>
            </w:pPr>
            <w:r>
              <w:t xml:space="preserve">0.0000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0.0531</w:t>
            </w:r>
          </w:p>
        </w:tc>
        <w:tc>
          <w:p>
            <w:pPr>
              <w:jc w:val="left"/>
            </w:pPr>
            <w:r>
              <w:t xml:space="preserve">0.0312</w:t>
            </w:r>
          </w:p>
        </w:tc>
        <w:tc>
          <w:p>
            <w:pPr>
              <w:jc w:val="left"/>
            </w:pPr>
            <w:r>
              <w:t xml:space="preserve">0.1034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0.0726</w:t>
            </w:r>
          </w:p>
        </w:tc>
        <w:tc>
          <w:p>
            <w:pPr>
              <w:jc w:val="left"/>
            </w:pPr>
            <w:r>
              <w:t xml:space="preserve">0.0938</w:t>
            </w:r>
          </w:p>
        </w:tc>
        <w:tc>
          <w:p>
            <w:pPr>
              <w:jc w:val="left"/>
            </w:pPr>
            <w:r>
              <w:t xml:space="preserve">0.0345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0.1186</w:t>
            </w:r>
          </w:p>
        </w:tc>
        <w:tc>
          <w:p>
            <w:pPr>
              <w:jc w:val="left"/>
            </w:pPr>
            <w:r>
              <w:t xml:space="preserve">0.1250</w:t>
            </w:r>
          </w:p>
        </w:tc>
        <w:tc>
          <w:p>
            <w:pPr>
              <w:jc w:val="left"/>
            </w:pPr>
            <w:r>
              <w:t xml:space="preserve">0.2759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0.1788</w:t>
            </w:r>
          </w:p>
        </w:tc>
        <w:tc>
          <w:p>
            <w:pPr>
              <w:jc w:val="left"/>
            </w:pPr>
            <w:r>
              <w:t xml:space="preserve">0.3125</w:t>
            </w:r>
          </w:p>
        </w:tc>
        <w:tc>
          <w:p>
            <w:pPr>
              <w:jc w:val="left"/>
            </w:pPr>
            <w:r>
              <w:t xml:space="preserve">0.1724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0.1558</w:t>
            </w:r>
          </w:p>
        </w:tc>
        <w:tc>
          <w:p>
            <w:pPr>
              <w:jc w:val="left"/>
            </w:pPr>
            <w:r>
              <w:t xml:space="preserve">0.1562</w:t>
            </w:r>
          </w:p>
        </w:tc>
        <w:tc>
          <w:p>
            <w:pPr>
              <w:jc w:val="left"/>
            </w:pPr>
            <w:r>
              <w:t xml:space="preserve">0.1724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0.4000</w:t>
            </w:r>
          </w:p>
        </w:tc>
        <w:tc>
          <w:p>
            <w:pPr>
              <w:jc w:val="left"/>
            </w:pPr>
            <w:r>
              <w:t xml:space="preserve">0.2812</w:t>
            </w:r>
          </w:p>
        </w:tc>
        <w:tc>
          <w:p>
            <w:pPr>
              <w:jc w:val="left"/>
            </w:pPr>
            <w:r>
              <w:t xml:space="preserve">0.2414</w:t>
            </w:r>
          </w:p>
        </w:tc>
      </w:tr>
    </w:tbl>
    <w:bookmarkStart w:id="chi-squared-test-1" w:name="chi-squared-test-1"/>
    <w:p>
      <w:pPr>
        <w:pStyle w:val="Heading2"/>
      </w:pPr>
      <w:r>
        <w:t xml:space="preserve">Chi-squared test</w:t>
      </w:r>
    </w:p>
    <w:bookmarkEnd w:id="chi-squared-test-1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X-squared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jc w:val="left"/>
            </w:pPr>
            <w:r>
              <w:t xml:space="preserve">X-squared</w:t>
            </w:r>
          </w:p>
        </w:tc>
        <w:tc>
          <w:p>
            <w:pPr>
              <w:jc w:val="left"/>
            </w:pPr>
            <w:r>
              <w:t xml:space="preserve">14.864</w:t>
            </w:r>
          </w:p>
        </w:tc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r>
              <w:t xml:space="preserve">0.249</w:t>
            </w:r>
          </w:p>
        </w:tc>
      </w:tr>
    </w:tbl>
    <w:p>
      <w:r>
        <w:t xml:space="preserve">It seems that no real association can be pointed out between</w:t>
      </w:r>
      <w:r>
        <w:t xml:space="preserve"> </w:t>
      </w:r>
      <w:r>
        <w:rPr>
          <w:i/>
        </w:rPr>
        <w:t xml:space="preserve">email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dwell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Pearson's Chi-squared test</w:t>
      </w:r>
      <w:r>
        <w:t xml:space="preserve"> </w:t>
      </w:r>
      <w:r>
        <w:t xml:space="preserve">(χ=14.864 at the degree of freedom being 12) at the significance level of 0.249. For this end no other statistical tests were performed.</w:t>
      </w:r>
    </w:p>
    <w:bookmarkStart w:id="pearsons-residuals-1" w:name="pearsons-residuals-1"/>
    <w:p>
      <w:pPr>
        <w:pStyle w:val="Heading3"/>
      </w:pPr>
      <w:r>
        <w:t xml:space="preserve">Pearson's residuals</w:t>
      </w:r>
    </w:p>
    <w:bookmarkEnd w:id="pearsons-residuals-1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village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1.1493</w:t>
            </w:r>
          </w:p>
        </w:tc>
        <w:tc>
          <w:p>
            <w:pPr>
              <w:jc w:val="left"/>
            </w:pPr>
            <w:r>
              <w:t xml:space="preserve">-0.8118</w:t>
            </w:r>
          </w:p>
        </w:tc>
        <w:tc>
          <w:p>
            <w:pPr>
              <w:jc w:val="left"/>
            </w:pPr>
            <w:r>
              <w:t xml:space="preserve">-0.7709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-0.4085</w:t>
            </w:r>
          </w:p>
        </w:tc>
        <w:tc>
          <w:p>
            <w:pPr>
              <w:jc w:val="left"/>
            </w:pPr>
            <w:r>
              <w:t xml:space="preserve">-0.5910</w:t>
            </w:r>
          </w:p>
        </w:tc>
        <w:tc>
          <w:p>
            <w:pPr>
              <w:jc w:val="left"/>
            </w:pPr>
            <w:r>
              <w:t xml:space="preserve">1.1955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0.2009</w:t>
            </w:r>
          </w:p>
        </w:tc>
        <w:tc>
          <w:p>
            <w:pPr>
              <w:jc w:val="left"/>
            </w:pPr>
            <w:r>
              <w:t xml:space="preserve">0.4916</w:t>
            </w:r>
          </w:p>
        </w:tc>
        <w:tc>
          <w:p>
            <w:pPr>
              <w:jc w:val="left"/>
            </w:pPr>
            <w:r>
              <w:t xml:space="preserve">-0.7985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-1.7459</w:t>
            </w:r>
          </w:p>
        </w:tc>
        <w:tc>
          <w:p>
            <w:pPr>
              <w:jc w:val="left"/>
            </w:pPr>
            <w:r>
              <w:t xml:space="preserve">-0.0210</w:t>
            </w:r>
          </w:p>
        </w:tc>
        <w:tc>
          <w:p>
            <w:pPr>
              <w:jc w:val="left"/>
            </w:pPr>
            <w:r>
              <w:t xml:space="preserve">2.4853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-1.2822</w:t>
            </w:r>
          </w:p>
        </w:tc>
        <w:tc>
          <w:p>
            <w:pPr>
              <w:jc w:val="left"/>
            </w:pPr>
            <w:r>
              <w:t xml:space="preserve">1.9011</w:t>
            </w:r>
          </w:p>
        </w:tc>
        <w:tc>
          <w:p>
            <w:pPr>
              <w:jc w:val="left"/>
            </w:pPr>
            <w:r>
              <w:t xml:space="preserve">-0.1829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-0.1671</w:t>
            </w:r>
          </w:p>
        </w:tc>
        <w:tc>
          <w:p>
            <w:pPr>
              <w:jc w:val="left"/>
            </w:pPr>
            <w:r>
              <w:t xml:space="preserve">-0.0048</w:t>
            </w:r>
          </w:p>
        </w:tc>
        <w:tc>
          <w:p>
            <w:pPr>
              <w:jc w:val="left"/>
            </w:pPr>
            <w:r>
              <w:t xml:space="preserve">0.2407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2.0982</w:t>
            </w:r>
          </w:p>
        </w:tc>
        <w:tc>
          <w:p>
            <w:pPr>
              <w:jc w:val="left"/>
            </w:pPr>
            <w:r>
              <w:t xml:space="preserve">-1.2561</w:t>
            </w:r>
          </w:p>
        </w:tc>
        <w:tc>
          <w:p>
            <w:pPr>
              <w:jc w:val="left"/>
            </w:pPr>
            <w:r>
              <w:t xml:space="preserve">-1.6443</w:t>
            </w:r>
          </w:p>
        </w:tc>
      </w:tr>
    </w:tbl>
    <w:bookmarkStart w:id="mosaic-chart-1" w:name="mosaic-chart-1"/>
    <w:p>
      <w:pPr>
        <w:pStyle w:val="Heading3"/>
      </w:pPr>
      <w:r>
        <w:t xml:space="preserve">Mosaic chart</w:t>
      </w:r>
    </w:p>
    <w:bookmarkEnd w:id="mosaic-chart-1"/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44b84ec0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2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(2.14.0) and</w:t>
      </w:r>
      <w:r>
        <w:t xml:space="preserve"> </w:t>
      </w:r>
      <w:hyperlink r:id="link3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(0.1) in 0.347 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Authors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2" Target="media/image2.png" /><Relationship Type="http://schemas.openxmlformats.org/officeDocument/2006/relationships/image" Id="image1" Target="media/image1.png" /><Relationship Type="http://schemas.openxmlformats.org/officeDocument/2006/relationships/image" Id="image3" Target="media/image3.png" /><Relationship Type="http://schemas.openxmlformats.org/officeDocument/2006/relationships/hyperlink" Id="link1" Target="/tmp/RtmpeIwHkw/file44b84ec0-hires.png" TargetMode="External" /><Relationship Type="http://schemas.openxmlformats.org/officeDocument/2006/relationships/hyperlink" Id="link0" Target="/tmp/RtmpeIwHkw/file6859a3b6-hires.png" TargetMode="External" /><Relationship Type="http://schemas.openxmlformats.org/officeDocument/2006/relationships/hyperlink" Id="link3" Target="http://al3xa.github.com/rapport/" TargetMode="External" /><Relationship Type="http://schemas.openxmlformats.org/officeDocument/2006/relationships/hyperlink" Id="link2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Crosstable</dc:title>
  <dcterms:created xsi:type="dcterms:W3CDTF"/>
  <dcterms:modified xsi:type="dcterms:W3CDTF"/>
  <dc:creator>Rapport package team @ https://github.com/aL3xa/rapport</dc:creator>
</cp:coreProperties>
</file>