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Descriptive</w:t>
      </w:r>
      <w:r>
        <w:t xml:space="preserve"> </w:t>
      </w:r>
      <w:r>
        <w:t xml:space="preserve">statistics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return descriptive statistics of a numerical or frequency table of a categorical variable.</w:t>
      </w:r>
    </w:p>
    <w:bookmarkStart w:id="gender-gender" w:name="gender-gender"/>
    <w:p>
      <w:pPr>
        <w:pStyle w:val="Heading3"/>
      </w:pPr>
      <w:r>
        <w:rPr>
          <w:i/>
        </w:rPr>
        <w:t xml:space="preserve">gender</w:t>
      </w:r>
      <w:r>
        <w:t xml:space="preserve"> </w:t>
      </w:r>
      <w:r>
        <w:t xml:space="preserve">("Gender")</w:t>
      </w:r>
    </w:p>
    <w:bookmarkEnd w:id="gender-gender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36</w:t>
      </w:r>
      <w:r>
        <w:t xml:space="preserve">).</w:t>
      </w:r>
    </w:p>
    <w:tbl>
      <w:tblPr>
        <w:tblStyle w:val="TableNormal"/>
        <w:tblCaption w:val="Frequency table: Gender"/>
      </w:tblPr>
      <w:tblGrid>
        <w:gridCol w:w="990"/>
        <w:gridCol w:w="440"/>
        <w:gridCol w:w="770"/>
        <w:gridCol w:w="121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Cumul. 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Cumul. %</w:t>
            </w:r>
          </w:p>
        </w:tc>
      </w:tr>
      <w:tr>
        <w:tc>
          <w:p>
            <w:pPr>
              <w:jc w:val="left"/>
            </w:pPr>
            <w:r>
              <w:t xml:space="preserve">male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</w:t>
            </w:r>
          </w:p>
        </w:tc>
        <w:tc>
          <w:p>
            <w:pPr>
              <w:jc w:val="left"/>
            </w:pPr>
            <w:r>
              <w:t xml:space="preserve">410</w:t>
            </w:r>
          </w:p>
        </w:tc>
        <w:tc>
          <w:p>
            <w:pPr>
              <w:jc w:val="left"/>
            </w:pPr>
            <w:r>
              <w:t xml:space="preserve">60.92</w:t>
            </w:r>
          </w:p>
        </w:tc>
      </w:tr>
      <w:tr>
        <w:tc>
          <w:p>
            <w:pPr>
              <w:jc w:val="left"/>
            </w:pPr>
            <w:r>
              <w:t xml:space="preserve">female</w:t>
            </w:r>
          </w:p>
        </w:tc>
        <w:tc>
          <w:p>
            <w:pPr>
              <w:jc w:val="left"/>
            </w:pPr>
            <w:r>
              <w:t xml:space="preserve">263</w:t>
            </w:r>
          </w:p>
        </w:tc>
        <w:tc>
          <w:p>
            <w:pPr>
              <w:jc w:val="left"/>
            </w:pPr>
            <w:r>
              <w:t xml:space="preserve">39.08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100.00</w:t>
            </w:r>
          </w:p>
        </w:tc>
      </w:tr>
      <w:tr>
        <w:tc>
          <w:p>
            <w:pPr>
              <w:jc w:val="left"/>
            </w:pPr>
            <w:r>
              <w:t xml:space="preserve">Total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100.00</w:t>
            </w:r>
          </w:p>
        </w:tc>
        <w:tc>
          <w:p>
            <w:pPr>
              <w:jc w:val="left"/>
            </w:pPr>
            <w:r>
              <w:t xml:space="preserve">673</w:t>
            </w:r>
          </w:p>
        </w:tc>
        <w:tc>
          <w:p>
            <w:pPr>
              <w:jc w:val="left"/>
            </w:pPr>
            <w:r>
              <w:t xml:space="preserve">100.00</w:t>
            </w:r>
          </w:p>
        </w:tc>
      </w:tr>
    </w:tbl>
    <w:p>
      <w:pPr>
        <w:pStyle w:val="TableCaption"/>
      </w:pPr>
      <w:r>
        <w:t xml:space="preserve">Frequency table: Gender</w:t>
      </w:r>
    </w:p>
    <w:p>
      <w:r>
        <w:t xml:space="preserve">The most frequent value is</w:t>
      </w:r>
      <w:r>
        <w:t xml:space="preserve"> </w:t>
      </w:r>
      <w:r>
        <w:rPr>
          <w:i/>
        </w:rPr>
        <w:t xml:space="preserve">male</w:t>
      </w:r>
      <w:r>
        <w:t xml:space="preserve">.</w:t>
      </w:r>
    </w:p>
    <w:bookmarkStart w:id="charts" w:name="charts"/>
    <w:p>
      <w:pPr>
        <w:pStyle w:val="Heading4"/>
      </w:pPr>
      <w:r>
        <w:t xml:space="preserve">Charts</w:t>
      </w:r>
    </w:p>
    <w:bookmarkEnd w:id="charts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descriptives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which is exactly</w:t>
      </w:r>
      <w:r>
        <w:t xml:space="preserve"> </w:t>
      </w:r>
      <w:r>
        <w:rPr>
          <w:i/>
        </w:rPr>
        <w:t xml:space="preserve">2</w:t>
      </w:r>
      <w:r>
        <w:t xml:space="preserve"> </w:t>
      </w:r>
      <w:r>
        <w:t xml:space="preserve">times higher than the smallest value (</w:t>
      </w:r>
      <w:r>
        <w:rPr>
          <w:i/>
        </w:rPr>
        <w:t xml:space="preserve">1</w:t>
      </w:r>
      <w:r>
        <w:t xml:space="preserve">).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return descriptive statistics of a numerical or frequency table of a categorical variable.</w:t>
      </w:r>
    </w:p>
    <w:bookmarkStart w:id="age-age" w:name="age-age"/>
    <w:p>
      <w:pPr>
        <w:pStyle w:val="Heading3"/>
      </w:pPr>
      <w:r>
        <w:rPr>
          <w:i/>
        </w:rPr>
        <w:t xml:space="preserve">age</w:t>
      </w:r>
      <w:r>
        <w:t xml:space="preserve"> </w:t>
      </w:r>
      <w:r>
        <w:t xml:space="preserve">("Age")</w:t>
      </w:r>
    </w:p>
    <w:bookmarkEnd w:id="age-age"/>
    <w:p>
      <w:r>
        <w:t xml:space="preserve">The dataset has</w:t>
      </w:r>
      <w:r>
        <w:t xml:space="preserve"> </w:t>
      </w:r>
      <w:r>
        <w:rPr>
          <w:i/>
        </w:rPr>
        <w:t xml:space="preserve">709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677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32</w:t>
      </w:r>
      <w:r>
        <w:t xml:space="preserve">).</w:t>
      </w:r>
    </w:p>
    <w:bookmarkStart w:id="base-statistics" w:name="base-statistics"/>
    <w:p>
      <w:pPr>
        <w:pStyle w:val="Heading4"/>
      </w:pPr>
      <w:r>
        <w:t xml:space="preserve">Base statistics</w:t>
      </w:r>
    </w:p>
    <w:bookmarkEnd w:id="base-statistics"/>
    <w:tbl>
      <w:tblPr>
        <w:tblStyle w:val="TableNormal"/>
        <w:tblCaption w:val="Descriptives: Age"/>
      </w:tblPr>
      <w:tblGrid>
        <w:gridCol w:w="121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Age</w:t>
            </w:r>
          </w:p>
        </w:tc>
        <w:tc>
          <w:p>
            <w:pPr>
              <w:jc w:val="left"/>
            </w:pPr>
            <w:r>
              <w:t xml:space="preserve">24.57</w:t>
            </w:r>
          </w:p>
        </w:tc>
        <w:tc>
          <w:p>
            <w:pPr>
              <w:jc w:val="left"/>
            </w:pPr>
            <w:r>
              <w:t xml:space="preserve">6.849</w:t>
            </w:r>
          </w:p>
        </w:tc>
        <w:tc>
          <w:p>
            <w:pPr>
              <w:jc w:val="left"/>
            </w:pPr>
            <w:r>
              <w:t xml:space="preserve">46.91</w:t>
            </w:r>
          </w:p>
        </w:tc>
      </w:tr>
    </w:tbl>
    <w:p>
      <w:pPr>
        <w:pStyle w:val="TableCaption"/>
      </w:pPr>
      <w:r>
        <w:t xml:space="preserve">Descriptives: Age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6.849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46.91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24.57</w:t>
      </w:r>
      <w:r>
        <w:t xml:space="preserve">, somewhere between</w:t>
      </w:r>
      <w:r>
        <w:t xml:space="preserve"> </w:t>
      </w:r>
      <w:r>
        <w:rPr>
          <w:i/>
        </w:rPr>
        <w:t xml:space="preserve">24.06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25.09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0.2632</w:t>
      </w:r>
      <w:r>
        <w:t xml:space="preserve">.</w:t>
      </w:r>
    </w:p>
    <w:bookmarkStart w:id="charts-1" w:name="charts-1"/>
    <w:p>
      <w:pPr>
        <w:pStyle w:val="Heading4"/>
      </w:pPr>
      <w:r>
        <w:t xml:space="preserve">Charts</w:t>
      </w:r>
    </w:p>
    <w:bookmarkEnd w:id="charts-1"/>
    <w:p>
      <w:hyperlink r:id="link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descriptives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58</w:t>
      </w:r>
      <w:r>
        <w:t xml:space="preserve"> </w:t>
      </w:r>
      <w:r>
        <w:t xml:space="preserve">which is exactly</w:t>
      </w:r>
      <w:r>
        <w:t xml:space="preserve"> </w:t>
      </w:r>
      <w:r>
        <w:rPr>
          <w:i/>
        </w:rPr>
        <w:t xml:space="preserve">3.625</w:t>
      </w:r>
      <w:r>
        <w:t xml:space="preserve"> </w:t>
      </w:r>
      <w:r>
        <w:t xml:space="preserve">times higher than the smallest value (</w:t>
      </w:r>
      <w:r>
        <w:rPr>
          <w:i/>
        </w:rPr>
        <w:t xml:space="preserve">16</w:t>
      </w:r>
      <w:r>
        <w:t xml:space="preserve">).</w:t>
      </w:r>
    </w:p>
    <w:p>
      <w:r>
        <w:t xml:space="preserve">If we</w:t>
      </w:r>
      <w:r>
        <w:t xml:space="preserve"> </w:t>
      </w:r>
      <w:r>
        <w:rPr>
          <w:i/>
        </w:rPr>
        <w:t xml:space="preserve">suppose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Age</w:t>
      </w:r>
      <w:r>
        <w:t xml:space="preserve"> </w:t>
      </w:r>
      <w:r>
        <w:t xml:space="preserve">is not near to a normal distribution (skewness:</w:t>
      </w:r>
      <w:r>
        <w:t xml:space="preserve"> </w:t>
      </w:r>
      <w:r>
        <w:rPr>
          <w:i/>
        </w:rPr>
        <w:t xml:space="preserve">1.925</w:t>
      </w:r>
      <w:r>
        <w:t xml:space="preserve">, kurtosis:</w:t>
      </w:r>
      <w:r>
        <w:t xml:space="preserve"> </w:t>
      </w:r>
      <w:r>
        <w:rPr>
          <w:i/>
        </w:rPr>
        <w:t xml:space="preserve">4.463</w:t>
      </w:r>
      <w:r>
        <w:t xml:space="preserve">), checking the median (</w:t>
      </w:r>
      <w:r>
        <w:rPr>
          <w:i/>
        </w:rPr>
        <w:t xml:space="preserve">23</w:t>
      </w:r>
      <w:r>
        <w:t xml:space="preserve">) might be a better option instead of the mean. The interquartile range (</w:t>
      </w:r>
      <w:r>
        <w:rPr>
          <w:i/>
        </w:rPr>
        <w:t xml:space="preserve">6</w:t>
      </w:r>
      <w:r>
        <w:t xml:space="preserve">) measures the statistics dispersion of the variable (similar to standard deviation) based on median.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return descriptive statistics of a numerical or frequency table of a categorical variable.</w:t>
      </w:r>
    </w:p>
    <w:bookmarkStart w:id="hp" w:name="hp"/>
    <w:p>
      <w:pPr>
        <w:pStyle w:val="Heading3"/>
      </w:pPr>
      <w:r>
        <w:rPr>
          <w:i/>
        </w:rPr>
        <w:t xml:space="preserve">hp</w:t>
      </w:r>
    </w:p>
    <w:bookmarkEnd w:id="hp"/>
    <w:p>
      <w:r>
        <w:t xml:space="preserve">The dataset has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observations with</w:t>
      </w:r>
      <w:r>
        <w:t xml:space="preserve"> </w:t>
      </w:r>
      <w:r>
        <w:rPr>
          <w:i/>
        </w:rPr>
        <w:t xml:space="preserve">32</w:t>
      </w:r>
      <w:r>
        <w:t xml:space="preserve"> </w:t>
      </w:r>
      <w:r>
        <w:t xml:space="preserve">valid values (missing:</w:t>
      </w:r>
      <w:r>
        <w:t xml:space="preserve"> </w:t>
      </w:r>
      <w:r>
        <w:rPr>
          <w:i/>
        </w:rPr>
        <w:t xml:space="preserve">0</w:t>
      </w:r>
      <w:r>
        <w:t xml:space="preserve">).</w:t>
      </w:r>
    </w:p>
    <w:bookmarkStart w:id="base-statistics-1" w:name="base-statistics-1"/>
    <w:p>
      <w:pPr>
        <w:pStyle w:val="Heading4"/>
      </w:pPr>
      <w:r>
        <w:t xml:space="preserve">Base statistics</w:t>
      </w:r>
    </w:p>
    <w:bookmarkEnd w:id="base-statistics-1"/>
    <w:tbl>
      <w:tblPr>
        <w:tblStyle w:val="TableNormal"/>
        <w:tblCaption w:val="Descriptives: hp"/>
      </w:tblPr>
      <w:tblGrid>
        <w:gridCol w:w="1210"/>
        <w:gridCol w:w="770"/>
        <w:gridCol w:w="660"/>
        <w:gridCol w:w="66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var</w:t>
            </w:r>
          </w:p>
        </w:tc>
      </w:tr>
      <w:tr>
        <w:tc>
          <w:p>
            <w:pPr>
              <w:jc w:val="left"/>
            </w:pPr>
            <w:r>
              <w:t xml:space="preserve">hp</w:t>
            </w:r>
          </w:p>
        </w:tc>
        <w:tc>
          <w:p>
            <w:pPr>
              <w:jc w:val="left"/>
            </w:pPr>
            <w:r>
              <w:t xml:space="preserve">146.7</w:t>
            </w:r>
          </w:p>
        </w:tc>
        <w:tc>
          <w:p>
            <w:pPr>
              <w:jc w:val="left"/>
            </w:pPr>
            <w:r>
              <w:t xml:space="preserve">68.56</w:t>
            </w:r>
          </w:p>
        </w:tc>
        <w:tc>
          <w:p>
            <w:pPr>
              <w:jc w:val="left"/>
            </w:pPr>
            <w:r>
              <w:t xml:space="preserve">4701</w:t>
            </w:r>
          </w:p>
        </w:tc>
      </w:tr>
    </w:tbl>
    <w:p>
      <w:pPr>
        <w:pStyle w:val="TableCaption"/>
      </w:pPr>
      <w:r>
        <w:t xml:space="preserve">Descriptives: hp</w:t>
      </w:r>
    </w:p>
    <w:p>
      <w:r>
        <w:t xml:space="preserve">The standard deviation is</w:t>
      </w:r>
      <w:r>
        <w:t xml:space="preserve"> </w:t>
      </w:r>
      <w:r>
        <w:rPr>
          <w:i/>
        </w:rPr>
        <w:t xml:space="preserve">68.56</w:t>
      </w:r>
      <w:r>
        <w:t xml:space="preserve"> </w:t>
      </w:r>
      <w:r>
        <w:t xml:space="preserve">(variance:</w:t>
      </w:r>
      <w:r>
        <w:t xml:space="preserve"> </w:t>
      </w:r>
      <w:r>
        <w:rPr>
          <w:i/>
        </w:rPr>
        <w:t xml:space="preserve">4701</w:t>
      </w:r>
      <w:r>
        <w:t xml:space="preserve">). The expected value is around</w:t>
      </w:r>
      <w:r>
        <w:t xml:space="preserve"> </w:t>
      </w:r>
      <w:r>
        <w:rPr>
          <w:i/>
        </w:rPr>
        <w:t xml:space="preserve">146.7</w:t>
      </w:r>
      <w:r>
        <w:t xml:space="preserve">, somewhere between</w:t>
      </w:r>
      <w:r>
        <w:t xml:space="preserve"> </w:t>
      </w:r>
      <w:r>
        <w:rPr>
          <w:i/>
        </w:rPr>
        <w:t xml:space="preserve">122.9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170.4</w:t>
      </w:r>
      <w:r>
        <w:t xml:space="preserve"> </w:t>
      </w:r>
      <w:r>
        <w:t xml:space="preserve">with the standard error of</w:t>
      </w:r>
      <w:r>
        <w:t xml:space="preserve"> </w:t>
      </w:r>
      <w:r>
        <w:rPr>
          <w:i/>
        </w:rPr>
        <w:t xml:space="preserve">12.12</w:t>
      </w:r>
      <w:r>
        <w:t xml:space="preserve">.</w:t>
      </w:r>
    </w:p>
    <w:bookmarkStart w:id="charts-2" w:name="charts-2"/>
    <w:p>
      <w:pPr>
        <w:pStyle w:val="Heading4"/>
      </w:pPr>
      <w:r>
        <w:t xml:space="preserve">Charts</w:t>
      </w:r>
    </w:p>
    <w:bookmarkEnd w:id="charts-2"/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descriptives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t xml:space="preserve">It seems that the highest value is</w:t>
      </w:r>
      <w:r>
        <w:t xml:space="preserve"> </w:t>
      </w:r>
      <w:r>
        <w:rPr>
          <w:i/>
        </w:rPr>
        <w:t xml:space="preserve">335</w:t>
      </w:r>
      <w:r>
        <w:t xml:space="preserve"> </w:t>
      </w:r>
      <w:r>
        <w:t xml:space="preserve">which is exactly</w:t>
      </w:r>
      <w:r>
        <w:t xml:space="preserve"> </w:t>
      </w:r>
      <w:r>
        <w:rPr>
          <w:i/>
        </w:rPr>
        <w:t xml:space="preserve">6.442</w:t>
      </w:r>
      <w:r>
        <w:t xml:space="preserve"> </w:t>
      </w:r>
      <w:r>
        <w:t xml:space="preserve">times higher than the smallest value (</w:t>
      </w:r>
      <w:r>
        <w:rPr>
          <w:i/>
        </w:rPr>
        <w:t xml:space="preserve">52</w:t>
      </w:r>
      <w:r>
        <w:t xml:space="preserve">).</w:t>
      </w:r>
    </w:p>
    <w:p>
      <w:r>
        <w:t xml:space="preserve">If we</w:t>
      </w:r>
      <w:r>
        <w:t xml:space="preserve"> </w:t>
      </w:r>
      <w:r>
        <w:rPr>
          <w:i/>
        </w:rPr>
        <w:t xml:space="preserve">suppose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hp</w:t>
      </w:r>
      <w:r>
        <w:t xml:space="preserve"> </w:t>
      </w:r>
      <w:r>
        <w:t xml:space="preserve">is not near to a normal distribution (skewness:</w:t>
      </w:r>
      <w:r>
        <w:t xml:space="preserve"> </w:t>
      </w:r>
      <w:r>
        <w:rPr>
          <w:i/>
        </w:rPr>
        <w:t xml:space="preserve">0.726</w:t>
      </w:r>
      <w:r>
        <w:t xml:space="preserve">, kurtosis:</w:t>
      </w:r>
      <w:r>
        <w:t xml:space="preserve"> </w:t>
      </w:r>
      <w:r>
        <w:rPr>
          <w:i/>
        </w:rPr>
        <w:t xml:space="preserve">-0.1356</w:t>
      </w:r>
      <w:r>
        <w:t xml:space="preserve">), checking the median (</w:t>
      </w:r>
      <w:r>
        <w:rPr>
          <w:i/>
        </w:rPr>
        <w:t xml:space="preserve">123</w:t>
      </w:r>
      <w:r>
        <w:t xml:space="preserve">) might be a better option instead of the mean. The interquartile range (</w:t>
      </w:r>
      <w:r>
        <w:rPr>
          <w:i/>
        </w:rPr>
        <w:t xml:space="preserve">83.5</w:t>
      </w:r>
      <w:r>
        <w:t xml:space="preserve">) measures the statistics dispersion of the variable (similar to standard deviation) based on median.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3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4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(0.4) in</w:t>
      </w:r>
      <w:r>
        <w:t xml:space="preserve"> </w:t>
      </w:r>
      <w:r>
        <w:rPr>
          <w:i/>
        </w:rPr>
        <w:t xml:space="preserve">1.258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4" Target="media/image4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hyperlink" Id="link4" Target="http://rapport-package.info/" TargetMode="External" /><Relationship Type="http://schemas.openxmlformats.org/officeDocument/2006/relationships/hyperlink" Id="link3" Target="http://www.r-project.org/" TargetMode="External" /><Relationship Type="http://schemas.openxmlformats.org/officeDocument/2006/relationships/hyperlink" Id="link0" Target="plots/descriptives-1-hires.png" TargetMode="External" /><Relationship Type="http://schemas.openxmlformats.org/officeDocument/2006/relationships/hyperlink" Id="link1" Target="plots/descriptives-2-hires.png" TargetMode="External" /><Relationship Type="http://schemas.openxmlformats.org/officeDocument/2006/relationships/hyperlink" Id="link2" Target="plots/descriptives-3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Descriptive statistics</dc:creator>
</cp:coreProperties>
</file>