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Normality</w:t>
      </w:r>
      <w:r>
        <w:t xml:space="preserve"> </w:t>
      </w:r>
      <w:r>
        <w:t xml:space="preserve">Tests</w:t>
      </w:r>
    </w:p>
    <w:p>
      <w:pPr>
        <w:pStyle w:val="Authors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  <w:r>
        <w:t xml:space="preserve"> </w:t>
      </w:r>
      <w:r>
        <w:t xml:space="preserve">@</w:t>
      </w:r>
      <w:r>
        <w:t xml:space="preserve"> </w:t>
      </w:r>
      <w:r>
        <w:t xml:space="preserve">https</w:t>
      </w:r>
      <w:r>
        <w:t xml:space="preserve">:</w:t>
      </w:r>
      <w:r>
        <w:t xml:space="preserve">/</w:t>
      </w:r>
      <w:r>
        <w:t xml:space="preserve">/</w:t>
      </w:r>
      <w:r>
        <w:t xml:space="preserve">github</w:t>
      </w:r>
      <w:r>
        <w:t xml:space="preserve">.</w:t>
      </w:r>
      <w:r>
        <w:t xml:space="preserve">com</w:t>
      </w:r>
      <w:r>
        <w:t xml:space="preserve">/</w:t>
      </w:r>
      <w:r>
        <w:t xml:space="preserve">aL3xa</w:t>
      </w:r>
      <w:r>
        <w:t xml:space="preserve">/</w:t>
      </w:r>
      <w:r>
        <w:t xml:space="preserve">rapport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Overview of several normality tests and diagnostic plots that can screen departures from normality.</w:t>
      </w:r>
    </w:p>
    <w:bookmarkStart w:id="introduction" w:name="introduction"/>
    <w:p>
      <w:pPr>
        <w:pStyle w:val="Heading2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1ad75d4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" w:name="normality-tests"/>
    <w:p>
      <w:pPr>
        <w:pStyle w:val="Heading2"/>
      </w:pPr>
      <w:r>
        <w:t xml:space="preserve">Normality Tests</w:t>
      </w:r>
    </w:p>
    <w:bookmarkEnd w:id="normality-tests"/>
    <w:bookmarkStart w:id="overview" w:name="overview"/>
    <w:p>
      <w:pPr>
        <w:pStyle w:val="Heading3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3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" w:name="diagnostic-plots"/>
    <w:p>
      <w:pPr>
        <w:pStyle w:val="Heading2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" w:name="histogram"/>
    <w:p>
      <w:pPr>
        <w:pStyle w:val="Heading3"/>
      </w:pPr>
      <w:r>
        <w:t xml:space="preserve">Histogram</w:t>
      </w:r>
    </w:p>
    <w:bookmarkEnd w:id="histogram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1f98d5e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3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24b14d8e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3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7316827d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Overview of several normality tests and diagnostic plots that can screen departures from normality.</w:t>
      </w:r>
    </w:p>
    <w:bookmarkStart w:id="introduction-1" w:name="introduction-1"/>
    <w:p>
      <w:pPr>
        <w:pStyle w:val="Heading2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bookmarkStart w:id="normality-tests-1" w:name="normality-tests-1"/>
    <w:p>
      <w:pPr>
        <w:pStyle w:val="Heading2"/>
      </w:pPr>
      <w:r>
        <w:t xml:space="preserve">Normality Tests</w:t>
      </w:r>
    </w:p>
    <w:bookmarkEnd w:id="normality-tests-1"/>
    <w:bookmarkStart w:id="overview-1" w:name="overview-1"/>
    <w:p>
      <w:pPr>
        <w:pStyle w:val="Heading3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3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1" w:name="diagnostic-plots-1"/>
    <w:p>
      <w:pPr>
        <w:pStyle w:val="Heading2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3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8cef860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3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5be9983b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3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7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73621c99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Overview of several normality tests and diagnostic plots that can screen departures from normality.</w:t>
      </w:r>
    </w:p>
    <w:bookmarkStart w:id="introduction-2" w:name="introduction-2"/>
    <w:p>
      <w:pPr>
        <w:pStyle w:val="Heading2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8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5e9c52a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2" w:name="normality-tests-2"/>
    <w:p>
      <w:pPr>
        <w:pStyle w:val="Heading2"/>
      </w:pPr>
      <w:r>
        <w:t xml:space="preserve">Normality Tests</w:t>
      </w:r>
    </w:p>
    <w:bookmarkEnd w:id="normality-tests-2"/>
    <w:bookmarkStart w:id="overview-2" w:name="overview-2"/>
    <w:p>
      <w:pPr>
        <w:pStyle w:val="Heading3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3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/>
      <w:tblGrid/>
      <w:t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violation of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normal</w:t>
      </w:r>
    </w:p>
    <w:bookmarkStart w:id="diagnostic-plots-2" w:name="diagnostic-plots-2"/>
    <w:p>
      <w:pPr>
        <w:pStyle w:val="Heading2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2" w:name="histogram-2"/>
    <w:p>
      <w:pPr>
        <w:pStyle w:val="Heading3"/>
      </w:pPr>
      <w:r>
        <w:t xml:space="preserve">Histogram</w:t>
      </w:r>
    </w:p>
    <w:bookmarkEnd w:id="histogram-2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9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106065f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3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1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1a15d42f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3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11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/tmp/RtmpEMWtXJ/file450d81a7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12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(2.14.0) and</w:t>
      </w:r>
      <w:r>
        <w:t xml:space="preserve"> </w:t>
      </w:r>
      <w:hyperlink r:id="link13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(0.2) in 2.959 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Authors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9" Target="media/image9.png" /><Relationship Type="http://schemas.openxmlformats.org/officeDocument/2006/relationships/image" Id="image10" Target="media/image10.png" /><Relationship Type="http://schemas.openxmlformats.org/officeDocument/2006/relationships/image" Id="image1" Target="media/image1.png" /><Relationship Type="http://schemas.openxmlformats.org/officeDocument/2006/relationships/image" Id="image2" Target="media/image2.png" /><Relationship Type="http://schemas.openxmlformats.org/officeDocument/2006/relationships/image" Id="image3" Target="media/image3.png" /><Relationship Type="http://schemas.openxmlformats.org/officeDocument/2006/relationships/image" Id="image11" Target="media/image11.png" /><Relationship Type="http://schemas.openxmlformats.org/officeDocument/2006/relationships/image" Id="image6" Target="media/image6.png" /><Relationship Type="http://schemas.openxmlformats.org/officeDocument/2006/relationships/image" Id="image8" Target="media/image8.png" /><Relationship Type="http://schemas.openxmlformats.org/officeDocument/2006/relationships/image" Id="image4" Target="media/image4.png" /><Relationship Type="http://schemas.openxmlformats.org/officeDocument/2006/relationships/image" Id="image7" Target="media/image7.png" /><Relationship Type="http://schemas.openxmlformats.org/officeDocument/2006/relationships/image" Id="image5" Target="media/image5.png" /><Relationship Type="http://schemas.openxmlformats.org/officeDocument/2006/relationships/image" Id="image12" Target="media/image12.png" /><Relationship Type="http://schemas.openxmlformats.org/officeDocument/2006/relationships/hyperlink" Id="link9" Target="/tmp/RtmpEMWtXJ/file106065f3-hires.png" TargetMode="External" /><Relationship Type="http://schemas.openxmlformats.org/officeDocument/2006/relationships/hyperlink" Id="link10" Target="/tmp/RtmpEMWtXJ/file1a15d42f-hires.png" TargetMode="External" /><Relationship Type="http://schemas.openxmlformats.org/officeDocument/2006/relationships/hyperlink" Id="link0" Target="/tmp/RtmpEMWtXJ/file1ad75d4e-hires.png" TargetMode="External" /><Relationship Type="http://schemas.openxmlformats.org/officeDocument/2006/relationships/hyperlink" Id="link2" Target="/tmp/RtmpEMWtXJ/file1f98d5e0-hires.png" TargetMode="External" /><Relationship Type="http://schemas.openxmlformats.org/officeDocument/2006/relationships/hyperlink" Id="link3" Target="/tmp/RtmpEMWtXJ/file24b14d8e-hires.png" TargetMode="External" /><Relationship Type="http://schemas.openxmlformats.org/officeDocument/2006/relationships/hyperlink" Id="link11" Target="/tmp/RtmpEMWtXJ/file450d81a7-hires.png" TargetMode="External" /><Relationship Type="http://schemas.openxmlformats.org/officeDocument/2006/relationships/hyperlink" Id="link6" Target="/tmp/RtmpEMWtXJ/file5be9983b-hires.png" TargetMode="External" /><Relationship Type="http://schemas.openxmlformats.org/officeDocument/2006/relationships/hyperlink" Id="link8" Target="/tmp/RtmpEMWtXJ/file5e9c52a7-hires.png" TargetMode="External" /><Relationship Type="http://schemas.openxmlformats.org/officeDocument/2006/relationships/hyperlink" Id="link4" Target="/tmp/RtmpEMWtXJ/file7316827d-hires.png" TargetMode="External" /><Relationship Type="http://schemas.openxmlformats.org/officeDocument/2006/relationships/hyperlink" Id="link7" Target="/tmp/RtmpEMWtXJ/file73621c99-hires.png" TargetMode="External" /><Relationship Type="http://schemas.openxmlformats.org/officeDocument/2006/relationships/hyperlink" Id="link5" Target="/tmp/RtmpEMWtXJ/file8cef860-hires.png" TargetMode="External" /><Relationship Type="http://schemas.openxmlformats.org/officeDocument/2006/relationships/hyperlink" Id="link13" Target="http://al3xa.github.com/rapport/" TargetMode="External" /><Relationship Type="http://schemas.openxmlformats.org/officeDocument/2006/relationships/hyperlink" Id="link1" Target="http://cran.r-project.org/web/packages/nortest/index.html" TargetMode="External" /><Relationship Type="http://schemas.openxmlformats.org/officeDocument/2006/relationships/hyperlink" Id="link12" Target="http://www.r-project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Normality Tests</dc:title>
  <dcterms:created xsi:type="dcterms:W3CDTF"/>
  <dcterms:modified xsi:type="dcterms:W3CDTF"/>
  <dc:creator>Rapport package team @ https://github.com/aL3xa/rapport</dc:creator>
</cp:coreProperties>
</file>