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7BAF1" w14:textId="77777777" w:rsidR="00790F44" w:rsidRDefault="00000000">
      <w:pPr>
        <w:pStyle w:val="Title"/>
      </w:pPr>
      <w:r>
        <w:t>Literature Review</w:t>
      </w:r>
    </w:p>
    <w:p w14:paraId="5DEB753C" w14:textId="4D2D712C" w:rsidR="00790F44" w:rsidRDefault="00000000">
      <w:pPr>
        <w:pStyle w:val="Heading1"/>
      </w:pPr>
      <w:r>
        <w:t>Project Title: Intercranial Aneur</w:t>
      </w:r>
      <w:r w:rsidR="000A44A2">
        <w:t>ys</w:t>
      </w:r>
      <w:r>
        <w:t>m detection</w:t>
      </w:r>
    </w:p>
    <w:p w14:paraId="2CFD55CA" w14:textId="77777777" w:rsidR="00790F44" w:rsidRDefault="00000000">
      <w:r>
        <w:t>Name: Muhammed Rayan</w:t>
      </w:r>
    </w:p>
    <w:p w14:paraId="0DD0FBCE" w14:textId="77777777" w:rsidR="00790F44" w:rsidRDefault="00000000">
      <w:r>
        <w:t xml:space="preserve">College / Department: College of engineering </w:t>
      </w:r>
      <w:proofErr w:type="spellStart"/>
      <w:r>
        <w:t>kidangoor</w:t>
      </w:r>
      <w:proofErr w:type="spellEnd"/>
      <w:r>
        <w:t>, CSE</w:t>
      </w:r>
    </w:p>
    <w:p w14:paraId="2558C403" w14:textId="77777777" w:rsidR="00790F44" w:rsidRDefault="00000000">
      <w:r>
        <w:t>Date: October 05, 2025</w:t>
      </w:r>
    </w:p>
    <w:p w14:paraId="59646714" w14:textId="77777777" w:rsidR="00790F44" w:rsidRDefault="00790F44"/>
    <w:tbl>
      <w:tblPr>
        <w:tblW w:w="0" w:type="auto"/>
        <w:jc w:val="center"/>
        <w:tblLook w:val="04A0" w:firstRow="1" w:lastRow="0" w:firstColumn="1" w:lastColumn="0" w:noHBand="0" w:noVBand="1"/>
      </w:tblPr>
      <w:tblGrid>
        <w:gridCol w:w="8640"/>
      </w:tblGrid>
      <w:tr w:rsidR="00790F44" w14:paraId="739AC976" w14:textId="77777777">
        <w:trPr>
          <w:jc w:val="center"/>
        </w:trPr>
        <w:tc>
          <w:tcPr>
            <w:tcW w:w="8640" w:type="dxa"/>
            <w:shd w:val="clear" w:color="auto" w:fill="F2F2F2"/>
          </w:tcPr>
          <w:p w14:paraId="7BD348BF" w14:textId="77777777" w:rsidR="00790F44" w:rsidRDefault="00000000">
            <w:pPr>
              <w:jc w:val="center"/>
            </w:pPr>
            <w:r>
              <w:t>Reviewed Paper:</w:t>
            </w:r>
            <w:r>
              <w:br/>
              <w:t xml:space="preserve">Bo, Z.-H., Qiao, H., Tian, C., et al. (2021). *Toward human intervention-free clinical diagnosis of intracranial aneurysm via deep neural network*. **Patterns, 2(2), </w:t>
            </w:r>
            <w:proofErr w:type="gramStart"/>
            <w:r>
              <w:t>100197.*</w:t>
            </w:r>
            <w:proofErr w:type="gramEnd"/>
            <w:r>
              <w:t>*</w:t>
            </w:r>
            <w:r>
              <w:br/>
              <w:t>DOI: https://doi.org/10.1016/j.patter.2020.100197</w:t>
            </w:r>
          </w:p>
        </w:tc>
      </w:tr>
    </w:tbl>
    <w:p w14:paraId="142F9A4C" w14:textId="77777777" w:rsidR="00790F44" w:rsidRDefault="00000000">
      <w:r>
        <w:br w:type="page"/>
      </w:r>
    </w:p>
    <w:p w14:paraId="013F14C7" w14:textId="77777777" w:rsidR="00790F44" w:rsidRDefault="00000000">
      <w:pPr>
        <w:pStyle w:val="Heading1"/>
      </w:pPr>
      <w:r>
        <w:lastRenderedPageBreak/>
        <w:t>1. Introduction</w:t>
      </w:r>
    </w:p>
    <w:p w14:paraId="6C0CCE7D" w14:textId="77777777" w:rsidR="00790F44" w:rsidRDefault="00000000">
      <w:r>
        <w:t>Intracranial aneurysm (IA) is a life-threatening cerebrovascular condition where early detection and accurate segmentation are critical for clinical diagnosis and treatment. Recent advances in deep learning and medical image analysis have enabled the development of automated systems that can support radiologists in detecting and segmenting aneurysms from CTA or MRA scans with improved speed and accuracy.</w:t>
      </w:r>
    </w:p>
    <w:p w14:paraId="425A7418" w14:textId="77777777" w:rsidR="00790F44" w:rsidRDefault="00000000">
      <w:pPr>
        <w:pStyle w:val="Heading1"/>
      </w:pPr>
      <w:r>
        <w:t>2. Bibliographic Details</w:t>
      </w:r>
    </w:p>
    <w:p w14:paraId="23248447" w14:textId="77777777" w:rsidR="00790F44" w:rsidRDefault="00000000">
      <w:r>
        <w:t>Bo, Z.-H., Qiao, H., Tian, C., Guo, Y., Li, W., Liang, T., Li, D., Liao, D., Zeng, X., Mei, L., Shi, T., Wu, B., Huang, C., Liu, L., Jin, C., Guo, Q., Yong, J.-H., Xu, F., Zhang, T., Wang, R., &amp; Dai, Q. (2021). Toward human intervention-free clinical diagnosis of intracranial aneurysm via deep neural network. Patterns, 2(2), 100197. https://doi.org/10.1016/j.patter.2020.100197</w:t>
      </w:r>
    </w:p>
    <w:p w14:paraId="4AF35D2D" w14:textId="77777777" w:rsidR="00790F44" w:rsidRDefault="00000000">
      <w:pPr>
        <w:pStyle w:val="Heading1"/>
      </w:pPr>
      <w:r>
        <w:t>3. Problem Statement</w:t>
      </w:r>
    </w:p>
    <w:p w14:paraId="754A68D4" w14:textId="77777777" w:rsidR="00790F44" w:rsidRDefault="00000000">
      <w:r>
        <w:t>Diagnosis of IAs from CTA images is time-consuming and error-prone. Small aneurysms are difficult to detect manually, and existing automatic segmentation methods require extensive pre- and post-processing. Additionally, most models are trained on limited datasets, making them less robust across different scanning environments.</w:t>
      </w:r>
    </w:p>
    <w:p w14:paraId="42A472EB" w14:textId="77777777" w:rsidR="00790F44" w:rsidRDefault="00000000">
      <w:pPr>
        <w:pStyle w:val="Heading1"/>
      </w:pPr>
      <w:r>
        <w:t>4. Dataset Used</w:t>
      </w:r>
    </w:p>
    <w:p w14:paraId="39D97C69" w14:textId="77777777" w:rsidR="00790F44" w:rsidRDefault="00000000">
      <w:r>
        <w:t>The study utilized a large multi-institutional dataset consisting of 1,338 CTA scans collected from six different hospitals. External datasets were also used to validate model generalization. Table 1 summarizes dataset statistics including number of cases, aneurysm distribution, and patient demographics.</w:t>
      </w:r>
    </w:p>
    <w:p w14:paraId="67869638" w14:textId="77777777" w:rsidR="00790F44" w:rsidRDefault="00000000">
      <w:r>
        <w:rPr>
          <w:noProof/>
        </w:rPr>
        <w:drawing>
          <wp:inline distT="0" distB="0" distL="0" distR="0" wp14:anchorId="4D22EAAC" wp14:editId="4F91B548">
            <wp:extent cx="5029200" cy="1004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e85515-c415-4001-98f9-490e2399f564.png"/>
                    <pic:cNvPicPr/>
                  </pic:nvPicPr>
                  <pic:blipFill>
                    <a:blip r:embed="rId6"/>
                    <a:stretch>
                      <a:fillRect/>
                    </a:stretch>
                  </pic:blipFill>
                  <pic:spPr>
                    <a:xfrm>
                      <a:off x="0" y="0"/>
                      <a:ext cx="5029200" cy="1004246"/>
                    </a:xfrm>
                    <a:prstGeom prst="rect">
                      <a:avLst/>
                    </a:prstGeom>
                  </pic:spPr>
                </pic:pic>
              </a:graphicData>
            </a:graphic>
          </wp:inline>
        </w:drawing>
      </w:r>
    </w:p>
    <w:p w14:paraId="313DC686" w14:textId="77777777" w:rsidR="00790F44" w:rsidRDefault="00000000">
      <w:r>
        <w:t>Figure 1: Dataset statistics table (Bo et al., 2021).</w:t>
      </w:r>
    </w:p>
    <w:p w14:paraId="29F5D6E7" w14:textId="77777777" w:rsidR="00790F44" w:rsidRDefault="00000000">
      <w:pPr>
        <w:pStyle w:val="Heading1"/>
      </w:pPr>
      <w:r>
        <w:t>5. Methods &amp; Algorithms</w:t>
      </w:r>
    </w:p>
    <w:p w14:paraId="574215B0" w14:textId="77777777" w:rsidR="00790F44" w:rsidRDefault="00000000">
      <w:r>
        <w:t>The authors proposed GLIA-Net (Global Localization-based Intracranial Aneurysm Network), a deep learning model that integrates a global positioning network and a local segmentation network. The global network learns spatial risk distributions from entire 3D scans, while the local network, based on 3D U-Net with residual blocks, performs fine-</w:t>
      </w:r>
      <w:r>
        <w:lastRenderedPageBreak/>
        <w:t>grained segmentation. A combination of global classification loss, local Dice + cross-entropy loss, and pyramid-weighted loss was used for training.</w:t>
      </w:r>
    </w:p>
    <w:p w14:paraId="1D46DC81" w14:textId="77777777" w:rsidR="00790F44" w:rsidRDefault="00000000">
      <w:pPr>
        <w:pStyle w:val="Heading1"/>
      </w:pPr>
      <w:r>
        <w:t>6. Results &amp; Findings</w:t>
      </w:r>
    </w:p>
    <w:p w14:paraId="4285F2FE" w14:textId="77777777" w:rsidR="00790F44" w:rsidRDefault="00000000">
      <w:r>
        <w:t xml:space="preserve">GLIA-Net achieved superior segmentation performance compared to U-Net and </w:t>
      </w:r>
      <w:proofErr w:type="spellStart"/>
      <w:r>
        <w:t>HeadXNet</w:t>
      </w:r>
      <w:proofErr w:type="spellEnd"/>
      <w:r>
        <w:t xml:space="preserve"> across internal and external datasets. It demonstrated a Dice coefficient of 57.9% internally, with strong generalization on external datasets. Clinically, GLIA-Net significantly improved radiologists' diagnosis speed and sensitivity.</w:t>
      </w:r>
    </w:p>
    <w:p w14:paraId="27C7C19B" w14:textId="77777777" w:rsidR="00790F44" w:rsidRDefault="00000000">
      <w:r>
        <w:rPr>
          <w:noProof/>
        </w:rPr>
        <w:drawing>
          <wp:inline distT="0" distB="0" distL="0" distR="0" wp14:anchorId="23E45B1B" wp14:editId="0A87ED62">
            <wp:extent cx="5029200" cy="18704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2810e6-1110-45a5-ba83-bc84e874124d.png"/>
                    <pic:cNvPicPr/>
                  </pic:nvPicPr>
                  <pic:blipFill>
                    <a:blip r:embed="rId7"/>
                    <a:stretch>
                      <a:fillRect/>
                    </a:stretch>
                  </pic:blipFill>
                  <pic:spPr>
                    <a:xfrm>
                      <a:off x="0" y="0"/>
                      <a:ext cx="5029200" cy="1870434"/>
                    </a:xfrm>
                    <a:prstGeom prst="rect">
                      <a:avLst/>
                    </a:prstGeom>
                  </pic:spPr>
                </pic:pic>
              </a:graphicData>
            </a:graphic>
          </wp:inline>
        </w:drawing>
      </w:r>
    </w:p>
    <w:p w14:paraId="355B2E27" w14:textId="77777777" w:rsidR="00790F44" w:rsidRDefault="00000000">
      <w:r>
        <w:t>Figure 2: GLIA-Net architecture and performance evaluation (Bo et al., 2021).</w:t>
      </w:r>
    </w:p>
    <w:p w14:paraId="6497846E" w14:textId="77777777" w:rsidR="00920B79" w:rsidRPr="00920B79" w:rsidRDefault="00920B79" w:rsidP="00920B79">
      <w:pPr>
        <w:rPr>
          <w:b/>
          <w:bCs/>
        </w:rPr>
      </w:pPr>
      <w:r w:rsidRPr="00920B79">
        <w:rPr>
          <w:b/>
          <w:bCs/>
        </w:rPr>
        <w:t>GLIA-Net Performance Summary</w:t>
      </w:r>
    </w:p>
    <w:p w14:paraId="23C04CE0" w14:textId="77777777" w:rsidR="00920B79" w:rsidRPr="00920B79" w:rsidRDefault="00920B79" w:rsidP="00920B79">
      <w:r w:rsidRPr="00920B79">
        <w:t>The table below summarizes the performance of GLIA-Net (Bo et al., 2021) on internal and external test sets:</w:t>
      </w:r>
    </w:p>
    <w:tbl>
      <w:tblPr>
        <w:tblStyle w:val="TableGrid"/>
        <w:tblW w:w="0" w:type="auto"/>
        <w:tblLook w:val="04A0" w:firstRow="1" w:lastRow="0" w:firstColumn="1" w:lastColumn="0" w:noHBand="0" w:noVBand="1"/>
      </w:tblPr>
      <w:tblGrid>
        <w:gridCol w:w="1727"/>
        <w:gridCol w:w="1725"/>
        <w:gridCol w:w="1726"/>
        <w:gridCol w:w="1726"/>
        <w:gridCol w:w="1726"/>
      </w:tblGrid>
      <w:tr w:rsidR="00920B79" w:rsidRPr="00920B79" w14:paraId="4F649399" w14:textId="77777777">
        <w:tc>
          <w:tcPr>
            <w:tcW w:w="1728" w:type="dxa"/>
            <w:tcBorders>
              <w:top w:val="single" w:sz="4" w:space="0" w:color="auto"/>
              <w:left w:val="single" w:sz="4" w:space="0" w:color="auto"/>
              <w:bottom w:val="single" w:sz="4" w:space="0" w:color="auto"/>
              <w:right w:val="single" w:sz="4" w:space="0" w:color="auto"/>
            </w:tcBorders>
            <w:hideMark/>
          </w:tcPr>
          <w:p w14:paraId="2351E9D8" w14:textId="77777777" w:rsidR="00920B79" w:rsidRPr="00920B79" w:rsidRDefault="00920B79" w:rsidP="00920B79">
            <w:pPr>
              <w:spacing w:after="200" w:line="276" w:lineRule="auto"/>
            </w:pPr>
            <w:r w:rsidRPr="00920B79">
              <w:t>Dataset</w:t>
            </w:r>
          </w:p>
        </w:tc>
        <w:tc>
          <w:tcPr>
            <w:tcW w:w="1728" w:type="dxa"/>
            <w:tcBorders>
              <w:top w:val="single" w:sz="4" w:space="0" w:color="auto"/>
              <w:left w:val="single" w:sz="4" w:space="0" w:color="auto"/>
              <w:bottom w:val="single" w:sz="4" w:space="0" w:color="auto"/>
              <w:right w:val="single" w:sz="4" w:space="0" w:color="auto"/>
            </w:tcBorders>
            <w:hideMark/>
          </w:tcPr>
          <w:p w14:paraId="1884CD5A" w14:textId="77777777" w:rsidR="00920B79" w:rsidRPr="00920B79" w:rsidRDefault="00920B79" w:rsidP="00920B79">
            <w:pPr>
              <w:spacing w:after="200" w:line="276" w:lineRule="auto"/>
            </w:pPr>
            <w:r w:rsidRPr="00920B79">
              <w:t>DSC (%) ↑</w:t>
            </w:r>
          </w:p>
        </w:tc>
        <w:tc>
          <w:tcPr>
            <w:tcW w:w="1728" w:type="dxa"/>
            <w:tcBorders>
              <w:top w:val="single" w:sz="4" w:space="0" w:color="auto"/>
              <w:left w:val="single" w:sz="4" w:space="0" w:color="auto"/>
              <w:bottom w:val="single" w:sz="4" w:space="0" w:color="auto"/>
              <w:right w:val="single" w:sz="4" w:space="0" w:color="auto"/>
            </w:tcBorders>
            <w:hideMark/>
          </w:tcPr>
          <w:p w14:paraId="39C6ACEB" w14:textId="77777777" w:rsidR="00920B79" w:rsidRPr="00920B79" w:rsidRDefault="00920B79" w:rsidP="00920B79">
            <w:pPr>
              <w:spacing w:after="200" w:line="276" w:lineRule="auto"/>
            </w:pPr>
            <w:r w:rsidRPr="00920B79">
              <w:t>Recall (%) ↑</w:t>
            </w:r>
          </w:p>
        </w:tc>
        <w:tc>
          <w:tcPr>
            <w:tcW w:w="1728" w:type="dxa"/>
            <w:tcBorders>
              <w:top w:val="single" w:sz="4" w:space="0" w:color="auto"/>
              <w:left w:val="single" w:sz="4" w:space="0" w:color="auto"/>
              <w:bottom w:val="single" w:sz="4" w:space="0" w:color="auto"/>
              <w:right w:val="single" w:sz="4" w:space="0" w:color="auto"/>
            </w:tcBorders>
            <w:hideMark/>
          </w:tcPr>
          <w:p w14:paraId="15E48831" w14:textId="77777777" w:rsidR="00920B79" w:rsidRPr="00920B79" w:rsidRDefault="00920B79" w:rsidP="00920B79">
            <w:pPr>
              <w:spacing w:after="200" w:line="276" w:lineRule="auto"/>
            </w:pPr>
            <w:r w:rsidRPr="00920B79">
              <w:t>Precision (%) ↑</w:t>
            </w:r>
          </w:p>
        </w:tc>
        <w:tc>
          <w:tcPr>
            <w:tcW w:w="1728" w:type="dxa"/>
            <w:tcBorders>
              <w:top w:val="single" w:sz="4" w:space="0" w:color="auto"/>
              <w:left w:val="single" w:sz="4" w:space="0" w:color="auto"/>
              <w:bottom w:val="single" w:sz="4" w:space="0" w:color="auto"/>
              <w:right w:val="single" w:sz="4" w:space="0" w:color="auto"/>
            </w:tcBorders>
            <w:hideMark/>
          </w:tcPr>
          <w:p w14:paraId="7B498AF3" w14:textId="77777777" w:rsidR="00920B79" w:rsidRPr="00920B79" w:rsidRDefault="00920B79" w:rsidP="00920B79">
            <w:pPr>
              <w:spacing w:after="200" w:line="276" w:lineRule="auto"/>
            </w:pPr>
            <w:r w:rsidRPr="00920B79">
              <w:t>FP/case ↓</w:t>
            </w:r>
          </w:p>
        </w:tc>
      </w:tr>
      <w:tr w:rsidR="00920B79" w:rsidRPr="00920B79" w14:paraId="5C2F84BE" w14:textId="77777777">
        <w:tc>
          <w:tcPr>
            <w:tcW w:w="1728" w:type="dxa"/>
            <w:tcBorders>
              <w:top w:val="single" w:sz="4" w:space="0" w:color="auto"/>
              <w:left w:val="single" w:sz="4" w:space="0" w:color="auto"/>
              <w:bottom w:val="single" w:sz="4" w:space="0" w:color="auto"/>
              <w:right w:val="single" w:sz="4" w:space="0" w:color="auto"/>
            </w:tcBorders>
            <w:hideMark/>
          </w:tcPr>
          <w:p w14:paraId="607F3038" w14:textId="77777777" w:rsidR="00920B79" w:rsidRPr="00920B79" w:rsidRDefault="00920B79" w:rsidP="00920B79">
            <w:pPr>
              <w:spacing w:after="200" w:line="276" w:lineRule="auto"/>
            </w:pPr>
            <w:r w:rsidRPr="00920B79">
              <w:t>Internal Test</w:t>
            </w:r>
          </w:p>
        </w:tc>
        <w:tc>
          <w:tcPr>
            <w:tcW w:w="1728" w:type="dxa"/>
            <w:tcBorders>
              <w:top w:val="single" w:sz="4" w:space="0" w:color="auto"/>
              <w:left w:val="single" w:sz="4" w:space="0" w:color="auto"/>
              <w:bottom w:val="single" w:sz="4" w:space="0" w:color="auto"/>
              <w:right w:val="single" w:sz="4" w:space="0" w:color="auto"/>
            </w:tcBorders>
            <w:hideMark/>
          </w:tcPr>
          <w:p w14:paraId="0A69B3CE" w14:textId="77777777" w:rsidR="00920B79" w:rsidRPr="00920B79" w:rsidRDefault="00920B79" w:rsidP="00920B79">
            <w:pPr>
              <w:spacing w:after="200" w:line="276" w:lineRule="auto"/>
            </w:pPr>
            <w:r w:rsidRPr="00920B79">
              <w:t>57.9</w:t>
            </w:r>
          </w:p>
        </w:tc>
        <w:tc>
          <w:tcPr>
            <w:tcW w:w="1728" w:type="dxa"/>
            <w:tcBorders>
              <w:top w:val="single" w:sz="4" w:space="0" w:color="auto"/>
              <w:left w:val="single" w:sz="4" w:space="0" w:color="auto"/>
              <w:bottom w:val="single" w:sz="4" w:space="0" w:color="auto"/>
              <w:right w:val="single" w:sz="4" w:space="0" w:color="auto"/>
            </w:tcBorders>
            <w:hideMark/>
          </w:tcPr>
          <w:p w14:paraId="1423A90D" w14:textId="77777777" w:rsidR="00920B79" w:rsidRPr="00920B79" w:rsidRDefault="00920B79" w:rsidP="00920B79">
            <w:pPr>
              <w:spacing w:after="200" w:line="276" w:lineRule="auto"/>
            </w:pPr>
            <w:r w:rsidRPr="00920B79">
              <w:t>82.1</w:t>
            </w:r>
          </w:p>
        </w:tc>
        <w:tc>
          <w:tcPr>
            <w:tcW w:w="1728" w:type="dxa"/>
            <w:tcBorders>
              <w:top w:val="single" w:sz="4" w:space="0" w:color="auto"/>
              <w:left w:val="single" w:sz="4" w:space="0" w:color="auto"/>
              <w:bottom w:val="single" w:sz="4" w:space="0" w:color="auto"/>
              <w:right w:val="single" w:sz="4" w:space="0" w:color="auto"/>
            </w:tcBorders>
            <w:hideMark/>
          </w:tcPr>
          <w:p w14:paraId="37190894" w14:textId="77777777" w:rsidR="00920B79" w:rsidRPr="00920B79" w:rsidRDefault="00920B79" w:rsidP="00920B79">
            <w:pPr>
              <w:spacing w:after="200" w:line="276" w:lineRule="auto"/>
            </w:pPr>
            <w:r w:rsidRPr="00920B79">
              <w:t>70.4</w:t>
            </w:r>
          </w:p>
        </w:tc>
        <w:tc>
          <w:tcPr>
            <w:tcW w:w="1728" w:type="dxa"/>
            <w:tcBorders>
              <w:top w:val="single" w:sz="4" w:space="0" w:color="auto"/>
              <w:left w:val="single" w:sz="4" w:space="0" w:color="auto"/>
              <w:bottom w:val="single" w:sz="4" w:space="0" w:color="auto"/>
              <w:right w:val="single" w:sz="4" w:space="0" w:color="auto"/>
            </w:tcBorders>
            <w:hideMark/>
          </w:tcPr>
          <w:p w14:paraId="566AD9B9" w14:textId="77777777" w:rsidR="00920B79" w:rsidRPr="00920B79" w:rsidRDefault="00920B79" w:rsidP="00920B79">
            <w:pPr>
              <w:spacing w:after="200" w:line="276" w:lineRule="auto"/>
            </w:pPr>
            <w:r w:rsidRPr="00920B79">
              <w:t>4.38</w:t>
            </w:r>
          </w:p>
        </w:tc>
      </w:tr>
      <w:tr w:rsidR="00920B79" w:rsidRPr="00920B79" w14:paraId="734B2C50" w14:textId="77777777">
        <w:tc>
          <w:tcPr>
            <w:tcW w:w="1728" w:type="dxa"/>
            <w:tcBorders>
              <w:top w:val="single" w:sz="4" w:space="0" w:color="auto"/>
              <w:left w:val="single" w:sz="4" w:space="0" w:color="auto"/>
              <w:bottom w:val="single" w:sz="4" w:space="0" w:color="auto"/>
              <w:right w:val="single" w:sz="4" w:space="0" w:color="auto"/>
            </w:tcBorders>
            <w:hideMark/>
          </w:tcPr>
          <w:p w14:paraId="26045480" w14:textId="77777777" w:rsidR="00920B79" w:rsidRPr="00920B79" w:rsidRDefault="00920B79" w:rsidP="00920B79">
            <w:pPr>
              <w:spacing w:after="200" w:line="276" w:lineRule="auto"/>
            </w:pPr>
            <w:r w:rsidRPr="00920B79">
              <w:t>External Test A</w:t>
            </w:r>
          </w:p>
        </w:tc>
        <w:tc>
          <w:tcPr>
            <w:tcW w:w="1728" w:type="dxa"/>
            <w:tcBorders>
              <w:top w:val="single" w:sz="4" w:space="0" w:color="auto"/>
              <w:left w:val="single" w:sz="4" w:space="0" w:color="auto"/>
              <w:bottom w:val="single" w:sz="4" w:space="0" w:color="auto"/>
              <w:right w:val="single" w:sz="4" w:space="0" w:color="auto"/>
            </w:tcBorders>
            <w:hideMark/>
          </w:tcPr>
          <w:p w14:paraId="0F2A866C" w14:textId="77777777" w:rsidR="00920B79" w:rsidRPr="00920B79" w:rsidRDefault="00920B79" w:rsidP="00920B79">
            <w:pPr>
              <w:spacing w:after="200" w:line="276" w:lineRule="auto"/>
            </w:pPr>
            <w:r w:rsidRPr="00920B79">
              <w:t>55.7</w:t>
            </w:r>
          </w:p>
        </w:tc>
        <w:tc>
          <w:tcPr>
            <w:tcW w:w="1728" w:type="dxa"/>
            <w:tcBorders>
              <w:top w:val="single" w:sz="4" w:space="0" w:color="auto"/>
              <w:left w:val="single" w:sz="4" w:space="0" w:color="auto"/>
              <w:bottom w:val="single" w:sz="4" w:space="0" w:color="auto"/>
              <w:right w:val="single" w:sz="4" w:space="0" w:color="auto"/>
            </w:tcBorders>
            <w:hideMark/>
          </w:tcPr>
          <w:p w14:paraId="6D73A17E" w14:textId="77777777" w:rsidR="00920B79" w:rsidRPr="00920B79" w:rsidRDefault="00920B79" w:rsidP="00920B79">
            <w:pPr>
              <w:spacing w:after="200" w:line="276" w:lineRule="auto"/>
            </w:pPr>
            <w:r w:rsidRPr="00920B79">
              <w:t>79.1</w:t>
            </w:r>
          </w:p>
        </w:tc>
        <w:tc>
          <w:tcPr>
            <w:tcW w:w="1728" w:type="dxa"/>
            <w:tcBorders>
              <w:top w:val="single" w:sz="4" w:space="0" w:color="auto"/>
              <w:left w:val="single" w:sz="4" w:space="0" w:color="auto"/>
              <w:bottom w:val="single" w:sz="4" w:space="0" w:color="auto"/>
              <w:right w:val="single" w:sz="4" w:space="0" w:color="auto"/>
            </w:tcBorders>
            <w:hideMark/>
          </w:tcPr>
          <w:p w14:paraId="08074AD3" w14:textId="77777777" w:rsidR="00920B79" w:rsidRPr="00920B79" w:rsidRDefault="00920B79" w:rsidP="00920B79">
            <w:pPr>
              <w:spacing w:after="200" w:line="276" w:lineRule="auto"/>
            </w:pPr>
            <w:r w:rsidRPr="00920B79">
              <w:t>68.3</w:t>
            </w:r>
          </w:p>
        </w:tc>
        <w:tc>
          <w:tcPr>
            <w:tcW w:w="1728" w:type="dxa"/>
            <w:tcBorders>
              <w:top w:val="single" w:sz="4" w:space="0" w:color="auto"/>
              <w:left w:val="single" w:sz="4" w:space="0" w:color="auto"/>
              <w:bottom w:val="single" w:sz="4" w:space="0" w:color="auto"/>
              <w:right w:val="single" w:sz="4" w:space="0" w:color="auto"/>
            </w:tcBorders>
            <w:hideMark/>
          </w:tcPr>
          <w:p w14:paraId="1ACE316F" w14:textId="77777777" w:rsidR="00920B79" w:rsidRPr="00920B79" w:rsidRDefault="00920B79" w:rsidP="00920B79">
            <w:pPr>
              <w:spacing w:after="200" w:line="276" w:lineRule="auto"/>
            </w:pPr>
            <w:r w:rsidRPr="00920B79">
              <w:t>4.64</w:t>
            </w:r>
          </w:p>
        </w:tc>
      </w:tr>
      <w:tr w:rsidR="00920B79" w:rsidRPr="00920B79" w14:paraId="0294F578" w14:textId="77777777">
        <w:tc>
          <w:tcPr>
            <w:tcW w:w="1728" w:type="dxa"/>
            <w:tcBorders>
              <w:top w:val="single" w:sz="4" w:space="0" w:color="auto"/>
              <w:left w:val="single" w:sz="4" w:space="0" w:color="auto"/>
              <w:bottom w:val="single" w:sz="4" w:space="0" w:color="auto"/>
              <w:right w:val="single" w:sz="4" w:space="0" w:color="auto"/>
            </w:tcBorders>
            <w:hideMark/>
          </w:tcPr>
          <w:p w14:paraId="25EFF3B9" w14:textId="77777777" w:rsidR="00920B79" w:rsidRPr="00920B79" w:rsidRDefault="00920B79" w:rsidP="00920B79">
            <w:pPr>
              <w:spacing w:after="200" w:line="276" w:lineRule="auto"/>
            </w:pPr>
            <w:r w:rsidRPr="00920B79">
              <w:t>External Test B</w:t>
            </w:r>
          </w:p>
        </w:tc>
        <w:tc>
          <w:tcPr>
            <w:tcW w:w="1728" w:type="dxa"/>
            <w:tcBorders>
              <w:top w:val="single" w:sz="4" w:space="0" w:color="auto"/>
              <w:left w:val="single" w:sz="4" w:space="0" w:color="auto"/>
              <w:bottom w:val="single" w:sz="4" w:space="0" w:color="auto"/>
              <w:right w:val="single" w:sz="4" w:space="0" w:color="auto"/>
            </w:tcBorders>
            <w:hideMark/>
          </w:tcPr>
          <w:p w14:paraId="0165C106" w14:textId="77777777" w:rsidR="00920B79" w:rsidRPr="00920B79" w:rsidRDefault="00920B79" w:rsidP="00920B79">
            <w:pPr>
              <w:spacing w:after="200" w:line="276" w:lineRule="auto"/>
            </w:pPr>
            <w:r w:rsidRPr="00920B79">
              <w:t>53.1</w:t>
            </w:r>
          </w:p>
        </w:tc>
        <w:tc>
          <w:tcPr>
            <w:tcW w:w="1728" w:type="dxa"/>
            <w:tcBorders>
              <w:top w:val="single" w:sz="4" w:space="0" w:color="auto"/>
              <w:left w:val="single" w:sz="4" w:space="0" w:color="auto"/>
              <w:bottom w:val="single" w:sz="4" w:space="0" w:color="auto"/>
              <w:right w:val="single" w:sz="4" w:space="0" w:color="auto"/>
            </w:tcBorders>
            <w:hideMark/>
          </w:tcPr>
          <w:p w14:paraId="37AABB3A" w14:textId="77777777" w:rsidR="00920B79" w:rsidRPr="00920B79" w:rsidRDefault="00920B79" w:rsidP="00920B79">
            <w:pPr>
              <w:spacing w:after="200" w:line="276" w:lineRule="auto"/>
            </w:pPr>
            <w:r w:rsidRPr="00920B79">
              <w:t>77.2</w:t>
            </w:r>
          </w:p>
        </w:tc>
        <w:tc>
          <w:tcPr>
            <w:tcW w:w="1728" w:type="dxa"/>
            <w:tcBorders>
              <w:top w:val="single" w:sz="4" w:space="0" w:color="auto"/>
              <w:left w:val="single" w:sz="4" w:space="0" w:color="auto"/>
              <w:bottom w:val="single" w:sz="4" w:space="0" w:color="auto"/>
              <w:right w:val="single" w:sz="4" w:space="0" w:color="auto"/>
            </w:tcBorders>
            <w:hideMark/>
          </w:tcPr>
          <w:p w14:paraId="2BDD74D1" w14:textId="77777777" w:rsidR="00920B79" w:rsidRPr="00920B79" w:rsidRDefault="00920B79" w:rsidP="00920B79">
            <w:pPr>
              <w:spacing w:after="200" w:line="276" w:lineRule="auto"/>
            </w:pPr>
            <w:r w:rsidRPr="00920B79">
              <w:t>64.5</w:t>
            </w:r>
          </w:p>
        </w:tc>
        <w:tc>
          <w:tcPr>
            <w:tcW w:w="1728" w:type="dxa"/>
            <w:tcBorders>
              <w:top w:val="single" w:sz="4" w:space="0" w:color="auto"/>
              <w:left w:val="single" w:sz="4" w:space="0" w:color="auto"/>
              <w:bottom w:val="single" w:sz="4" w:space="0" w:color="auto"/>
              <w:right w:val="single" w:sz="4" w:space="0" w:color="auto"/>
            </w:tcBorders>
            <w:hideMark/>
          </w:tcPr>
          <w:p w14:paraId="69D74593" w14:textId="77777777" w:rsidR="00920B79" w:rsidRPr="00920B79" w:rsidRDefault="00920B79" w:rsidP="00920B79">
            <w:pPr>
              <w:spacing w:after="200" w:line="276" w:lineRule="auto"/>
            </w:pPr>
            <w:r w:rsidRPr="00920B79">
              <w:t>5.15</w:t>
            </w:r>
          </w:p>
        </w:tc>
      </w:tr>
    </w:tbl>
    <w:p w14:paraId="590EC828" w14:textId="76FA60B3" w:rsidR="00920B79" w:rsidRDefault="00920B79" w:rsidP="00920B79">
      <w:r w:rsidRPr="00920B79">
        <w:t>Note: ↑ indicates higher values are better; ↓ indicates lower values are better.</w:t>
      </w:r>
    </w:p>
    <w:p w14:paraId="060655A7" w14:textId="77777777" w:rsidR="00790F44" w:rsidRDefault="00000000">
      <w:pPr>
        <w:pStyle w:val="Heading1"/>
      </w:pPr>
      <w:r>
        <w:t>7. Strengths and Limitations</w:t>
      </w:r>
    </w:p>
    <w:p w14:paraId="44D07621" w14:textId="77777777" w:rsidR="00920B79" w:rsidRDefault="00000000">
      <w:r>
        <w:t>Strengths:</w:t>
      </w:r>
      <w:r>
        <w:br/>
        <w:t>- Large multi-center dataset improves model generalization.</w:t>
      </w:r>
      <w:r>
        <w:br/>
        <w:t>- No manual preprocessing is required.</w:t>
      </w:r>
      <w:r>
        <w:br/>
        <w:t>- Clinical validation demonstrates real-world applicability.</w:t>
      </w:r>
    </w:p>
    <w:p w14:paraId="3C10A615" w14:textId="7E5CAFC8" w:rsidR="00790F44" w:rsidRDefault="00000000">
      <w:r>
        <w:lastRenderedPageBreak/>
        <w:br/>
      </w:r>
      <w:r>
        <w:br/>
        <w:t>Limitations:</w:t>
      </w:r>
      <w:r>
        <w:br/>
        <w:t>- Only CTA data was used; not validated on MRA/DSA.</w:t>
      </w:r>
      <w:r>
        <w:br/>
        <w:t>- Slight performance drop on external datasets with different resolutions.</w:t>
      </w:r>
      <w:r>
        <w:br/>
        <w:t>- Does not address aneurysm rupture risk prediction.</w:t>
      </w:r>
    </w:p>
    <w:p w14:paraId="65C0593B" w14:textId="77777777" w:rsidR="00790F44" w:rsidRDefault="00000000">
      <w:pPr>
        <w:pStyle w:val="Heading1"/>
      </w:pPr>
      <w:r>
        <w:t>8. Relevance to Project</w:t>
      </w:r>
    </w:p>
    <w:p w14:paraId="1F2C11F7" w14:textId="77777777" w:rsidR="00790F44" w:rsidRDefault="00000000">
      <w:r>
        <w:t>This paper provides an excellent foundation for intracranial aneurysm detection and segmentation projects. The dataset, architecture, and evaluation strategy can be adapted for further research. In particular, GLIA-Net demonstrates how combining global and local context can improve segmentation of small, complex vascular structures.</w:t>
      </w:r>
    </w:p>
    <w:p w14:paraId="78B9E8EC" w14:textId="77777777" w:rsidR="00790F44" w:rsidRDefault="00000000">
      <w:pPr>
        <w:pStyle w:val="Heading1"/>
      </w:pPr>
      <w:r>
        <w:t>9. References</w:t>
      </w:r>
    </w:p>
    <w:p w14:paraId="0F29AEC8" w14:textId="77777777" w:rsidR="00790F44" w:rsidRDefault="00000000">
      <w:r>
        <w:t>Bo, Z.-H., Qiao, H., Tian, C., et al. (2021). Toward human intervention-free clinical diagnosis of intracranial aneurysm via deep neural network. Patterns, 2(2), 100197.</w:t>
      </w:r>
      <w:r>
        <w:br/>
        <w:t xml:space="preserve">Park, A., et al. (2019). Deep learning-assisted diagnosis of cerebral aneurysms using </w:t>
      </w:r>
      <w:proofErr w:type="spellStart"/>
      <w:r>
        <w:t>HeadXNet</w:t>
      </w:r>
      <w:proofErr w:type="spellEnd"/>
      <w:r>
        <w:t>. JAMA Network Open, 2(6</w:t>
      </w:r>
      <w:proofErr w:type="gramStart"/>
      <w:r>
        <w:t>):e</w:t>
      </w:r>
      <w:proofErr w:type="gramEnd"/>
      <w:r>
        <w:t>195600.</w:t>
      </w:r>
      <w:r>
        <w:br/>
      </w:r>
      <w:proofErr w:type="spellStart"/>
      <w:r>
        <w:t>Ronneberger</w:t>
      </w:r>
      <w:proofErr w:type="spellEnd"/>
      <w:r>
        <w:t>, O., Fischer, P., &amp; Brox, T. (2015). U-Net: Convolutional networks for biomedical image segmentation.</w:t>
      </w:r>
    </w:p>
    <w:sectPr w:rsidR="00790F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047717">
    <w:abstractNumId w:val="8"/>
  </w:num>
  <w:num w:numId="2" w16cid:durableId="1755469073">
    <w:abstractNumId w:val="6"/>
  </w:num>
  <w:num w:numId="3" w16cid:durableId="1067193825">
    <w:abstractNumId w:val="5"/>
  </w:num>
  <w:num w:numId="4" w16cid:durableId="1174883011">
    <w:abstractNumId w:val="4"/>
  </w:num>
  <w:num w:numId="5" w16cid:durableId="560101243">
    <w:abstractNumId w:val="7"/>
  </w:num>
  <w:num w:numId="6" w16cid:durableId="728191491">
    <w:abstractNumId w:val="3"/>
  </w:num>
  <w:num w:numId="7" w16cid:durableId="1708867593">
    <w:abstractNumId w:val="2"/>
  </w:num>
  <w:num w:numId="8" w16cid:durableId="922303737">
    <w:abstractNumId w:val="1"/>
  </w:num>
  <w:num w:numId="9" w16cid:durableId="417605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4A2"/>
    <w:rsid w:val="000F5E9D"/>
    <w:rsid w:val="0015074B"/>
    <w:rsid w:val="0029639D"/>
    <w:rsid w:val="00326F90"/>
    <w:rsid w:val="00790F44"/>
    <w:rsid w:val="008504CB"/>
    <w:rsid w:val="00920B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03980"/>
  <w14:defaultImageDpi w14:val="300"/>
  <w15:docId w15:val="{20FF3D50-2695-4C00-BD53-0B0E38BFB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Muhammed Rayan</cp:lastModifiedBy>
  <cp:revision>2</cp:revision>
  <dcterms:created xsi:type="dcterms:W3CDTF">2025-10-05T11:50:00Z</dcterms:created>
  <dcterms:modified xsi:type="dcterms:W3CDTF">2025-10-05T11:50:00Z</dcterms:modified>
  <cp:category/>
</cp:coreProperties>
</file>