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КТ 4. Итоговая: полный DevOps-цикл</w:t>
      </w:r>
    </w:p>
    <w:p>
      <w:r>
        <w:t>Мхитарян Тигран, ИСП9-Х36</w:t>
      </w:r>
    </w:p>
    <w:p>
      <w:r>
        <w:rPr>
          <w:b w:val="0"/>
        </w:rPr>
        <w:t>Репозиторий: https://github.com/Mhitaryan-Tigran/devops-final. Образ: ghcr.io/mhitaryan-tigran/devops-final (linux/amd64 и linux/arm64). Docker и Docker Compose на macOS (colima), Ansible — в виртуальной машине Ubuntu 26.04 LTS (Lima).</w:t>
      </w:r>
    </w:p>
    <w:p>
      <w:pPr>
        <w:pStyle w:val="Heading1"/>
      </w:pPr>
      <w:r>
        <w:t>Часть 1. Приложение и Docker</w:t>
      </w:r>
    </w:p>
    <w:p>
      <w:pPr>
        <w:pStyle w:val="Heading2"/>
      </w:pPr>
      <w:r>
        <w:t>Репозиторий и ветка develop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514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p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51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Приложение</w:t>
      </w:r>
    </w:p>
    <w:p>
      <w:r>
        <w:rPr>
          <w:b w:val="0"/>
        </w:rPr>
        <w:t>GET / → «DevOps Final Project», GET /health → {"status":"ok"}, GET /metrics — метрики Prometheus через prom-client: collectDefaultMetrics и счётчик http_requests_total с метками method, route, status.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6011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p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01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Тесты и ESLint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8841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es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84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Dockerfile, .dockerignore, prometheus.yml, docker-compose.yml</w:t>
      </w:r>
    </w:p>
    <w:p>
      <w:r>
        <w:rPr>
          <w:b w:val="0"/>
        </w:rPr>
        <w:t>В Dockerfile сначала копируются только package.json и package-lock.json и выполняется npm ci, затем код: при изменении кода слой с зависимостями берётся из кэша. В compose три сервиса: app, prometheus и grafana на порту 3001; источник данных Prometheus подключается к Grafana автоматически через provisioning.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7511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ocker-fi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751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docker compose up -d: все три маршрута отвечают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401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t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40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Prometheus видит цель app — UP, Grafana работает и подключена к Prometheus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6733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rometheus-grafan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7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Status → Targets в Prometheus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rometheus-targe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Источник данных Prometheus в Grafana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grafana-datasour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Часть 2. CI/CD pipeline</w:t>
      </w:r>
    </w:p>
    <w:p>
      <w:pPr>
        <w:pStyle w:val="Heading2"/>
      </w:pPr>
      <w:r>
        <w:t>Branch protection для main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1122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ote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12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Workflow ci-cd.yml, пуш в develop, PR в main</w:t>
      </w:r>
    </w:p>
    <w:p>
      <w:r>
        <w:rPr>
          <w:b w:val="0"/>
        </w:rPr>
        <w:t>lint на push и pull_request в main и develop; test зависит от lint, сервисный контейнер postgres:16-alpine с health check; build-and-push зависит от test и выполняется только при пуше в main, публикует образ в ghcr.io с тегами latest и SHA коммита.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3172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317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lint и test прошли, PR смержен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3951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er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95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build-and-push на main, образ в GHCR с двумя тегами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8740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ghc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87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Страница пакета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5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pack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Вкладка Actions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5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action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Часть 3. Ansible</w:t>
      </w:r>
    </w:p>
    <w:p>
      <w:pPr>
        <w:pStyle w:val="Heading2"/>
      </w:pPr>
      <w:r>
        <w:t>inventory.ini и deploy.yml</w:t>
      </w:r>
    </w:p>
    <w:p>
      <w:r>
        <w:rPr>
          <w:b w:val="0"/>
        </w:rPr>
        <w:t>Плейбук на localhost: проверяет docker --version и ставит docker.io и docker-compose-v2, только если Docker нет; запускает службу; создаёт /opt/devops-final; копирует docker-compose.yml, prometheus.yml и настройку источника данных Grafana; выполняет docker compose up -d в /opt/devops-final.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06786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nsible-fil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67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Первый запуск: Docker установлен, стек поднят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2262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deploy-fir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2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Стек работает в /opt/devops-final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5144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deploy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51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Повторный запуск: changed=0 — идемпотентность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32196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deploy-secon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2196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