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33885944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3885945" w14:textId="5FED5AA4" w:rsidR="0051344D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4587C376" w14:textId="773CB044" w:rsidR="00993AF4" w:rsidRPr="001B6089" w:rsidRDefault="00330C09" w:rsidP="00DC46F5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T</w:t>
      </w:r>
      <w:r w:rsidR="00206603">
        <w:rPr>
          <w:rFonts w:cstheme="minorHAnsi"/>
        </w:rPr>
        <w:t>riaged by</w:t>
      </w:r>
      <w:r w:rsidR="00144DB8">
        <w:rPr>
          <w:rFonts w:cstheme="minorHAnsi"/>
        </w:rPr>
        <w:t xml:space="preserve"> Clinical Assessment Service</w:t>
      </w:r>
      <w:r w:rsidR="00206603">
        <w:rPr>
          <w:rFonts w:cstheme="minorHAnsi"/>
        </w:rPr>
        <w:t xml:space="preserve"> clinician</w:t>
      </w:r>
      <w:r>
        <w:rPr>
          <w:rFonts w:cstheme="minorHAnsi"/>
        </w:rPr>
        <w:t xml:space="preserve"> after referral to Single Point of Access for Mental Health</w:t>
      </w:r>
    </w:p>
    <w:p w14:paraId="33885947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29F0C4C0" w14:textId="77777777" w:rsidR="00144DB8" w:rsidRDefault="00144DB8" w:rsidP="006D07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669AC2" w14:textId="69463BFA" w:rsidR="00206603" w:rsidRDefault="00144DB8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206603">
        <w:rPr>
          <w:rFonts w:ascii="Calibri" w:hAnsi="Calibri" w:cs="Calibri"/>
        </w:rPr>
        <w:t xml:space="preserve"> patient is referred via Single Point of Access</w:t>
      </w:r>
      <w:r w:rsidR="00330C09">
        <w:rPr>
          <w:rFonts w:ascii="Calibri" w:hAnsi="Calibri" w:cs="Calibri"/>
        </w:rPr>
        <w:t xml:space="preserve"> (SPA)</w:t>
      </w:r>
      <w:r>
        <w:rPr>
          <w:rFonts w:ascii="Calibri" w:hAnsi="Calibri" w:cs="Calibri"/>
        </w:rPr>
        <w:t xml:space="preserve"> and</w:t>
      </w:r>
      <w:r w:rsidR="00206603">
        <w:rPr>
          <w:rFonts w:ascii="Calibri" w:hAnsi="Calibri" w:cs="Calibri"/>
        </w:rPr>
        <w:t xml:space="preserve"> it has not been indicated which service is required, t</w:t>
      </w:r>
      <w:r>
        <w:rPr>
          <w:rFonts w:ascii="Calibri" w:hAnsi="Calibri" w:cs="Calibri"/>
        </w:rPr>
        <w:t>hen</w:t>
      </w:r>
      <w:r w:rsidR="00206603">
        <w:rPr>
          <w:rFonts w:ascii="Calibri" w:hAnsi="Calibri" w:cs="Calibri"/>
        </w:rPr>
        <w:t xml:space="preserve"> the referral is passed to the</w:t>
      </w:r>
      <w:r w:rsidR="00330C09" w:rsidRPr="00330C09">
        <w:rPr>
          <w:rFonts w:ascii="Calibri" w:hAnsi="Calibri" w:cs="Calibri"/>
        </w:rPr>
        <w:t xml:space="preserve"> </w:t>
      </w:r>
      <w:r w:rsidR="00330C09">
        <w:rPr>
          <w:rFonts w:ascii="Calibri" w:hAnsi="Calibri" w:cs="Calibri"/>
        </w:rPr>
        <w:t>Clinical Assessment Service</w:t>
      </w:r>
      <w:r w:rsidR="00206603">
        <w:rPr>
          <w:rFonts w:ascii="Calibri" w:hAnsi="Calibri" w:cs="Calibri"/>
        </w:rPr>
        <w:t xml:space="preserve"> </w:t>
      </w:r>
      <w:r w:rsidR="00330C09">
        <w:rPr>
          <w:rFonts w:ascii="Calibri" w:hAnsi="Calibri" w:cs="Calibri"/>
        </w:rPr>
        <w:t>(</w:t>
      </w:r>
      <w:r w:rsidR="00206603">
        <w:rPr>
          <w:rFonts w:ascii="Calibri" w:hAnsi="Calibri" w:cs="Calibri"/>
        </w:rPr>
        <w:t>CAS</w:t>
      </w:r>
      <w:r w:rsidR="00330C09">
        <w:rPr>
          <w:rFonts w:ascii="Calibri" w:hAnsi="Calibri" w:cs="Calibri"/>
        </w:rPr>
        <w:t>)</w:t>
      </w:r>
      <w:r w:rsidR="00206603">
        <w:rPr>
          <w:rFonts w:ascii="Calibri" w:hAnsi="Calibri" w:cs="Calibri"/>
        </w:rPr>
        <w:t xml:space="preserve"> team to triage</w:t>
      </w:r>
      <w:r>
        <w:rPr>
          <w:rFonts w:ascii="Calibri" w:hAnsi="Calibri" w:cs="Calibri"/>
        </w:rPr>
        <w:t>.</w:t>
      </w:r>
    </w:p>
    <w:p w14:paraId="4B56B816" w14:textId="618653D6" w:rsidR="00206603" w:rsidRDefault="00206603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330C09">
        <w:rPr>
          <w:rFonts w:ascii="Calibri" w:hAnsi="Calibri" w:cs="Calibri"/>
        </w:rPr>
        <w:t>CAS</w:t>
      </w:r>
      <w:r>
        <w:rPr>
          <w:rFonts w:ascii="Calibri" w:hAnsi="Calibri" w:cs="Calibri"/>
        </w:rPr>
        <w:t xml:space="preserve"> clinician triaging the referral will have full access to the patient’s GP record to ensure that the referral is directed to the correct Mental </w:t>
      </w:r>
      <w:r w:rsidR="00144DB8">
        <w:rPr>
          <w:rFonts w:ascii="Calibri" w:hAnsi="Calibri" w:cs="Calibri"/>
        </w:rPr>
        <w:t>H</w:t>
      </w:r>
      <w:r>
        <w:rPr>
          <w:rFonts w:ascii="Calibri" w:hAnsi="Calibri" w:cs="Calibri"/>
        </w:rPr>
        <w:t>ealth service</w:t>
      </w:r>
      <w:r w:rsidR="00D35986">
        <w:rPr>
          <w:rFonts w:ascii="Calibri" w:hAnsi="Calibri" w:cs="Calibri"/>
        </w:rPr>
        <w:t>.</w:t>
      </w:r>
    </w:p>
    <w:p w14:paraId="3388594B" w14:textId="77777777" w:rsidR="006D0728" w:rsidRPr="00AD0D05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C" w14:textId="77777777" w:rsidR="00CC1E2B" w:rsidRPr="003E166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E166B">
        <w:rPr>
          <w:rFonts w:cstheme="minorHAnsi"/>
          <w:b/>
        </w:rPr>
        <w:t>Use Case Justification:</w:t>
      </w:r>
    </w:p>
    <w:p w14:paraId="3388594D" w14:textId="0588A1B5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65B03F72" w14:textId="77777777" w:rsidR="00206603" w:rsidRPr="00AD0D05" w:rsidRDefault="00206603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E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Clinical and Administration:</w:t>
      </w:r>
    </w:p>
    <w:p w14:paraId="3388594F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Access to accurate information at the point of care reducing the opportunity for errors to occur.</w:t>
      </w:r>
    </w:p>
    <w:p w14:paraId="33885951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collecting and collating information.</w:t>
      </w:r>
    </w:p>
    <w:p w14:paraId="33885952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manually updating IT systems.</w:t>
      </w:r>
    </w:p>
    <w:p w14:paraId="33885953" w14:textId="7E6B7420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Reducing the paper flow through departments</w:t>
      </w:r>
      <w:r w:rsidR="009711EC">
        <w:rPr>
          <w:rFonts w:cstheme="minorHAnsi"/>
        </w:rPr>
        <w:t>/organisations</w:t>
      </w:r>
      <w:r w:rsidRPr="003E166B">
        <w:rPr>
          <w:rFonts w:cstheme="minorHAnsi"/>
        </w:rPr>
        <w:t xml:space="preserve"> by utilising the systems workflow to manage tasks using staff time efficiently.</w:t>
      </w:r>
    </w:p>
    <w:p w14:paraId="33885954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Patient Focused:</w:t>
      </w:r>
    </w:p>
    <w:p w14:paraId="33885955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6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3885957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safety due to the reduction in manual transcription errors.</w:t>
      </w:r>
    </w:p>
    <w:p w14:paraId="33885958" w14:textId="583106B9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Better patient experience as they are not being asked for information which should already be available to the clinician.</w:t>
      </w:r>
    </w:p>
    <w:p w14:paraId="74BEA7F1" w14:textId="77777777" w:rsidR="00BF7CFA" w:rsidRDefault="00BF7CFA" w:rsidP="0051344D">
      <w:pPr>
        <w:rPr>
          <w:rFonts w:cstheme="minorHAnsi"/>
          <w:b/>
        </w:rPr>
      </w:pPr>
    </w:p>
    <w:p w14:paraId="3388595B" w14:textId="7ECF60B9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73FE671B" w14:textId="77777777" w:rsidR="00415C59" w:rsidRDefault="00415C59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CAS Team</w:t>
      </w:r>
    </w:p>
    <w:p w14:paraId="608C7B90" w14:textId="0E3A7746" w:rsidR="00BF7CFA" w:rsidRDefault="00322B3D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PARIS </w:t>
      </w:r>
      <w:r w:rsidR="00BF7CFA">
        <w:rPr>
          <w:rFonts w:cstheme="minorHAnsi"/>
        </w:rPr>
        <w:t>System</w:t>
      </w:r>
    </w:p>
    <w:p w14:paraId="3388595E" w14:textId="6211D104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</w:t>
      </w:r>
    </w:p>
    <w:p w14:paraId="3388595F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33885960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2" w14:textId="4E2099E2" w:rsidR="00147F34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53BC4C1E" w14:textId="77777777" w:rsidR="007039DA" w:rsidRPr="007039DA" w:rsidRDefault="007039DA" w:rsidP="00DC46F5">
      <w:pPr>
        <w:spacing w:after="0" w:line="240" w:lineRule="auto"/>
        <w:rPr>
          <w:rFonts w:cstheme="minorHAnsi"/>
          <w:b/>
        </w:rPr>
      </w:pPr>
    </w:p>
    <w:p w14:paraId="33885963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3885964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lastRenderedPageBreak/>
        <w:t>Triggers:</w:t>
      </w:r>
    </w:p>
    <w:p w14:paraId="33885967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33885969" w14:textId="6F94329C" w:rsidR="00BB5EEF" w:rsidRDefault="00993AF4" w:rsidP="00BB5EE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Patient is </w:t>
      </w:r>
      <w:r w:rsidR="00322B3D">
        <w:rPr>
          <w:rFonts w:cstheme="minorHAnsi"/>
        </w:rPr>
        <w:t>referred to Mental health services using the Single Point of Access services</w:t>
      </w:r>
      <w:r w:rsidR="00415C59">
        <w:rPr>
          <w:rFonts w:cstheme="minorHAnsi"/>
        </w:rPr>
        <w:t>, a service is not identified</w:t>
      </w:r>
      <w:r w:rsidR="00144DB8">
        <w:rPr>
          <w:rFonts w:cstheme="minorHAnsi"/>
        </w:rPr>
        <w:t>.</w:t>
      </w:r>
    </w:p>
    <w:p w14:paraId="065B58D9" w14:textId="77777777" w:rsidR="00B31194" w:rsidRPr="00BB5EEF" w:rsidRDefault="00B31194" w:rsidP="00BB5EEF">
      <w:pPr>
        <w:spacing w:after="0" w:line="240" w:lineRule="auto"/>
      </w:pPr>
    </w:p>
    <w:p w14:paraId="3388596A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388596B" w14:textId="77777777" w:rsidR="00043FA7" w:rsidRDefault="00043FA7" w:rsidP="00DC46F5">
      <w:pPr>
        <w:spacing w:after="0" w:line="240" w:lineRule="auto"/>
      </w:pPr>
    </w:p>
    <w:p w14:paraId="3388596C" w14:textId="3F7B6248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the </w:t>
      </w:r>
      <w:r w:rsidR="000D42A0">
        <w:t xml:space="preserve">PARIS </w:t>
      </w:r>
      <w:r w:rsidR="00FF6ACB">
        <w:t>system</w:t>
      </w:r>
      <w:r>
        <w:t>.</w:t>
      </w:r>
    </w:p>
    <w:p w14:paraId="3388596D" w14:textId="3AD0C5AA" w:rsidR="006D0728" w:rsidRDefault="00415C59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CAS</w:t>
      </w:r>
      <w:r w:rsidR="000D42A0">
        <w:t xml:space="preserve"> staff </w:t>
      </w:r>
      <w:r w:rsidR="006D0728">
        <w:t>have the correct / appropriate system access rights.</w:t>
      </w:r>
    </w:p>
    <w:p w14:paraId="3388596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388596F" w14:textId="62C2DBD8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767403">
        <w:t>GP</w:t>
      </w:r>
      <w:r>
        <w:t xml:space="preserve"> staff.</w:t>
      </w:r>
    </w:p>
    <w:p w14:paraId="33885970" w14:textId="299A520A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415C59">
        <w:t xml:space="preserve">PARIS </w:t>
      </w:r>
      <w:r w:rsidR="00BF7CFA">
        <w:t xml:space="preserve">system </w:t>
      </w:r>
      <w:r>
        <w:t>/ GP Connect / GP Clinical System have been correctly configured.</w:t>
      </w:r>
    </w:p>
    <w:p w14:paraId="33885972" w14:textId="77777777" w:rsidR="00AB60ED" w:rsidRDefault="00AB60ED" w:rsidP="00AB60ED">
      <w:pPr>
        <w:spacing w:after="0" w:line="240" w:lineRule="auto"/>
      </w:pPr>
    </w:p>
    <w:p w14:paraId="3388597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3885974" w14:textId="77777777" w:rsidR="00043FA7" w:rsidRDefault="00043FA7" w:rsidP="00DC46F5">
      <w:pPr>
        <w:spacing w:after="0" w:line="240" w:lineRule="auto"/>
      </w:pPr>
    </w:p>
    <w:p w14:paraId="33885975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33885976" w14:textId="77777777" w:rsidR="00AB60ED" w:rsidRPr="007D1D90" w:rsidRDefault="00AB60ED" w:rsidP="007D1D90">
      <w:pPr>
        <w:pStyle w:val="ListParagraph"/>
        <w:rPr>
          <w:i/>
        </w:rPr>
      </w:pPr>
    </w:p>
    <w:p w14:paraId="33885977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33885978" w14:textId="6004D91B" w:rsidR="00AF4DBF" w:rsidRPr="00AF4DBF" w:rsidRDefault="00FF6ACB" w:rsidP="00AF4DBF">
      <w:pPr>
        <w:pStyle w:val="ListParagraph"/>
        <w:numPr>
          <w:ilvl w:val="1"/>
          <w:numId w:val="1"/>
        </w:numPr>
      </w:pPr>
      <w:r>
        <w:t xml:space="preserve">All the relevant available information on the patient’s medical history has been </w:t>
      </w:r>
      <w:r w:rsidR="00767403">
        <w:t xml:space="preserve">viewable on the </w:t>
      </w:r>
      <w:r w:rsidR="000D42A0">
        <w:t>PARIS</w:t>
      </w:r>
      <w:r w:rsidR="00B86342">
        <w:t xml:space="preserve"> </w:t>
      </w:r>
      <w:r w:rsidR="00BF7CFA">
        <w:t xml:space="preserve">system used by </w:t>
      </w:r>
      <w:r w:rsidR="00EA59EB">
        <w:t xml:space="preserve">the </w:t>
      </w:r>
      <w:r w:rsidR="00415C59">
        <w:t xml:space="preserve">CAS </w:t>
      </w:r>
      <w:r w:rsidR="000D42A0">
        <w:t>team</w:t>
      </w:r>
      <w:r w:rsidR="00415C59">
        <w:t xml:space="preserve"> to triage the referral to the correct service.</w:t>
      </w:r>
    </w:p>
    <w:p w14:paraId="3388597E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388598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3885981" w14:textId="77777777" w:rsidR="00334637" w:rsidRPr="008E3354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best case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>Are the any alternate routes that can be</w:t>
      </w:r>
      <w:r w:rsidR="00334637" w:rsidRPr="008E3354">
        <w:rPr>
          <w:i/>
        </w:rPr>
        <w:t xml:space="preserve"> taken? Describe Error Conditions or what happens when a failure occurs in the flow}</w:t>
      </w:r>
    </w:p>
    <w:p w14:paraId="33885982" w14:textId="77777777" w:rsidR="00334637" w:rsidRPr="008E3354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7526"/>
      </w:tblGrid>
      <w:tr w:rsidR="008E3354" w:rsidRPr="008E3354" w14:paraId="33885985" w14:textId="77777777" w:rsidTr="00277CEF">
        <w:tc>
          <w:tcPr>
            <w:tcW w:w="1490" w:type="dxa"/>
          </w:tcPr>
          <w:p w14:paraId="33885983" w14:textId="777777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1</w:t>
            </w:r>
          </w:p>
        </w:tc>
        <w:tc>
          <w:tcPr>
            <w:tcW w:w="7526" w:type="dxa"/>
          </w:tcPr>
          <w:p w14:paraId="33885984" w14:textId="42A6DDEE" w:rsidR="006B5A8F" w:rsidRPr="008E3354" w:rsidRDefault="00B7471A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Patient is referred to mental health via the Single point of access process</w:t>
            </w:r>
          </w:p>
        </w:tc>
      </w:tr>
      <w:tr w:rsidR="00F85DF3" w:rsidRPr="008E3354" w14:paraId="4BD81C59" w14:textId="77777777" w:rsidTr="00277CEF">
        <w:tc>
          <w:tcPr>
            <w:tcW w:w="1490" w:type="dxa"/>
          </w:tcPr>
          <w:p w14:paraId="131FC770" w14:textId="71FEB0F6" w:rsidR="00F85DF3" w:rsidRPr="008E3354" w:rsidRDefault="00F85DF3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  <w:tc>
          <w:tcPr>
            <w:tcW w:w="7526" w:type="dxa"/>
          </w:tcPr>
          <w:p w14:paraId="4532E06A" w14:textId="47BBA6DD" w:rsidR="002C5D3E" w:rsidRPr="00EA59EB" w:rsidRDefault="00B45E89" w:rsidP="00D11001">
            <w:pPr>
              <w:spacing w:after="160" w:line="259" w:lineRule="auto"/>
            </w:pPr>
            <w:r>
              <w:t xml:space="preserve">No specific service </w:t>
            </w:r>
            <w:r w:rsidR="00144DB8">
              <w:t>is</w:t>
            </w:r>
            <w:r>
              <w:t xml:space="preserve"> identified by the referrer</w:t>
            </w:r>
          </w:p>
        </w:tc>
      </w:tr>
      <w:tr w:rsidR="00B45E89" w:rsidRPr="008E3354" w14:paraId="5D042692" w14:textId="77777777" w:rsidTr="00277CEF">
        <w:tc>
          <w:tcPr>
            <w:tcW w:w="1490" w:type="dxa"/>
          </w:tcPr>
          <w:p w14:paraId="49FBA502" w14:textId="35F8422E" w:rsidR="00B45E89" w:rsidRDefault="00B45E89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3</w:t>
            </w:r>
          </w:p>
        </w:tc>
        <w:tc>
          <w:tcPr>
            <w:tcW w:w="7526" w:type="dxa"/>
          </w:tcPr>
          <w:p w14:paraId="55F61804" w14:textId="57DA4000" w:rsidR="00B45E89" w:rsidRDefault="00B45E89" w:rsidP="00D11001">
            <w:pPr>
              <w:spacing w:after="160" w:line="259" w:lineRule="auto"/>
            </w:pPr>
            <w:r>
              <w:t>Referral is passed onto CAS to triage</w:t>
            </w:r>
          </w:p>
        </w:tc>
      </w:tr>
      <w:tr w:rsidR="008E3354" w:rsidRPr="008E3354" w14:paraId="33885988" w14:textId="77777777" w:rsidTr="00277CEF">
        <w:tc>
          <w:tcPr>
            <w:tcW w:w="1490" w:type="dxa"/>
          </w:tcPr>
          <w:p w14:paraId="33885986" w14:textId="4233F86B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B45E89">
              <w:rPr>
                <w:rFonts w:cstheme="minorHAnsi"/>
              </w:rPr>
              <w:t>4</w:t>
            </w:r>
          </w:p>
        </w:tc>
        <w:tc>
          <w:tcPr>
            <w:tcW w:w="7526" w:type="dxa"/>
          </w:tcPr>
          <w:p w14:paraId="33885987" w14:textId="67CDDF1B" w:rsidR="006B5A8F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The </w:t>
            </w:r>
            <w:r w:rsidR="00B45E89">
              <w:rPr>
                <w:rFonts w:cstheme="minorHAnsi"/>
              </w:rPr>
              <w:t>CAS clinician</w:t>
            </w:r>
            <w:r w:rsidR="00B7471A">
              <w:rPr>
                <w:rFonts w:cstheme="minorHAnsi"/>
              </w:rPr>
              <w:t xml:space="preserve"> </w:t>
            </w:r>
            <w:r w:rsidR="00D76ADC">
              <w:rPr>
                <w:rFonts w:cstheme="minorHAnsi"/>
              </w:rPr>
              <w:t>log</w:t>
            </w:r>
            <w:r w:rsidR="00B45E89">
              <w:rPr>
                <w:rFonts w:cstheme="minorHAnsi"/>
              </w:rPr>
              <w:t>s</w:t>
            </w:r>
            <w:r w:rsidR="00D76ADC">
              <w:rPr>
                <w:rFonts w:cstheme="minorHAnsi"/>
              </w:rPr>
              <w:t xml:space="preserve"> into their usual system</w:t>
            </w:r>
          </w:p>
        </w:tc>
      </w:tr>
      <w:tr w:rsidR="008E3354" w:rsidRPr="008E3354" w14:paraId="3388598B" w14:textId="77777777" w:rsidTr="00277CEF">
        <w:tc>
          <w:tcPr>
            <w:tcW w:w="1490" w:type="dxa"/>
          </w:tcPr>
          <w:p w14:paraId="33885989" w14:textId="1DF2B6FC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B45E89">
              <w:rPr>
                <w:rFonts w:cstheme="minorHAnsi"/>
              </w:rPr>
              <w:t>5</w:t>
            </w:r>
          </w:p>
        </w:tc>
        <w:tc>
          <w:tcPr>
            <w:tcW w:w="7526" w:type="dxa"/>
          </w:tcPr>
          <w:p w14:paraId="3388598A" w14:textId="1DE64C5B" w:rsidR="006B5A8F" w:rsidRPr="008E3354" w:rsidRDefault="00B45E89" w:rsidP="007A1FFE">
            <w:pPr>
              <w:rPr>
                <w:rFonts w:cstheme="minorHAnsi"/>
              </w:rPr>
            </w:pPr>
            <w:r>
              <w:rPr>
                <w:rFonts w:cstheme="minorHAnsi"/>
              </w:rPr>
              <w:t>CAS clinician</w:t>
            </w:r>
            <w:r w:rsidR="00B86342">
              <w:rPr>
                <w:rFonts w:cstheme="minorHAnsi"/>
              </w:rPr>
              <w:t xml:space="preserve"> </w:t>
            </w:r>
            <w:r w:rsidR="00D76ADC">
              <w:rPr>
                <w:rFonts w:cstheme="minorHAnsi"/>
              </w:rPr>
              <w:t>searche</w:t>
            </w:r>
            <w:r w:rsidR="00F85DF3">
              <w:rPr>
                <w:rFonts w:cstheme="minorHAnsi"/>
              </w:rPr>
              <w:t>s</w:t>
            </w:r>
            <w:r w:rsidR="00D76ADC">
              <w:rPr>
                <w:rFonts w:cstheme="minorHAnsi"/>
              </w:rPr>
              <w:t xml:space="preserve"> for patient via NHS number</w:t>
            </w:r>
          </w:p>
        </w:tc>
      </w:tr>
      <w:tr w:rsidR="008E3354" w:rsidRPr="008E3354" w14:paraId="3388598E" w14:textId="77777777" w:rsidTr="00277CEF">
        <w:tc>
          <w:tcPr>
            <w:tcW w:w="1490" w:type="dxa"/>
          </w:tcPr>
          <w:p w14:paraId="3388598C" w14:textId="77AB5C78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B45E89">
              <w:rPr>
                <w:rFonts w:cstheme="minorHAnsi"/>
              </w:rPr>
              <w:t>6</w:t>
            </w:r>
          </w:p>
        </w:tc>
        <w:tc>
          <w:tcPr>
            <w:tcW w:w="7526" w:type="dxa"/>
          </w:tcPr>
          <w:p w14:paraId="3388598D" w14:textId="66DE19C9" w:rsidR="008A5BCC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The</w:t>
            </w:r>
            <w:r w:rsidR="00D76ADC">
              <w:rPr>
                <w:rFonts w:cstheme="minorHAnsi"/>
              </w:rPr>
              <w:t xml:space="preserve"> </w:t>
            </w:r>
            <w:r w:rsidR="00B7471A">
              <w:rPr>
                <w:rFonts w:cstheme="minorHAnsi"/>
              </w:rPr>
              <w:t xml:space="preserve">PARIS </w:t>
            </w:r>
            <w:r w:rsidRPr="008E3354">
              <w:rPr>
                <w:rFonts w:cstheme="minorHAnsi"/>
              </w:rPr>
              <w:t xml:space="preserve">system will request the patient’s </w:t>
            </w:r>
            <w:r w:rsidR="00D44AE5">
              <w:rPr>
                <w:rFonts w:cstheme="minorHAnsi"/>
              </w:rPr>
              <w:t xml:space="preserve">relevant sections of the patient’s record </w:t>
            </w:r>
            <w:r w:rsidRPr="008E3354">
              <w:rPr>
                <w:rFonts w:cstheme="minorHAnsi"/>
              </w:rPr>
              <w:t xml:space="preserve">that are held in the </w:t>
            </w:r>
            <w:r w:rsidR="00D76ADC">
              <w:rPr>
                <w:rFonts w:cstheme="minorHAnsi"/>
              </w:rPr>
              <w:t xml:space="preserve">patients registered </w:t>
            </w:r>
            <w:r w:rsidRPr="008E3354">
              <w:rPr>
                <w:rFonts w:cstheme="minorHAnsi"/>
              </w:rPr>
              <w:t>GP Practice system via the GP Connect Service</w:t>
            </w:r>
          </w:p>
        </w:tc>
      </w:tr>
      <w:tr w:rsidR="008E3354" w:rsidRPr="008E3354" w14:paraId="58B6248F" w14:textId="77777777" w:rsidTr="00277CEF">
        <w:tc>
          <w:tcPr>
            <w:tcW w:w="1490" w:type="dxa"/>
          </w:tcPr>
          <w:p w14:paraId="3CF37269" w14:textId="2B200F1E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B45E89">
              <w:rPr>
                <w:rFonts w:cstheme="minorHAnsi"/>
              </w:rPr>
              <w:t>7</w:t>
            </w:r>
          </w:p>
        </w:tc>
        <w:tc>
          <w:tcPr>
            <w:tcW w:w="7526" w:type="dxa"/>
          </w:tcPr>
          <w:p w14:paraId="62790B5F" w14:textId="38643C4C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Connect and the GP Practice system will check that </w:t>
            </w:r>
            <w:r w:rsidR="00D76ADC">
              <w:rPr>
                <w:rFonts w:cstheme="minorHAnsi"/>
              </w:rPr>
              <w:t xml:space="preserve">the </w:t>
            </w:r>
            <w:r w:rsidR="00B45E89">
              <w:rPr>
                <w:rFonts w:cstheme="minorHAnsi"/>
              </w:rPr>
              <w:t>CAS</w:t>
            </w:r>
            <w:r w:rsidR="00B86342">
              <w:rPr>
                <w:rFonts w:cstheme="minorHAnsi"/>
              </w:rPr>
              <w:t xml:space="preserve"> </w:t>
            </w:r>
            <w:r w:rsidR="00F85DF3">
              <w:rPr>
                <w:rFonts w:cstheme="minorHAnsi"/>
              </w:rPr>
              <w:t xml:space="preserve">organisation </w:t>
            </w:r>
            <w:r w:rsidRPr="008E3354">
              <w:rPr>
                <w:rFonts w:cstheme="minorHAnsi"/>
              </w:rPr>
              <w:t>is allowed access to the data and that the patient has not objected to their data being shared.</w:t>
            </w:r>
          </w:p>
        </w:tc>
      </w:tr>
      <w:tr w:rsidR="008E3354" w:rsidRPr="008E3354" w14:paraId="0953B938" w14:textId="77777777" w:rsidTr="00277CEF">
        <w:tc>
          <w:tcPr>
            <w:tcW w:w="1490" w:type="dxa"/>
          </w:tcPr>
          <w:p w14:paraId="11278795" w14:textId="383B6C12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B45E89">
              <w:rPr>
                <w:rFonts w:cstheme="minorHAnsi"/>
              </w:rPr>
              <w:t>8</w:t>
            </w:r>
          </w:p>
        </w:tc>
        <w:tc>
          <w:tcPr>
            <w:tcW w:w="7526" w:type="dxa"/>
          </w:tcPr>
          <w:p w14:paraId="49D5599A" w14:textId="6BF265A5" w:rsid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Clinical System provides all </w:t>
            </w:r>
            <w:r w:rsidR="00D44AE5">
              <w:rPr>
                <w:rFonts w:cstheme="minorHAnsi"/>
              </w:rPr>
              <w:t>relevant requested sections</w:t>
            </w:r>
            <w:r w:rsidR="00EB3020">
              <w:rPr>
                <w:rFonts w:cstheme="minorHAnsi"/>
              </w:rPr>
              <w:t xml:space="preserve"> including:</w:t>
            </w:r>
          </w:p>
          <w:p w14:paraId="1FE20A6E" w14:textId="77777777" w:rsidR="002D7195" w:rsidRDefault="002D7195" w:rsidP="002D7195"/>
          <w:p w14:paraId="2E4C41B6" w14:textId="30434605" w:rsidR="002D7195" w:rsidRDefault="002D7195" w:rsidP="002D7195">
            <w:pPr>
              <w:pStyle w:val="ListParagraph"/>
              <w:numPr>
                <w:ilvl w:val="0"/>
                <w:numId w:val="28"/>
              </w:numPr>
            </w:pPr>
            <w:r>
              <w:t>Medication</w:t>
            </w:r>
          </w:p>
          <w:p w14:paraId="3E81BFA7" w14:textId="77777777" w:rsidR="002D7195" w:rsidRDefault="002D7195" w:rsidP="002D7195">
            <w:pPr>
              <w:pStyle w:val="ListParagraph"/>
              <w:numPr>
                <w:ilvl w:val="1"/>
                <w:numId w:val="28"/>
              </w:numPr>
            </w:pPr>
            <w:r>
              <w:t>Current and historic</w:t>
            </w:r>
          </w:p>
          <w:p w14:paraId="12A25006" w14:textId="457061D7" w:rsidR="002D7195" w:rsidRDefault="002D7195" w:rsidP="002D7195">
            <w:pPr>
              <w:pStyle w:val="ListParagraph"/>
              <w:numPr>
                <w:ilvl w:val="1"/>
                <w:numId w:val="28"/>
              </w:numPr>
            </w:pPr>
            <w:r>
              <w:t>Reasons for being giv</w:t>
            </w:r>
            <w:r w:rsidR="00415C59">
              <w:t>en</w:t>
            </w:r>
            <w:r>
              <w:t xml:space="preserve"> medication</w:t>
            </w:r>
          </w:p>
          <w:p w14:paraId="63B3EFBF" w14:textId="77777777" w:rsidR="00144DB8" w:rsidRDefault="002D7195" w:rsidP="00144DB8">
            <w:pPr>
              <w:pStyle w:val="ListParagraph"/>
              <w:numPr>
                <w:ilvl w:val="1"/>
                <w:numId w:val="28"/>
              </w:numPr>
            </w:pPr>
            <w:r w:rsidRPr="000A24F3">
              <w:t>Anti-depressants that patient is</w:t>
            </w:r>
            <w:r w:rsidR="00144DB8">
              <w:t xml:space="preserve"> on / has </w:t>
            </w:r>
            <w:r w:rsidRPr="000A24F3">
              <w:t>been on</w:t>
            </w:r>
          </w:p>
          <w:p w14:paraId="307632B1" w14:textId="42018105" w:rsidR="002D7195" w:rsidRDefault="00144DB8" w:rsidP="00144DB8">
            <w:pPr>
              <w:pStyle w:val="ListParagraph"/>
              <w:numPr>
                <w:ilvl w:val="1"/>
                <w:numId w:val="28"/>
              </w:numPr>
            </w:pPr>
            <w:r>
              <w:lastRenderedPageBreak/>
              <w:t xml:space="preserve">Encounters and Conditions </w:t>
            </w:r>
            <w:r w:rsidR="00415C59">
              <w:t xml:space="preserve">linked to medications </w:t>
            </w:r>
            <w:r>
              <w:t>(to understand if patient condition has improved since taking the anti-depressant)</w:t>
            </w:r>
          </w:p>
          <w:p w14:paraId="4EBF6678" w14:textId="77777777" w:rsidR="00144DB8" w:rsidRDefault="00144DB8" w:rsidP="00144DB8">
            <w:pPr>
              <w:pStyle w:val="ListParagraph"/>
              <w:ind w:left="1440"/>
            </w:pPr>
          </w:p>
          <w:p w14:paraId="123CEC5B" w14:textId="47A14D54" w:rsidR="002D7195" w:rsidRDefault="002D7195" w:rsidP="002D7195">
            <w:r>
              <w:t>Other items</w:t>
            </w:r>
          </w:p>
          <w:p w14:paraId="6483E41D" w14:textId="77777777" w:rsidR="00FC20EE" w:rsidRDefault="00FC20EE" w:rsidP="00FC20EE">
            <w:pPr>
              <w:pStyle w:val="ListParagraph"/>
              <w:numPr>
                <w:ilvl w:val="0"/>
                <w:numId w:val="28"/>
              </w:numPr>
            </w:pPr>
            <w:r>
              <w:t>Reports for:</w:t>
            </w:r>
          </w:p>
          <w:p w14:paraId="5B046F00" w14:textId="2472D5E1" w:rsidR="002D7195" w:rsidRDefault="002D7195" w:rsidP="00FC20EE">
            <w:pPr>
              <w:pStyle w:val="ListParagraph"/>
              <w:numPr>
                <w:ilvl w:val="1"/>
                <w:numId w:val="28"/>
              </w:numPr>
            </w:pPr>
            <w:r>
              <w:t>Bloods, urine, ECG, CT scans, etc</w:t>
            </w:r>
          </w:p>
          <w:p w14:paraId="7E4EA33A" w14:textId="48B16666" w:rsidR="002D7195" w:rsidRDefault="002D7195" w:rsidP="002D7195">
            <w:pPr>
              <w:pStyle w:val="ListParagraph"/>
              <w:numPr>
                <w:ilvl w:val="0"/>
                <w:numId w:val="28"/>
              </w:numPr>
            </w:pPr>
            <w:r>
              <w:t xml:space="preserve">BMI </w:t>
            </w:r>
            <w:r w:rsidR="00FC20EE">
              <w:t>(observations)</w:t>
            </w:r>
          </w:p>
          <w:p w14:paraId="29D8D16C" w14:textId="77777777" w:rsidR="002D7195" w:rsidRDefault="002D7195" w:rsidP="002D7195">
            <w:pPr>
              <w:pStyle w:val="ListParagraph"/>
              <w:numPr>
                <w:ilvl w:val="0"/>
                <w:numId w:val="28"/>
              </w:numPr>
            </w:pPr>
            <w:r>
              <w:t>Physical Health Checks</w:t>
            </w:r>
          </w:p>
          <w:p w14:paraId="7DE6DEB1" w14:textId="77777777" w:rsidR="002D7195" w:rsidRDefault="002D7195" w:rsidP="002D7195">
            <w:pPr>
              <w:pStyle w:val="ListParagraph"/>
              <w:numPr>
                <w:ilvl w:val="0"/>
                <w:numId w:val="28"/>
              </w:numPr>
            </w:pPr>
            <w:r>
              <w:t>A&amp;E admissions</w:t>
            </w:r>
          </w:p>
          <w:p w14:paraId="07B7D3BF" w14:textId="77777777" w:rsidR="00FC20EE" w:rsidRDefault="00FC20EE" w:rsidP="002D7195">
            <w:pPr>
              <w:pStyle w:val="ListParagraph"/>
              <w:numPr>
                <w:ilvl w:val="0"/>
                <w:numId w:val="28"/>
              </w:numPr>
            </w:pPr>
            <w:r>
              <w:t>Problems/Diagnosis</w:t>
            </w:r>
          </w:p>
          <w:p w14:paraId="1CFA30ED" w14:textId="724CCF41" w:rsidR="002D7195" w:rsidRDefault="002D7195" w:rsidP="00FC20EE">
            <w:pPr>
              <w:pStyle w:val="ListParagraph"/>
              <w:numPr>
                <w:ilvl w:val="1"/>
                <w:numId w:val="28"/>
              </w:numPr>
            </w:pPr>
            <w:r>
              <w:t>Long standing conditions</w:t>
            </w:r>
          </w:p>
          <w:p w14:paraId="4533BB0E" w14:textId="77777777" w:rsidR="002D7195" w:rsidRDefault="002D7195" w:rsidP="00FC20EE">
            <w:pPr>
              <w:pStyle w:val="ListParagraph"/>
              <w:numPr>
                <w:ilvl w:val="1"/>
                <w:numId w:val="28"/>
              </w:numPr>
            </w:pPr>
            <w:r>
              <w:t>History of mental health</w:t>
            </w:r>
          </w:p>
          <w:p w14:paraId="334B31DE" w14:textId="7C456E5B" w:rsidR="002D7195" w:rsidRDefault="00FC20EE" w:rsidP="002D7195">
            <w:pPr>
              <w:pStyle w:val="ListParagraph"/>
              <w:numPr>
                <w:ilvl w:val="0"/>
                <w:numId w:val="28"/>
              </w:numPr>
            </w:pPr>
            <w:r>
              <w:t xml:space="preserve">Encounters - </w:t>
            </w:r>
            <w:r w:rsidR="002D7195">
              <w:t>Is the patient’s GP aware of their condition?</w:t>
            </w:r>
          </w:p>
          <w:p w14:paraId="2729DE85" w14:textId="77777777" w:rsidR="002D7195" w:rsidRDefault="002D7195" w:rsidP="002D7195">
            <w:pPr>
              <w:pStyle w:val="ListParagraph"/>
              <w:numPr>
                <w:ilvl w:val="0"/>
                <w:numId w:val="28"/>
              </w:numPr>
              <w:spacing w:after="160" w:line="259" w:lineRule="auto"/>
            </w:pPr>
            <w:r>
              <w:t>Demographics</w:t>
            </w:r>
          </w:p>
          <w:p w14:paraId="0C4A69AA" w14:textId="77777777" w:rsidR="002D7195" w:rsidRPr="002E69B6" w:rsidRDefault="002D7195" w:rsidP="002D7195">
            <w:pPr>
              <w:pStyle w:val="ListParagraph"/>
              <w:numPr>
                <w:ilvl w:val="1"/>
                <w:numId w:val="28"/>
              </w:numPr>
              <w:spacing w:after="160" w:line="259" w:lineRule="auto"/>
            </w:pPr>
            <w:r w:rsidRPr="002E69B6">
              <w:t>Name</w:t>
            </w:r>
            <w:r>
              <w:t xml:space="preserve">, </w:t>
            </w:r>
            <w:r w:rsidRPr="002E69B6">
              <w:t>DOB Address, Current address if different NHS number Language preferred, Gender, Ethnicity, contact number, Communication requirements</w:t>
            </w:r>
          </w:p>
          <w:p w14:paraId="1DC44DF7" w14:textId="77777777" w:rsidR="002D7195" w:rsidRPr="002E69B6" w:rsidRDefault="002D7195" w:rsidP="002D7195">
            <w:pPr>
              <w:pStyle w:val="ListParagraph"/>
              <w:numPr>
                <w:ilvl w:val="1"/>
                <w:numId w:val="28"/>
              </w:numPr>
              <w:spacing w:after="160" w:line="259" w:lineRule="auto"/>
            </w:pPr>
            <w:r w:rsidRPr="002E69B6">
              <w:t xml:space="preserve">Next of </w:t>
            </w:r>
            <w:r>
              <w:t>k</w:t>
            </w:r>
            <w:r w:rsidRPr="002E69B6">
              <w:t>in details</w:t>
            </w:r>
          </w:p>
          <w:p w14:paraId="0EEFC0D8" w14:textId="77777777" w:rsidR="002D7195" w:rsidRDefault="002D7195" w:rsidP="002D7195">
            <w:pPr>
              <w:pStyle w:val="ListParagraph"/>
              <w:numPr>
                <w:ilvl w:val="1"/>
                <w:numId w:val="28"/>
              </w:numPr>
              <w:spacing w:after="160" w:line="259" w:lineRule="auto"/>
            </w:pPr>
            <w:r w:rsidRPr="002E69B6">
              <w:t>GP details including address and contact number</w:t>
            </w:r>
          </w:p>
          <w:p w14:paraId="1EC5D638" w14:textId="2DC81376" w:rsidR="002D7195" w:rsidRDefault="002D7195" w:rsidP="002D7195">
            <w:pPr>
              <w:pStyle w:val="ListParagraph"/>
              <w:numPr>
                <w:ilvl w:val="0"/>
                <w:numId w:val="28"/>
              </w:numPr>
              <w:spacing w:after="160" w:line="259" w:lineRule="auto"/>
            </w:pPr>
            <w:r w:rsidRPr="002E69B6">
              <w:t>Referral description (GP summary)</w:t>
            </w:r>
          </w:p>
          <w:p w14:paraId="6F9F6F54" w14:textId="2B7995CA" w:rsidR="009208B5" w:rsidRPr="00144DB8" w:rsidRDefault="009208B5" w:rsidP="009208B5">
            <w:pPr>
              <w:spacing w:after="160" w:line="259" w:lineRule="auto"/>
              <w:rPr>
                <w:b/>
              </w:rPr>
            </w:pPr>
            <w:r w:rsidRPr="00144DB8">
              <w:rPr>
                <w:b/>
              </w:rPr>
              <w:t>Out of scope</w:t>
            </w:r>
          </w:p>
          <w:p w14:paraId="72743355" w14:textId="532FF6FF" w:rsidR="009208B5" w:rsidRDefault="009208B5" w:rsidP="00FC20EE">
            <w:pPr>
              <w:pStyle w:val="ListParagraph"/>
              <w:numPr>
                <w:ilvl w:val="0"/>
                <w:numId w:val="28"/>
              </w:numPr>
            </w:pPr>
            <w:r>
              <w:t>Case notes from previous interactions with Leeds Partnership Trust (from the PARIS system)</w:t>
            </w:r>
          </w:p>
          <w:p w14:paraId="72237152" w14:textId="4DC85B77" w:rsidR="00FC20EE" w:rsidRDefault="00FC20EE" w:rsidP="00144DB8">
            <w:pPr>
              <w:pStyle w:val="ListParagraph"/>
              <w:numPr>
                <w:ilvl w:val="0"/>
                <w:numId w:val="28"/>
              </w:numPr>
            </w:pPr>
            <w:r>
              <w:t>How is patient being managed in the community</w:t>
            </w:r>
          </w:p>
          <w:p w14:paraId="348910BC" w14:textId="14A96BC4" w:rsidR="008E3354" w:rsidRPr="008A46F5" w:rsidRDefault="008E3354" w:rsidP="002D7195">
            <w:pPr>
              <w:pStyle w:val="ListParagraph"/>
              <w:spacing w:after="160" w:line="256" w:lineRule="auto"/>
            </w:pPr>
          </w:p>
        </w:tc>
      </w:tr>
      <w:tr w:rsidR="006B5A8F" w:rsidRPr="008E3354" w14:paraId="338859B6" w14:textId="77777777" w:rsidTr="00277CEF">
        <w:tc>
          <w:tcPr>
            <w:tcW w:w="1490" w:type="dxa"/>
          </w:tcPr>
          <w:p w14:paraId="3388598F" w14:textId="56ED2E6B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lastRenderedPageBreak/>
              <w:t xml:space="preserve">Step </w:t>
            </w:r>
            <w:r w:rsidR="00B45E89">
              <w:rPr>
                <w:rFonts w:cstheme="minorHAnsi"/>
              </w:rPr>
              <w:t>9</w:t>
            </w:r>
          </w:p>
        </w:tc>
        <w:tc>
          <w:tcPr>
            <w:tcW w:w="7526" w:type="dxa"/>
          </w:tcPr>
          <w:p w14:paraId="338859B5" w14:textId="53B3B7A7" w:rsidR="00753C5F" w:rsidRPr="008E3354" w:rsidRDefault="00F85DF3" w:rsidP="008E335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The </w:t>
            </w:r>
            <w:r w:rsidR="00B7471A">
              <w:rPr>
                <w:rFonts w:cstheme="minorHAnsi"/>
              </w:rPr>
              <w:t>PARIS</w:t>
            </w:r>
            <w:r w:rsidR="00B8634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system </w:t>
            </w:r>
            <w:r w:rsidR="008E3354" w:rsidRPr="008E3354">
              <w:rPr>
                <w:rFonts w:cstheme="minorHAnsi"/>
              </w:rPr>
              <w:t xml:space="preserve">imports the all </w:t>
            </w:r>
            <w:r w:rsidR="008E3354">
              <w:rPr>
                <w:rFonts w:cstheme="minorHAnsi"/>
              </w:rPr>
              <w:t xml:space="preserve">information </w:t>
            </w:r>
            <w:r w:rsidR="008E3354" w:rsidRPr="008E3354">
              <w:rPr>
                <w:rFonts w:cstheme="minorHAnsi"/>
              </w:rPr>
              <w:t>supplied from the GP practice. This data is now available for clinicians to review and maintain.</w:t>
            </w:r>
          </w:p>
        </w:tc>
      </w:tr>
      <w:tr w:rsidR="006B5A8F" w:rsidRPr="008E3354" w14:paraId="338859BC" w14:textId="77777777" w:rsidTr="00277CEF">
        <w:tc>
          <w:tcPr>
            <w:tcW w:w="1490" w:type="dxa"/>
          </w:tcPr>
          <w:p w14:paraId="338859BA" w14:textId="1A890D0D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B45E89">
              <w:rPr>
                <w:rFonts w:cstheme="minorHAnsi"/>
              </w:rPr>
              <w:t>10</w:t>
            </w:r>
          </w:p>
        </w:tc>
        <w:tc>
          <w:tcPr>
            <w:tcW w:w="7526" w:type="dxa"/>
          </w:tcPr>
          <w:p w14:paraId="338859BB" w14:textId="52D0DDAC" w:rsidR="006B5A8F" w:rsidRPr="008E3354" w:rsidRDefault="008E3354" w:rsidP="00D65FD3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</w:rPr>
              <w:t xml:space="preserve">The medical data retrieved by the </w:t>
            </w:r>
            <w:r w:rsidR="00B45E89">
              <w:rPr>
                <w:rFonts w:cstheme="minorHAnsi"/>
              </w:rPr>
              <w:t xml:space="preserve">CAS clinician </w:t>
            </w:r>
            <w:r w:rsidRPr="008E3354">
              <w:rPr>
                <w:rFonts w:cstheme="minorHAnsi"/>
              </w:rPr>
              <w:t xml:space="preserve">from other sources is manually added to the </w:t>
            </w:r>
            <w:r w:rsidR="00B86342">
              <w:rPr>
                <w:rFonts w:cstheme="minorHAnsi"/>
              </w:rPr>
              <w:t>community</w:t>
            </w:r>
            <w:r w:rsidR="00F85DF3">
              <w:rPr>
                <w:rFonts w:cstheme="minorHAnsi"/>
              </w:rPr>
              <w:t xml:space="preserve"> </w:t>
            </w:r>
            <w:r w:rsidRPr="008E3354">
              <w:rPr>
                <w:rFonts w:cstheme="minorHAnsi"/>
              </w:rPr>
              <w:t>system.</w:t>
            </w:r>
          </w:p>
        </w:tc>
      </w:tr>
      <w:tr w:rsidR="004F5FE0" w:rsidRPr="008E3354" w14:paraId="70FD7A12" w14:textId="77777777" w:rsidTr="00D711AD">
        <w:tc>
          <w:tcPr>
            <w:tcW w:w="9016" w:type="dxa"/>
            <w:gridSpan w:val="2"/>
          </w:tcPr>
          <w:p w14:paraId="766A8F04" w14:textId="6F43A713" w:rsidR="004F5FE0" w:rsidRPr="008E3354" w:rsidRDefault="004F5FE0" w:rsidP="007775B9">
            <w:pPr>
              <w:rPr>
                <w:rFonts w:cstheme="minorHAnsi"/>
                <w:b/>
                <w:color w:val="000000"/>
              </w:rPr>
            </w:pPr>
            <w:r w:rsidRPr="008E3354">
              <w:rPr>
                <w:rFonts w:cstheme="minorHAnsi"/>
                <w:b/>
                <w:color w:val="000000"/>
              </w:rPr>
              <w:t>Alternative Path</w:t>
            </w:r>
          </w:p>
        </w:tc>
      </w:tr>
      <w:tr w:rsidR="006B5A8F" w:rsidRPr="008E3354" w14:paraId="338859CD" w14:textId="77777777" w:rsidTr="00277CEF">
        <w:tc>
          <w:tcPr>
            <w:tcW w:w="1490" w:type="dxa"/>
          </w:tcPr>
          <w:p w14:paraId="338859C9" w14:textId="55CE5BB6" w:rsidR="006B5A8F" w:rsidRPr="008E3354" w:rsidRDefault="006B5A8F" w:rsidP="005C030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B45E89">
              <w:rPr>
                <w:rFonts w:cstheme="minorHAnsi"/>
              </w:rPr>
              <w:t>7</w:t>
            </w:r>
            <w:r w:rsidRPr="008E3354">
              <w:rPr>
                <w:rFonts w:cstheme="minorHAnsi"/>
              </w:rPr>
              <w:t>a</w:t>
            </w:r>
          </w:p>
        </w:tc>
        <w:tc>
          <w:tcPr>
            <w:tcW w:w="7526" w:type="dxa"/>
          </w:tcPr>
          <w:p w14:paraId="2C258C44" w14:textId="1BA315C3" w:rsidR="006B5A8F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>Where there are not the appropriate permissions to share the data, GP connect returns an error message saying the information cannot be returned.</w:t>
            </w:r>
          </w:p>
          <w:p w14:paraId="308BD9EF" w14:textId="77777777" w:rsidR="007775B9" w:rsidRPr="008E3354" w:rsidRDefault="007775B9" w:rsidP="007775B9">
            <w:pPr>
              <w:rPr>
                <w:rFonts w:cstheme="minorHAnsi"/>
                <w:color w:val="000000"/>
              </w:rPr>
            </w:pPr>
          </w:p>
          <w:p w14:paraId="338859CC" w14:textId="564A2CA3" w:rsidR="007775B9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 xml:space="preserve">The </w:t>
            </w:r>
            <w:r w:rsidR="00B45E89">
              <w:rPr>
                <w:rFonts w:cstheme="minorHAnsi"/>
                <w:color w:val="000000"/>
              </w:rPr>
              <w:t xml:space="preserve">CAS clinician </w:t>
            </w:r>
            <w:r w:rsidR="003D6828" w:rsidRPr="008E3354">
              <w:rPr>
                <w:rFonts w:cstheme="minorHAnsi"/>
                <w:color w:val="000000"/>
              </w:rPr>
              <w:t>will retrieve the information using the SCR</w:t>
            </w:r>
            <w:r w:rsidR="00BD7DF6" w:rsidRPr="008E3354">
              <w:rPr>
                <w:rFonts w:cstheme="minorHAnsi"/>
                <w:color w:val="000000"/>
              </w:rPr>
              <w:t>, Leeds Care Record</w:t>
            </w:r>
            <w:r w:rsidR="003D6828" w:rsidRPr="008E3354">
              <w:rPr>
                <w:rFonts w:cstheme="minorHAnsi"/>
                <w:color w:val="000000"/>
              </w:rPr>
              <w:t xml:space="preserve"> and direct requests to the GP practice. They will then manually enter the data.</w:t>
            </w:r>
          </w:p>
        </w:tc>
      </w:tr>
    </w:tbl>
    <w:p w14:paraId="338859D8" w14:textId="77777777" w:rsidR="006B5A8F" w:rsidRPr="008E3354" w:rsidRDefault="006B5A8F" w:rsidP="00334637">
      <w:pPr>
        <w:spacing w:after="0" w:line="240" w:lineRule="auto"/>
        <w:rPr>
          <w:rFonts w:cstheme="minorHAnsi"/>
        </w:rPr>
      </w:pPr>
    </w:p>
    <w:p w14:paraId="338859D9" w14:textId="77777777" w:rsidR="006B5A8F" w:rsidRDefault="006B5A8F" w:rsidP="00334637">
      <w:pPr>
        <w:spacing w:after="0" w:line="240" w:lineRule="auto"/>
        <w:rPr>
          <w:rFonts w:cstheme="minorHAnsi"/>
        </w:rPr>
      </w:pPr>
    </w:p>
    <w:p w14:paraId="338859E6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7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8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9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A" w14:textId="77777777" w:rsidR="001B6089" w:rsidRPr="00043FA7" w:rsidRDefault="001B6089" w:rsidP="00DC46F5">
      <w:pPr>
        <w:spacing w:after="0" w:line="240" w:lineRule="auto"/>
        <w:rPr>
          <w:rFonts w:cstheme="minorHAnsi"/>
        </w:rPr>
      </w:pPr>
    </w:p>
    <w:sectPr w:rsidR="001B6089" w:rsidRPr="0004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15"/>
    <w:multiLevelType w:val="hybridMultilevel"/>
    <w:tmpl w:val="0BA2A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D"/>
    <w:multiLevelType w:val="hybridMultilevel"/>
    <w:tmpl w:val="CFA0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B2D"/>
    <w:multiLevelType w:val="hybridMultilevel"/>
    <w:tmpl w:val="CFD479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EB3CAC"/>
    <w:multiLevelType w:val="hybridMultilevel"/>
    <w:tmpl w:val="AD24E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4C96"/>
    <w:multiLevelType w:val="hybridMultilevel"/>
    <w:tmpl w:val="D6EC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264E4238"/>
    <w:multiLevelType w:val="hybridMultilevel"/>
    <w:tmpl w:val="271815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62C78"/>
    <w:multiLevelType w:val="hybridMultilevel"/>
    <w:tmpl w:val="4F1E8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C693A"/>
    <w:multiLevelType w:val="hybridMultilevel"/>
    <w:tmpl w:val="35566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154862"/>
    <w:multiLevelType w:val="hybridMultilevel"/>
    <w:tmpl w:val="1C6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44F5B"/>
    <w:multiLevelType w:val="hybridMultilevel"/>
    <w:tmpl w:val="04D4A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45A0B"/>
    <w:multiLevelType w:val="hybridMultilevel"/>
    <w:tmpl w:val="31D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D3BFD"/>
    <w:multiLevelType w:val="hybridMultilevel"/>
    <w:tmpl w:val="65AE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8716F"/>
    <w:multiLevelType w:val="hybridMultilevel"/>
    <w:tmpl w:val="01F2E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7669E"/>
    <w:multiLevelType w:val="hybridMultilevel"/>
    <w:tmpl w:val="218C6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760F4"/>
    <w:multiLevelType w:val="hybridMultilevel"/>
    <w:tmpl w:val="52029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7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26"/>
  </w:num>
  <w:num w:numId="9">
    <w:abstractNumId w:val="1"/>
  </w:num>
  <w:num w:numId="10">
    <w:abstractNumId w:val="22"/>
  </w:num>
  <w:num w:numId="11">
    <w:abstractNumId w:val="17"/>
  </w:num>
  <w:num w:numId="12">
    <w:abstractNumId w:val="16"/>
  </w:num>
  <w:num w:numId="13">
    <w:abstractNumId w:val="15"/>
  </w:num>
  <w:num w:numId="14">
    <w:abstractNumId w:val="14"/>
  </w:num>
  <w:num w:numId="15">
    <w:abstractNumId w:val="5"/>
  </w:num>
  <w:num w:numId="16">
    <w:abstractNumId w:val="3"/>
  </w:num>
  <w:num w:numId="17">
    <w:abstractNumId w:val="9"/>
  </w:num>
  <w:num w:numId="18">
    <w:abstractNumId w:val="18"/>
  </w:num>
  <w:num w:numId="19">
    <w:abstractNumId w:val="13"/>
  </w:num>
  <w:num w:numId="20">
    <w:abstractNumId w:val="0"/>
  </w:num>
  <w:num w:numId="21">
    <w:abstractNumId w:val="21"/>
  </w:num>
  <w:num w:numId="22">
    <w:abstractNumId w:val="23"/>
  </w:num>
  <w:num w:numId="23">
    <w:abstractNumId w:val="24"/>
  </w:num>
  <w:num w:numId="24">
    <w:abstractNumId w:val="12"/>
  </w:num>
  <w:num w:numId="25">
    <w:abstractNumId w:val="7"/>
  </w:num>
  <w:num w:numId="26">
    <w:abstractNumId w:val="20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029A1"/>
    <w:rsid w:val="00010BB4"/>
    <w:rsid w:val="00033259"/>
    <w:rsid w:val="00034B7A"/>
    <w:rsid w:val="00043FA7"/>
    <w:rsid w:val="00070563"/>
    <w:rsid w:val="000B60CA"/>
    <w:rsid w:val="000C48AC"/>
    <w:rsid w:val="000D42A0"/>
    <w:rsid w:val="00144DB8"/>
    <w:rsid w:val="00147F34"/>
    <w:rsid w:val="00181B69"/>
    <w:rsid w:val="001B6089"/>
    <w:rsid w:val="00206603"/>
    <w:rsid w:val="002133E0"/>
    <w:rsid w:val="00230D71"/>
    <w:rsid w:val="00277CEF"/>
    <w:rsid w:val="002B392B"/>
    <w:rsid w:val="002C5D3E"/>
    <w:rsid w:val="002D6EE9"/>
    <w:rsid w:val="002D7195"/>
    <w:rsid w:val="00322B3D"/>
    <w:rsid w:val="00330C09"/>
    <w:rsid w:val="00334637"/>
    <w:rsid w:val="00363A1D"/>
    <w:rsid w:val="00384422"/>
    <w:rsid w:val="003D6828"/>
    <w:rsid w:val="003E166B"/>
    <w:rsid w:val="003F19B3"/>
    <w:rsid w:val="00411061"/>
    <w:rsid w:val="00415C59"/>
    <w:rsid w:val="004254B9"/>
    <w:rsid w:val="00434F4A"/>
    <w:rsid w:val="0047598B"/>
    <w:rsid w:val="00480C6A"/>
    <w:rsid w:val="0048101F"/>
    <w:rsid w:val="004F5FE0"/>
    <w:rsid w:val="0051344D"/>
    <w:rsid w:val="005225C0"/>
    <w:rsid w:val="00524B4D"/>
    <w:rsid w:val="005655A1"/>
    <w:rsid w:val="0057377F"/>
    <w:rsid w:val="00582FDE"/>
    <w:rsid w:val="005A47E2"/>
    <w:rsid w:val="005C0303"/>
    <w:rsid w:val="005E75AF"/>
    <w:rsid w:val="005F428F"/>
    <w:rsid w:val="00601A53"/>
    <w:rsid w:val="00611CA5"/>
    <w:rsid w:val="00620232"/>
    <w:rsid w:val="00653E0D"/>
    <w:rsid w:val="00666FE6"/>
    <w:rsid w:val="006A3B12"/>
    <w:rsid w:val="006B5A8F"/>
    <w:rsid w:val="006C3A35"/>
    <w:rsid w:val="006D0728"/>
    <w:rsid w:val="00701B80"/>
    <w:rsid w:val="007039DA"/>
    <w:rsid w:val="00753C5F"/>
    <w:rsid w:val="00765D2C"/>
    <w:rsid w:val="00767403"/>
    <w:rsid w:val="007775B9"/>
    <w:rsid w:val="007A044B"/>
    <w:rsid w:val="007A1FFE"/>
    <w:rsid w:val="007A4376"/>
    <w:rsid w:val="007D1D90"/>
    <w:rsid w:val="007F1A87"/>
    <w:rsid w:val="007F7F9B"/>
    <w:rsid w:val="008204AC"/>
    <w:rsid w:val="0087053F"/>
    <w:rsid w:val="00882AB6"/>
    <w:rsid w:val="008A46F5"/>
    <w:rsid w:val="008A5BCC"/>
    <w:rsid w:val="008E3354"/>
    <w:rsid w:val="008F7318"/>
    <w:rsid w:val="00902AD7"/>
    <w:rsid w:val="009208B5"/>
    <w:rsid w:val="00951E04"/>
    <w:rsid w:val="009711EC"/>
    <w:rsid w:val="00993AF4"/>
    <w:rsid w:val="009D0C2D"/>
    <w:rsid w:val="009F0665"/>
    <w:rsid w:val="00A11F9E"/>
    <w:rsid w:val="00A250EA"/>
    <w:rsid w:val="00A65453"/>
    <w:rsid w:val="00AA30F1"/>
    <w:rsid w:val="00AB60ED"/>
    <w:rsid w:val="00AD0D05"/>
    <w:rsid w:val="00AF4DBF"/>
    <w:rsid w:val="00B07EF0"/>
    <w:rsid w:val="00B31194"/>
    <w:rsid w:val="00B45E89"/>
    <w:rsid w:val="00B54BD6"/>
    <w:rsid w:val="00B7471A"/>
    <w:rsid w:val="00B74D80"/>
    <w:rsid w:val="00B757CC"/>
    <w:rsid w:val="00B8124E"/>
    <w:rsid w:val="00B86342"/>
    <w:rsid w:val="00B91C45"/>
    <w:rsid w:val="00B94009"/>
    <w:rsid w:val="00BB41EE"/>
    <w:rsid w:val="00BB5EEF"/>
    <w:rsid w:val="00BB7703"/>
    <w:rsid w:val="00BD7DF6"/>
    <w:rsid w:val="00BF36ED"/>
    <w:rsid w:val="00BF7CFA"/>
    <w:rsid w:val="00C94A81"/>
    <w:rsid w:val="00CC1E2B"/>
    <w:rsid w:val="00D11001"/>
    <w:rsid w:val="00D22DA5"/>
    <w:rsid w:val="00D3566C"/>
    <w:rsid w:val="00D35986"/>
    <w:rsid w:val="00D44AE5"/>
    <w:rsid w:val="00D76ADC"/>
    <w:rsid w:val="00DC46F5"/>
    <w:rsid w:val="00DC499F"/>
    <w:rsid w:val="00DC5607"/>
    <w:rsid w:val="00DC7F19"/>
    <w:rsid w:val="00E341F6"/>
    <w:rsid w:val="00E84C8D"/>
    <w:rsid w:val="00EA59EB"/>
    <w:rsid w:val="00EB3020"/>
    <w:rsid w:val="00EE597B"/>
    <w:rsid w:val="00EF5C21"/>
    <w:rsid w:val="00F10CAE"/>
    <w:rsid w:val="00F73185"/>
    <w:rsid w:val="00F85DF3"/>
    <w:rsid w:val="00FC20EE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943"/>
  <w15:docId w15:val="{D7322CE4-963A-4E3E-84F6-3741AC7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6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NHSD-1000041-878486224-772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https://hscic365.sharepoint.com/sites/gpsoc/GPC/_layouts/15/DocIdRedir.aspx?ID=NHSD-1000041-878486224-772</Url>
      <Description>NHSD-1000041-878486224-772</Description>
    </_dlc_DocIdUrl>
  </documentManagement>
</p:properties>
</file>

<file path=customXml/itemProps1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7CA417F-6060-4484-8524-9C68AA1DE874}">
  <ds:schemaRefs>
    <ds:schemaRef ds:uri="35a352f6-bb32-4738-bdb1-5d89d34e1d5b"/>
    <ds:schemaRef ds:uri="5668c8bc-6c30-45e9-80ca-5109d4270dfd"/>
    <ds:schemaRef ds:uri="http://schemas.microsoft.com/sharepoint/v3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10</cp:revision>
  <dcterms:created xsi:type="dcterms:W3CDTF">2018-01-16T16:46:00Z</dcterms:created>
  <dcterms:modified xsi:type="dcterms:W3CDTF">2018-02-09T10:59:00Z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11e04af3-4ef5-400c-94c9-a31bc2ed464b</vt:lpwstr>
  </property>
</Properties>
</file>