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638E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C499F">
        <w:rPr>
          <w:rFonts w:cstheme="minorHAnsi"/>
          <w:b/>
        </w:rPr>
        <w:t>Use Case Template Document</w:t>
      </w:r>
    </w:p>
    <w:p w14:paraId="0D13638F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0D136390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0D136391" w14:textId="77777777" w:rsidR="0051344D" w:rsidRDefault="00F8154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Community Pharmacy Managing Aspects of </w:t>
      </w:r>
      <w:r w:rsidR="00EF0D1A">
        <w:rPr>
          <w:rFonts w:cstheme="minorHAnsi"/>
        </w:rPr>
        <w:t xml:space="preserve">a </w:t>
      </w:r>
      <w:r>
        <w:rPr>
          <w:rFonts w:cstheme="minorHAnsi"/>
        </w:rPr>
        <w:t>Patient</w:t>
      </w:r>
      <w:r w:rsidR="00EF0D1A">
        <w:rPr>
          <w:rFonts w:cstheme="minorHAnsi"/>
        </w:rPr>
        <w:t>’s</w:t>
      </w:r>
      <w:r>
        <w:rPr>
          <w:rFonts w:cstheme="minorHAnsi"/>
        </w:rPr>
        <w:t xml:space="preserve"> Care</w:t>
      </w:r>
    </w:p>
    <w:p w14:paraId="0D136392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0D136393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0D136394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0D136395" w14:textId="77777777" w:rsidR="006D0728" w:rsidRDefault="00F81541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 part of the move to reduce workloads on General Practice certain aspects of patient care are being moved to community pharmacists. This may be where a GP has handed an aspect of patient care over to the community pharmacist or where the community pharmacist has been directly commissioned to provide the service.</w:t>
      </w:r>
      <w:r w:rsidR="00245DEA">
        <w:rPr>
          <w:rFonts w:ascii="Calibri" w:hAnsi="Calibri" w:cs="Calibri"/>
        </w:rPr>
        <w:t xml:space="preserve"> To be able to safely treat their patients the pharmacist requires access to thei</w:t>
      </w:r>
      <w:bookmarkStart w:id="0" w:name="_GoBack"/>
      <w:bookmarkEnd w:id="0"/>
      <w:r w:rsidR="00245DEA">
        <w:rPr>
          <w:rFonts w:ascii="Calibri" w:hAnsi="Calibri" w:cs="Calibri"/>
        </w:rPr>
        <w:t>r medical record.</w:t>
      </w:r>
    </w:p>
    <w:p w14:paraId="0D136396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D136397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0D136398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D136399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0D13639A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0D13639B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transcription between systems and paper to IT, leading to a reduction in prescribing errors.</w:t>
      </w:r>
    </w:p>
    <w:p w14:paraId="0D13639C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collecting and collating information.</w:t>
      </w:r>
    </w:p>
    <w:p w14:paraId="0D13639D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Reduction in clinical time wasted, away from the patient, manually updating IT systems.</w:t>
      </w:r>
    </w:p>
    <w:p w14:paraId="0D13639E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Reducing the paper flow through departments by utilising the systems workflow to manage tasks using staff time efficiently.</w:t>
      </w:r>
    </w:p>
    <w:p w14:paraId="0D13639F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0D1363A0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0D1363A1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0D1363A2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safety due to the reduction in manual transcription errors.</w:t>
      </w:r>
    </w:p>
    <w:p w14:paraId="0D1363A3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0D1363A4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0D1363A5" w14:textId="77777777" w:rsidR="006D0728" w:rsidRPr="006D0728" w:rsidRDefault="00245DE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Pharmacist.</w:t>
      </w:r>
    </w:p>
    <w:p w14:paraId="0D1363A6" w14:textId="77777777" w:rsidR="006D0728" w:rsidRPr="006D0728" w:rsidRDefault="00245DEA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Pharmacy System.</w:t>
      </w:r>
    </w:p>
    <w:p w14:paraId="0D1363A7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0D1363A8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0D1363A9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0D1363AA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0D1363AB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0D1363AC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0D1363AD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0D1363AE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0D1363AF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0D1363B0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0D1363B1" w14:textId="77777777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>Patient attends</w:t>
      </w:r>
      <w:r w:rsidR="0098531E">
        <w:rPr>
          <w:rFonts w:cstheme="minorHAnsi"/>
        </w:rPr>
        <w:t xml:space="preserve"> a </w:t>
      </w:r>
      <w:r w:rsidR="00245DEA">
        <w:rPr>
          <w:rFonts w:cstheme="minorHAnsi"/>
        </w:rPr>
        <w:t>community pharmacist</w:t>
      </w:r>
      <w:r w:rsidRPr="006D0728">
        <w:rPr>
          <w:rFonts w:cstheme="minorHAnsi"/>
        </w:rPr>
        <w:t xml:space="preserve"> for treatment.</w:t>
      </w:r>
    </w:p>
    <w:p w14:paraId="0D1363B2" w14:textId="77777777" w:rsidR="00BB5EEF" w:rsidRPr="00BB5EEF" w:rsidRDefault="00BB5EEF" w:rsidP="00BB5EEF">
      <w:pPr>
        <w:spacing w:after="0" w:line="240" w:lineRule="auto"/>
      </w:pPr>
    </w:p>
    <w:p w14:paraId="0D1363B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0D1363B4" w14:textId="77777777" w:rsidR="00043FA7" w:rsidRDefault="00043FA7" w:rsidP="00DC46F5">
      <w:pPr>
        <w:spacing w:after="0" w:line="240" w:lineRule="auto"/>
      </w:pPr>
    </w:p>
    <w:p w14:paraId="0D1363B5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</w:t>
      </w:r>
      <w:r w:rsidR="0098531E">
        <w:t xml:space="preserve">the </w:t>
      </w:r>
      <w:r w:rsidR="00245DEA">
        <w:t>pharmacy</w:t>
      </w:r>
      <w:r w:rsidR="0098531E">
        <w:t xml:space="preserve"> system</w:t>
      </w:r>
      <w:r>
        <w:t xml:space="preserve"> upon attendance.</w:t>
      </w:r>
    </w:p>
    <w:p w14:paraId="0D1363B6" w14:textId="77777777" w:rsidR="006D0728" w:rsidRDefault="00245DEA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pharmacist has</w:t>
      </w:r>
      <w:r w:rsidR="006D0728">
        <w:t xml:space="preserve"> the correct / appropriate system access rights.</w:t>
      </w:r>
    </w:p>
    <w:p w14:paraId="0D1363B7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0D1363B8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245DEA">
        <w:t>the pharmacist</w:t>
      </w:r>
      <w:r>
        <w:t>.</w:t>
      </w:r>
    </w:p>
    <w:p w14:paraId="0D1363B9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245DEA">
        <w:t xml:space="preserve">Pharmacy </w:t>
      </w:r>
      <w:r>
        <w:t>System / GP Connect / GP Clinical System have been correctly configured.</w:t>
      </w:r>
    </w:p>
    <w:p w14:paraId="0D1363BA" w14:textId="77777777" w:rsidR="00AB60ED" w:rsidRDefault="00AB60ED" w:rsidP="00AB60ED">
      <w:pPr>
        <w:spacing w:after="0" w:line="240" w:lineRule="auto"/>
      </w:pPr>
    </w:p>
    <w:p w14:paraId="0D1363BB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0D1363BC" w14:textId="77777777" w:rsidR="00043FA7" w:rsidRDefault="00043FA7" w:rsidP="00DC46F5">
      <w:pPr>
        <w:spacing w:after="0" w:line="240" w:lineRule="auto"/>
      </w:pPr>
    </w:p>
    <w:p w14:paraId="0D1363BD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0D1363BE" w14:textId="77777777" w:rsidR="00EF0D1A" w:rsidRPr="00472E5C" w:rsidRDefault="00EF0D1A" w:rsidP="00EF0D1A">
      <w:pPr>
        <w:pStyle w:val="ListParagraph"/>
        <w:numPr>
          <w:ilvl w:val="1"/>
          <w:numId w:val="1"/>
        </w:numPr>
      </w:pPr>
      <w:r>
        <w:t>The patient’s medical record is made available to the pharmacist</w:t>
      </w:r>
      <w:r w:rsidRPr="00472E5C">
        <w:rPr>
          <w:rFonts w:cstheme="minorHAnsi"/>
        </w:rPr>
        <w:tab/>
      </w:r>
    </w:p>
    <w:p w14:paraId="0D1363BF" w14:textId="77777777" w:rsidR="00AB60ED" w:rsidRPr="007D1D90" w:rsidRDefault="00AB60ED" w:rsidP="007D1D90">
      <w:pPr>
        <w:pStyle w:val="ListParagraph"/>
        <w:rPr>
          <w:i/>
        </w:rPr>
      </w:pPr>
    </w:p>
    <w:p w14:paraId="0D1363C0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0D1363C1" w14:textId="77777777" w:rsidR="001B6089" w:rsidRDefault="00EF0D1A" w:rsidP="00EF0D1A">
      <w:pPr>
        <w:pStyle w:val="ListParagraph"/>
        <w:numPr>
          <w:ilvl w:val="1"/>
          <w:numId w:val="1"/>
        </w:numPr>
        <w:rPr>
          <w:rFonts w:cstheme="minorHAnsi"/>
        </w:rPr>
      </w:pPr>
      <w:r>
        <w:t>The pharmacist will treat the patient based on the information available</w:t>
      </w:r>
    </w:p>
    <w:p w14:paraId="0D1363C2" w14:textId="77777777" w:rsidR="00EF0D1A" w:rsidRDefault="00EF0D1A" w:rsidP="00DC46F5">
      <w:pPr>
        <w:spacing w:after="0" w:line="240" w:lineRule="auto"/>
        <w:rPr>
          <w:rFonts w:cstheme="minorHAnsi"/>
        </w:rPr>
      </w:pPr>
    </w:p>
    <w:p w14:paraId="0D1363C3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0D1363C4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0D1363C5" w14:textId="77777777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proofErr w:type="gramStart"/>
      <w:r w:rsidRPr="00BB5EEF">
        <w:rPr>
          <w:rFonts w:cstheme="minorHAnsi"/>
          <w:i/>
          <w:color w:val="383838"/>
          <w:shd w:val="clear" w:color="auto" w:fill="FFFFFF"/>
        </w:rPr>
        <w:t>best case</w:t>
      </w:r>
      <w:proofErr w:type="gramEnd"/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0D1363C6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0D1363C9" w14:textId="77777777" w:rsidTr="00D65FD3">
        <w:tc>
          <w:tcPr>
            <w:tcW w:w="1525" w:type="dxa"/>
          </w:tcPr>
          <w:p w14:paraId="0D1363C7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0D1363C8" w14:textId="77777777" w:rsidR="006B5A8F" w:rsidRPr="00E341F6" w:rsidRDefault="00753C5F" w:rsidP="00EF0D1A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ascii="Calibri" w:hAnsi="Calibri" w:cs="Calibri"/>
                <w:color w:val="000000"/>
              </w:rPr>
              <w:t>Patient attends</w:t>
            </w:r>
            <w:r w:rsidR="00EF0D1A">
              <w:rPr>
                <w:rFonts w:ascii="Calibri" w:hAnsi="Calibri" w:cs="Calibri"/>
                <w:color w:val="000000"/>
              </w:rPr>
              <w:t xml:space="preserve"> the pharmacy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0D1363CC" w14:textId="77777777" w:rsidTr="00D65FD3">
        <w:tc>
          <w:tcPr>
            <w:tcW w:w="1525" w:type="dxa"/>
          </w:tcPr>
          <w:p w14:paraId="0D1363CA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0D1363CB" w14:textId="77777777" w:rsidR="006B5A8F" w:rsidRPr="00E341F6" w:rsidRDefault="00EF0D1A" w:rsidP="00EF0D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>The pharmacist</w:t>
            </w:r>
            <w:r w:rsidR="00753C5F" w:rsidRPr="00753C5F">
              <w:rPr>
                <w:rFonts w:cstheme="minorHAnsi"/>
              </w:rPr>
              <w:t xml:space="preserve"> identifies need to establish the patient’s medication history.</w:t>
            </w:r>
          </w:p>
        </w:tc>
      </w:tr>
      <w:tr w:rsidR="006B5A8F" w:rsidRPr="00E341F6" w14:paraId="0D1363CF" w14:textId="77777777" w:rsidTr="00D65FD3">
        <w:tc>
          <w:tcPr>
            <w:tcW w:w="1525" w:type="dxa"/>
          </w:tcPr>
          <w:p w14:paraId="0D1363CD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0D1363CE" w14:textId="77777777" w:rsidR="006B5A8F" w:rsidRPr="00E341F6" w:rsidRDefault="00EF0D1A" w:rsidP="00EF0D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>The pharmacist</w:t>
            </w:r>
            <w:r w:rsidRPr="00753C5F">
              <w:rPr>
                <w:rFonts w:cstheme="minorHAnsi"/>
              </w:rPr>
              <w:t xml:space="preserve"> </w:t>
            </w:r>
            <w:r w:rsidR="00753C5F" w:rsidRPr="00753C5F">
              <w:rPr>
                <w:rFonts w:cstheme="minorHAnsi"/>
              </w:rPr>
              <w:t xml:space="preserve">accesses the </w:t>
            </w:r>
            <w:r>
              <w:rPr>
                <w:rFonts w:cstheme="minorHAnsi"/>
              </w:rPr>
              <w:t>pharmacy</w:t>
            </w:r>
            <w:r w:rsidR="00753C5F"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history.  </w:t>
            </w:r>
            <w:r>
              <w:rPr>
                <w:rFonts w:cstheme="minorHAnsi"/>
              </w:rPr>
              <w:t>T</w:t>
            </w:r>
            <w:r w:rsidRPr="00753C5F">
              <w:rPr>
                <w:rFonts w:cstheme="minorHAnsi"/>
              </w:rPr>
              <w:t xml:space="preserve">he </w:t>
            </w:r>
            <w:r>
              <w:rPr>
                <w:rFonts w:cstheme="minorHAnsi"/>
              </w:rPr>
              <w:t>pharmacy</w:t>
            </w:r>
            <w:r w:rsidRPr="00753C5F">
              <w:rPr>
                <w:rFonts w:cstheme="minorHAnsi"/>
              </w:rPr>
              <w:t xml:space="preserve"> system </w:t>
            </w:r>
            <w:r w:rsidR="00753C5F" w:rsidRPr="00753C5F">
              <w:rPr>
                <w:rFonts w:cstheme="minorHAnsi"/>
              </w:rPr>
              <w:t xml:space="preserve">requests </w:t>
            </w:r>
            <w:r w:rsidR="00472E5C">
              <w:rPr>
                <w:rFonts w:cstheme="minorHAnsi"/>
              </w:rPr>
              <w:t xml:space="preserve">the </w:t>
            </w:r>
            <w:r w:rsidR="00753C5F"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="00753C5F"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0D1363D2" w14:textId="77777777" w:rsidTr="00D65FD3">
        <w:tc>
          <w:tcPr>
            <w:tcW w:w="1525" w:type="dxa"/>
          </w:tcPr>
          <w:p w14:paraId="0D1363D0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0D1363D1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0D1363E1" w14:textId="77777777" w:rsidTr="00D65FD3">
        <w:tc>
          <w:tcPr>
            <w:tcW w:w="1525" w:type="dxa"/>
          </w:tcPr>
          <w:p w14:paraId="0D1363D3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0D1363D4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0D1363D5" w14:textId="77777777" w:rsidR="00753C5F" w:rsidRDefault="00753C5F" w:rsidP="00D65FD3">
            <w:pPr>
              <w:rPr>
                <w:rFonts w:cstheme="minorHAnsi"/>
              </w:rPr>
            </w:pPr>
          </w:p>
          <w:p w14:paraId="0D1363D6" w14:textId="77777777" w:rsidR="00753C5F" w:rsidRPr="00753C5F" w:rsidRDefault="0098531E" w:rsidP="00753C5F">
            <w:pPr>
              <w:rPr>
                <w:rFonts w:cstheme="minorHAnsi"/>
              </w:rPr>
            </w:pPr>
            <w:r>
              <w:rPr>
                <w:rFonts w:cstheme="minorHAnsi"/>
              </w:rPr>
              <w:t>The GP patient record will include</w:t>
            </w:r>
            <w:r w:rsidR="00753C5F" w:rsidRPr="00753C5F">
              <w:rPr>
                <w:rFonts w:cstheme="minorHAnsi"/>
              </w:rPr>
              <w:t>:</w:t>
            </w:r>
          </w:p>
          <w:p w14:paraId="0D1363D7" w14:textId="77777777" w:rsidR="00753C5F" w:rsidRP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Medications</w:t>
            </w:r>
          </w:p>
          <w:p w14:paraId="0D1363D8" w14:textId="77777777" w:rsid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Allergies</w:t>
            </w:r>
          </w:p>
          <w:p w14:paraId="0D1363D9" w14:textId="77777777" w:rsidR="00EF0D1A" w:rsidRPr="00753C5F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Vaccinations</w:t>
            </w:r>
          </w:p>
          <w:p w14:paraId="0D1363DA" w14:textId="77777777" w:rsidR="00753C5F" w:rsidRDefault="00472E5C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Conditions</w:t>
            </w:r>
            <w:r w:rsidR="00EF0D1A">
              <w:rPr>
                <w:rFonts w:cstheme="minorHAnsi"/>
              </w:rPr>
              <w:t>/Problems</w:t>
            </w:r>
          </w:p>
          <w:p w14:paraId="0D1363DB" w14:textId="77777777" w:rsidR="00EF0D1A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Observations</w:t>
            </w:r>
          </w:p>
          <w:p w14:paraId="0D1363DC" w14:textId="77777777" w:rsidR="00EF0D1A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Procedures</w:t>
            </w:r>
          </w:p>
          <w:p w14:paraId="0D1363DD" w14:textId="77777777" w:rsidR="00EF0D1A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Encounters</w:t>
            </w:r>
          </w:p>
          <w:p w14:paraId="0D1363DE" w14:textId="77777777" w:rsidR="00EF0D1A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Investigations</w:t>
            </w:r>
          </w:p>
          <w:p w14:paraId="0D1363DF" w14:textId="77777777" w:rsidR="00EF0D1A" w:rsidRPr="00753C5F" w:rsidRDefault="00EF0D1A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Documents</w:t>
            </w:r>
          </w:p>
          <w:p w14:paraId="0D1363E0" w14:textId="77777777" w:rsidR="00753C5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0D1363E4" w14:textId="77777777" w:rsidTr="00D65FD3">
        <w:tc>
          <w:tcPr>
            <w:tcW w:w="1525" w:type="dxa"/>
          </w:tcPr>
          <w:p w14:paraId="0D1363E2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0D1363E3" w14:textId="77777777" w:rsidR="00F10CAE" w:rsidRPr="00F10CAE" w:rsidRDefault="00753C5F" w:rsidP="00EF0D1A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98531E">
              <w:rPr>
                <w:rFonts w:ascii="Calibri" w:hAnsi="Calibri" w:cs="Calibri"/>
                <w:color w:val="000000"/>
              </w:rPr>
              <w:t xml:space="preserve">the </w:t>
            </w:r>
            <w:r w:rsidR="00EF0D1A">
              <w:rPr>
                <w:rFonts w:ascii="Calibri" w:hAnsi="Calibri" w:cs="Calibri"/>
                <w:color w:val="000000"/>
              </w:rPr>
              <w:t>pharmacy</w:t>
            </w:r>
            <w:r w:rsidR="0098531E">
              <w:rPr>
                <w:rFonts w:ascii="Calibri" w:hAnsi="Calibri" w:cs="Calibri"/>
                <w:color w:val="000000"/>
              </w:rPr>
              <w:t xml:space="preserve"> system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0D1363E7" w14:textId="77777777" w:rsidTr="00D65FD3">
        <w:tc>
          <w:tcPr>
            <w:tcW w:w="1525" w:type="dxa"/>
          </w:tcPr>
          <w:p w14:paraId="0D1363E5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0D1363E6" w14:textId="77777777" w:rsidR="006B5A8F" w:rsidRPr="00E341F6" w:rsidRDefault="0098531E" w:rsidP="00EF0D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 xml:space="preserve">The </w:t>
            </w:r>
            <w:r w:rsidR="00EF0D1A">
              <w:rPr>
                <w:rFonts w:cstheme="minorHAnsi"/>
              </w:rPr>
              <w:t>pharmacy</w:t>
            </w:r>
            <w:r>
              <w:rPr>
                <w:rFonts w:cstheme="minorHAnsi"/>
              </w:rPr>
              <w:t xml:space="preserve"> system</w:t>
            </w:r>
            <w:r w:rsidR="00753C5F" w:rsidRPr="00753C5F">
              <w:rPr>
                <w:rFonts w:cstheme="minorHAnsi"/>
              </w:rPr>
              <w:t xml:space="preserve"> </w:t>
            </w:r>
            <w:r w:rsidR="00EF0D1A">
              <w:rPr>
                <w:rFonts w:cstheme="minorHAnsi"/>
              </w:rPr>
              <w:t>presents the</w:t>
            </w:r>
            <w:r w:rsidR="00753C5F" w:rsidRPr="00753C5F">
              <w:rPr>
                <w:rFonts w:cstheme="minorHAnsi"/>
              </w:rPr>
              <w:t xml:space="preserve"> GP </w:t>
            </w:r>
            <w:r w:rsidR="00472E5C">
              <w:rPr>
                <w:rFonts w:cstheme="minorHAnsi"/>
              </w:rPr>
              <w:t>patient record</w:t>
            </w:r>
            <w:r w:rsidR="00753C5F" w:rsidRPr="00753C5F">
              <w:rPr>
                <w:rFonts w:cstheme="minorHAnsi"/>
              </w:rPr>
              <w:t xml:space="preserve"> </w:t>
            </w:r>
            <w:r w:rsidR="00EF0D1A">
              <w:rPr>
                <w:rFonts w:cstheme="minorHAnsi"/>
              </w:rPr>
              <w:t>to the pharmacist.</w:t>
            </w:r>
          </w:p>
        </w:tc>
      </w:tr>
    </w:tbl>
    <w:p w14:paraId="0D1363E8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63977"/>
    <w:rsid w:val="000B60CA"/>
    <w:rsid w:val="000C48AC"/>
    <w:rsid w:val="000F265A"/>
    <w:rsid w:val="00147F34"/>
    <w:rsid w:val="001B6089"/>
    <w:rsid w:val="0020050D"/>
    <w:rsid w:val="002133E0"/>
    <w:rsid w:val="00230D71"/>
    <w:rsid w:val="00245DEA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C0303"/>
    <w:rsid w:val="005C637A"/>
    <w:rsid w:val="005F663F"/>
    <w:rsid w:val="00611CA5"/>
    <w:rsid w:val="006A3B12"/>
    <w:rsid w:val="006B5A8F"/>
    <w:rsid w:val="006D0728"/>
    <w:rsid w:val="00753C5F"/>
    <w:rsid w:val="007A044B"/>
    <w:rsid w:val="007A1FFE"/>
    <w:rsid w:val="007C07A1"/>
    <w:rsid w:val="007D1D90"/>
    <w:rsid w:val="007F1A87"/>
    <w:rsid w:val="007F53C5"/>
    <w:rsid w:val="00882AB6"/>
    <w:rsid w:val="008F7318"/>
    <w:rsid w:val="00902AD7"/>
    <w:rsid w:val="00951E04"/>
    <w:rsid w:val="0098531E"/>
    <w:rsid w:val="009D0C2D"/>
    <w:rsid w:val="009F0665"/>
    <w:rsid w:val="009F1EE3"/>
    <w:rsid w:val="00A65453"/>
    <w:rsid w:val="00AA30F1"/>
    <w:rsid w:val="00AB60ED"/>
    <w:rsid w:val="00AE444F"/>
    <w:rsid w:val="00AF4DBF"/>
    <w:rsid w:val="00B74D80"/>
    <w:rsid w:val="00B8124E"/>
    <w:rsid w:val="00B94009"/>
    <w:rsid w:val="00BB41EE"/>
    <w:rsid w:val="00BB5EEF"/>
    <w:rsid w:val="00BB7703"/>
    <w:rsid w:val="00BF36ED"/>
    <w:rsid w:val="00CA2D81"/>
    <w:rsid w:val="00CC1E2B"/>
    <w:rsid w:val="00CC3D03"/>
    <w:rsid w:val="00D22DA5"/>
    <w:rsid w:val="00D3566C"/>
    <w:rsid w:val="00DC46F5"/>
    <w:rsid w:val="00DC499F"/>
    <w:rsid w:val="00DC5607"/>
    <w:rsid w:val="00E341F6"/>
    <w:rsid w:val="00E84C8D"/>
    <w:rsid w:val="00EE597B"/>
    <w:rsid w:val="00EF0D1A"/>
    <w:rsid w:val="00F10CAE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638E"/>
  <w15:docId w15:val="{710A7D8E-F557-4687-B584-04AEC643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NHSD-1000041-878486224-779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https://hscic365.sharepoint.com/sites/gpsoc/GPC/_layouts/15/DocIdRedir.aspx?ID=NHSD-1000041-878486224-779</Url>
      <Description>NHSD-1000041-878486224-779</Description>
    </_dlc_DocIdUrl>
  </documentManagement>
</p:properties>
</file>

<file path=customXml/item6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27CA417F-6060-4484-8524-9C68AA1DE87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35a352f6-bb32-4738-bdb1-5d89d34e1d5b"/>
    <ds:schemaRef ds:uri="5668c8bc-6c30-45e9-80ca-5109d4270dfd"/>
    <ds:schemaRef ds:uri="http://schemas.microsoft.com/sharepoint/v3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10</cp:revision>
  <dcterms:created xsi:type="dcterms:W3CDTF">2017-12-14T16:30:00Z</dcterms:created>
  <dcterms:modified xsi:type="dcterms:W3CDTF">2018-02-09T11:51:00Z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f4786b5b-7920-4c7b-9750-e9790640c707</vt:lpwstr>
  </property>
</Properties>
</file>