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13201" w14:textId="22124F40" w:rsidR="000E3606"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9D39E7">
        <w:br/>
      </w:r>
      <w:r w:rsidRPr="3378EA2B">
        <w:rPr>
          <w:rFonts w:ascii="Arial" w:eastAsia="Arial" w:hAnsi="Arial" w:cs="Arial"/>
          <w:b/>
          <w:bCs/>
          <w:sz w:val="32"/>
          <w:szCs w:val="32"/>
        </w:rPr>
        <w:t>Report Template</w:t>
      </w:r>
    </w:p>
    <w:p w14:paraId="672A6659" w14:textId="77777777" w:rsidR="000E3606" w:rsidRDefault="009D39E7" w:rsidP="3378EA2B">
      <w:pPr>
        <w:rPr>
          <w:rFonts w:ascii="Arial" w:eastAsia="Arial" w:hAnsi="Arial" w:cs="Arial"/>
        </w:rPr>
      </w:pPr>
      <w:r>
        <w:br/>
      </w:r>
    </w:p>
    <w:p w14:paraId="32A36C38" w14:textId="77777777" w:rsidR="000E3606"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5C10EF31" w14:textId="533A2787" w:rsidR="00C15E36" w:rsidRPr="00C15E36" w:rsidRDefault="00C15E36" w:rsidP="00C15E36">
      <w:pPr>
        <w:pStyle w:val="NormalWeb"/>
        <w:rPr>
          <w:rFonts w:asciiTheme="minorBidi" w:hAnsiTheme="minorBidi" w:cstheme="minorBidi"/>
          <w:sz w:val="22"/>
          <w:szCs w:val="22"/>
        </w:rPr>
      </w:pPr>
      <w:r w:rsidRPr="00C15E36">
        <w:rPr>
          <w:rFonts w:asciiTheme="minorBidi" w:hAnsiTheme="minorBidi" w:cstheme="minorBidi"/>
          <w:sz w:val="22"/>
          <w:szCs w:val="22"/>
        </w:rPr>
        <w:t>The purpose of this report is to conduct an exploratory data analysis (EDA) on Geldium’s customer dataset to assess data quality, identify missing values, and uncover early indicators of credit card delinquency. The insights will support predictive modeling and risk management strategies.</w:t>
      </w:r>
    </w:p>
    <w:p w14:paraId="5F1C37D1" w14:textId="77777777" w:rsidR="000E3606"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42B2C3E9" w14:textId="7B959946" w:rsidR="000E3606" w:rsidRDefault="3378EA2B" w:rsidP="3378EA2B">
      <w:pPr>
        <w:rPr>
          <w:rFonts w:ascii="Arial" w:eastAsia="Arial" w:hAnsi="Arial" w:cs="Arial"/>
        </w:rPr>
      </w:pPr>
      <w:r w:rsidRPr="3378EA2B">
        <w:rPr>
          <w:rFonts w:ascii="Arial" w:eastAsia="Arial" w:hAnsi="Arial" w:cs="Arial"/>
        </w:rPr>
        <w:t>- Number of records: [</w:t>
      </w:r>
      <w:r w:rsidR="003C213D">
        <w:rPr>
          <w:rFonts w:ascii="Arial" w:eastAsia="Arial" w:hAnsi="Arial" w:cs="Arial"/>
        </w:rPr>
        <w:t>500</w:t>
      </w:r>
      <w:r w:rsidRPr="3378EA2B">
        <w:rPr>
          <w:rFonts w:ascii="Arial" w:eastAsia="Arial" w:hAnsi="Arial" w:cs="Arial"/>
        </w:rPr>
        <w:t>]</w:t>
      </w:r>
    </w:p>
    <w:p w14:paraId="235E2D72" w14:textId="77BF5064" w:rsidR="009D39E7" w:rsidRDefault="3378EA2B" w:rsidP="005F035C">
      <w:pPr>
        <w:rPr>
          <w:rFonts w:ascii="Arial" w:eastAsia="Arial" w:hAnsi="Arial" w:cs="Arial"/>
        </w:rPr>
      </w:pPr>
      <w:r w:rsidRPr="3378EA2B">
        <w:rPr>
          <w:rFonts w:ascii="Arial" w:eastAsia="Arial" w:hAnsi="Arial" w:cs="Arial"/>
        </w:rPr>
        <w:t xml:space="preserve">- Key variables: </w:t>
      </w:r>
      <w:r w:rsidR="00DE1107">
        <w:rPr>
          <w:rFonts w:ascii="Arial" w:eastAsia="Arial" w:hAnsi="Arial" w:cs="Arial"/>
        </w:rPr>
        <w:br/>
      </w:r>
      <w:r w:rsidR="003C213D">
        <w:br/>
      </w:r>
      <w:r w:rsidR="00DE1107">
        <w:t>• Credit_Utilization : Percentage of available credit currently in use.</w:t>
      </w:r>
      <w:r w:rsidR="00DE1107">
        <w:br/>
        <w:t>• Missed_Payments  : Total number of missed payments in the past 12 months.</w:t>
      </w:r>
      <w:r w:rsidR="00DE1107">
        <w:br/>
        <w:t xml:space="preserve">• </w:t>
      </w:r>
      <w:r w:rsidR="005F035C">
        <w:t>Debt_to_Income_Ratio</w:t>
      </w:r>
      <w:r w:rsidR="00DE1107">
        <w:t xml:space="preserve">: </w:t>
      </w:r>
      <w:r w:rsidR="005F035C">
        <w:t>Ratio of total debt to income, expressed as a percentage.</w:t>
      </w:r>
      <w:r w:rsidR="00DE1107">
        <w:br/>
      </w:r>
      <w:r w:rsidR="005F035C">
        <w:rPr>
          <w:rFonts w:ascii="Arial" w:eastAsia="Arial" w:hAnsi="Arial" w:cs="Arial"/>
        </w:rPr>
        <w:br/>
      </w:r>
      <w:r w:rsidRPr="3378EA2B">
        <w:rPr>
          <w:rFonts w:ascii="Arial" w:eastAsia="Arial" w:hAnsi="Arial" w:cs="Arial"/>
        </w:rPr>
        <w:t>- Data types: [Categorical, Numerical, etc.]</w:t>
      </w:r>
      <w:r w:rsidR="00DE1107">
        <w:rPr>
          <w:rFonts w:ascii="Arial" w:eastAsia="Arial" w:hAnsi="Arial" w:cs="Arial"/>
        </w:rPr>
        <w:t xml:space="preserve"> </w:t>
      </w:r>
      <w:r w:rsidR="00DE1107">
        <w:rPr>
          <w:rFonts w:ascii="Arial" w:eastAsia="Arial" w:hAnsi="Arial" w:cs="Arial"/>
        </w:rPr>
        <w:br/>
      </w:r>
      <w:r w:rsidR="00DE1107">
        <w:t>Customer_ID : Categorical , Age: Numerical,</w:t>
      </w:r>
      <w:r w:rsidR="00DE1107">
        <w:rPr>
          <w:rFonts w:ascii="Arial" w:eastAsia="Arial" w:hAnsi="Arial" w:cs="Arial"/>
        </w:rPr>
        <w:t xml:space="preserve"> </w:t>
      </w:r>
      <w:r w:rsidR="00DE1107">
        <w:t xml:space="preserve">Income: </w:t>
      </w:r>
      <w:r w:rsidR="009D39E7">
        <w:t>Numerical, may contain missing values</w:t>
      </w:r>
      <w:r w:rsidR="00DE1107">
        <w:t xml:space="preserve">, </w:t>
      </w:r>
      <w:r w:rsidR="009D39E7">
        <w:t>Credit_Score</w:t>
      </w:r>
      <w:r w:rsidR="00DE1107">
        <w:t xml:space="preserve">: </w:t>
      </w:r>
      <w:r w:rsidR="009D39E7">
        <w:t>Numerical</w:t>
      </w:r>
      <w:r w:rsidR="00DE1107">
        <w:t xml:space="preserve">, </w:t>
      </w:r>
      <w:r w:rsidR="009D39E7">
        <w:t xml:space="preserve">Credit_Utilization </w:t>
      </w:r>
      <w:r w:rsidR="00DE1107">
        <w:t xml:space="preserve">_ID : </w:t>
      </w:r>
      <w:r w:rsidR="009D39E7">
        <w:t>Numerical</w:t>
      </w:r>
      <w:r w:rsidR="00DE1107">
        <w:t xml:space="preserve">, </w:t>
      </w:r>
      <w:r w:rsidR="009D39E7">
        <w:t>Missed_Payments</w:t>
      </w:r>
      <w:r w:rsidR="00DE1107">
        <w:t xml:space="preserve">: </w:t>
      </w:r>
      <w:r w:rsidR="009D39E7">
        <w:t>Numerical</w:t>
      </w:r>
      <w:r w:rsidR="00DE1107">
        <w:t>,</w:t>
      </w:r>
      <w:r w:rsidR="00DE1107" w:rsidRPr="00DE1107">
        <w:t xml:space="preserve"> </w:t>
      </w:r>
      <w:r w:rsidR="009D39E7">
        <w:t>Delinquent_Account</w:t>
      </w:r>
      <w:r w:rsidR="00DE1107">
        <w:t xml:space="preserve">: </w:t>
      </w:r>
      <w:r w:rsidR="009D39E7">
        <w:t>Binary: 0=No, 1=Yes)</w:t>
      </w:r>
      <w:r w:rsidR="00DE1107">
        <w:t xml:space="preserve">, </w:t>
      </w:r>
      <w:r w:rsidR="009D39E7">
        <w:t>Loan_Balance</w:t>
      </w:r>
      <w:r w:rsidR="00DE1107">
        <w:t xml:space="preserve">: </w:t>
      </w:r>
      <w:r w:rsidR="009D39E7">
        <w:t>Numerical</w:t>
      </w:r>
      <w:r w:rsidR="00DE1107">
        <w:t xml:space="preserve">, </w:t>
      </w:r>
      <w:r w:rsidR="009D39E7">
        <w:t>Debt_to_Income_Ratio</w:t>
      </w:r>
      <w:r w:rsidR="00DE1107">
        <w:t xml:space="preserve">: </w:t>
      </w:r>
      <w:r w:rsidR="009D39E7">
        <w:t>Numerical</w:t>
      </w:r>
      <w:r w:rsidR="00DE1107">
        <w:t xml:space="preserve">, </w:t>
      </w:r>
      <w:r w:rsidR="009D39E7">
        <w:t>Employment_Status</w:t>
      </w:r>
      <w:r w:rsidR="00DE1107">
        <w:t xml:space="preserve">: Categorical , </w:t>
      </w:r>
      <w:r w:rsidR="009D39E7">
        <w:t>Account_Tenure</w:t>
      </w:r>
      <w:r w:rsidR="00DE1107">
        <w:t xml:space="preserve">: </w:t>
      </w:r>
      <w:r w:rsidR="009D39E7">
        <w:t>Numerical</w:t>
      </w:r>
      <w:r w:rsidR="00DE1107">
        <w:t xml:space="preserve">, </w:t>
      </w:r>
      <w:r w:rsidR="009D39E7">
        <w:t>Credit_Card_Type</w:t>
      </w:r>
      <w:r w:rsidR="00DE1107">
        <w:t>: Categorical ,</w:t>
      </w:r>
      <w:r w:rsidR="009D39E7">
        <w:rPr>
          <w:rFonts w:ascii="Arial" w:eastAsia="Arial" w:hAnsi="Arial" w:cs="Arial"/>
        </w:rPr>
        <w:t xml:space="preserve"> </w:t>
      </w:r>
      <w:r w:rsidR="009D39E7">
        <w:t>Location: Categorical ,</w:t>
      </w:r>
      <w:r w:rsidR="009D39E7">
        <w:rPr>
          <w:rFonts w:ascii="Arial" w:eastAsia="Arial" w:hAnsi="Arial" w:cs="Arial"/>
        </w:rPr>
        <w:t xml:space="preserve"> </w:t>
      </w:r>
      <w:r w:rsidR="009D39E7">
        <w:t>Month_1 to Month_6: Categorical ,</w:t>
      </w:r>
    </w:p>
    <w:p w14:paraId="09699B43" w14:textId="6F02337F" w:rsidR="009D39E7" w:rsidRDefault="009D39E7" w:rsidP="009D39E7">
      <w:pPr>
        <w:rPr>
          <w:rFonts w:ascii="Arial" w:eastAsia="Arial" w:hAnsi="Arial" w:cs="Arial"/>
        </w:rPr>
      </w:pPr>
    </w:p>
    <w:p w14:paraId="1B67B0C4" w14:textId="337612A9" w:rsidR="00DE1107" w:rsidRDefault="00DE1107" w:rsidP="00DE1107">
      <w:pPr>
        <w:rPr>
          <w:rFonts w:ascii="Arial" w:eastAsia="Arial" w:hAnsi="Arial" w:cs="Arial"/>
        </w:rPr>
      </w:pPr>
    </w:p>
    <w:p w14:paraId="5A7A0835" w14:textId="77777777" w:rsidR="000E3606"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2657B9B7" w14:textId="77777777" w:rsidR="000E3606" w:rsidRDefault="3378EA2B" w:rsidP="3378EA2B">
      <w:pPr>
        <w:rPr>
          <w:rFonts w:ascii="Arial" w:eastAsia="Arial" w:hAnsi="Arial" w:cs="Arial"/>
        </w:rPr>
      </w:pPr>
      <w:r w:rsidRPr="3378EA2B">
        <w:rPr>
          <w:rFonts w:ascii="Arial" w:eastAsia="Arial" w:hAnsi="Arial" w:cs="Arial"/>
        </w:rPr>
        <w:t>Identifying and addressing missing data is critical to ensuring model accuracy. This section outlines missing values in the dataset, the approach taken to handle them, and justifications for the chosen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3267"/>
        <w:gridCol w:w="3849"/>
      </w:tblGrid>
      <w:tr w:rsidR="000B5493" w:rsidRPr="000B5493" w14:paraId="68A1CDD7" w14:textId="77777777" w:rsidTr="000B5493">
        <w:trPr>
          <w:tblHeader/>
          <w:tblCellSpacing w:w="15" w:type="dxa"/>
        </w:trPr>
        <w:tc>
          <w:tcPr>
            <w:tcW w:w="0" w:type="auto"/>
            <w:vAlign w:val="center"/>
            <w:hideMark/>
          </w:tcPr>
          <w:p w14:paraId="0BF6E827" w14:textId="77777777" w:rsidR="000B5493" w:rsidRPr="000B5493" w:rsidRDefault="000B5493" w:rsidP="000B5493">
            <w:pPr>
              <w:spacing w:after="0" w:line="240" w:lineRule="auto"/>
              <w:jc w:val="center"/>
              <w:rPr>
                <w:rFonts w:ascii="Times New Roman" w:eastAsia="Times New Roman" w:hAnsi="Times New Roman" w:cs="Times New Roman"/>
                <w:b/>
                <w:bCs/>
                <w:sz w:val="24"/>
                <w:szCs w:val="24"/>
              </w:rPr>
            </w:pPr>
            <w:r w:rsidRPr="000B5493">
              <w:rPr>
                <w:rFonts w:ascii="Times New Roman" w:eastAsia="Times New Roman" w:hAnsi="Times New Roman" w:cs="Times New Roman"/>
                <w:b/>
                <w:bCs/>
                <w:sz w:val="24"/>
                <w:szCs w:val="24"/>
              </w:rPr>
              <w:t>Variable</w:t>
            </w:r>
          </w:p>
        </w:tc>
        <w:tc>
          <w:tcPr>
            <w:tcW w:w="0" w:type="auto"/>
            <w:vAlign w:val="center"/>
            <w:hideMark/>
          </w:tcPr>
          <w:p w14:paraId="1A34E9FA" w14:textId="77777777" w:rsidR="000B5493" w:rsidRPr="000B5493" w:rsidRDefault="000B5493" w:rsidP="000B5493">
            <w:pPr>
              <w:spacing w:after="0" w:line="240" w:lineRule="auto"/>
              <w:jc w:val="center"/>
              <w:rPr>
                <w:rFonts w:ascii="Times New Roman" w:eastAsia="Times New Roman" w:hAnsi="Times New Roman" w:cs="Times New Roman"/>
                <w:b/>
                <w:bCs/>
                <w:sz w:val="24"/>
                <w:szCs w:val="24"/>
              </w:rPr>
            </w:pPr>
            <w:r w:rsidRPr="000B5493">
              <w:rPr>
                <w:rFonts w:ascii="Times New Roman" w:eastAsia="Times New Roman" w:hAnsi="Times New Roman" w:cs="Times New Roman"/>
                <w:b/>
                <w:bCs/>
                <w:sz w:val="24"/>
                <w:szCs w:val="24"/>
              </w:rPr>
              <w:t>Handling Method</w:t>
            </w:r>
          </w:p>
        </w:tc>
        <w:tc>
          <w:tcPr>
            <w:tcW w:w="0" w:type="auto"/>
            <w:vAlign w:val="center"/>
            <w:hideMark/>
          </w:tcPr>
          <w:p w14:paraId="7B00CC12" w14:textId="77777777" w:rsidR="000B5493" w:rsidRPr="000B5493" w:rsidRDefault="000B5493" w:rsidP="000B5493">
            <w:pPr>
              <w:spacing w:after="0" w:line="240" w:lineRule="auto"/>
              <w:jc w:val="center"/>
              <w:rPr>
                <w:rFonts w:ascii="Times New Roman" w:eastAsia="Times New Roman" w:hAnsi="Times New Roman" w:cs="Times New Roman"/>
                <w:b/>
                <w:bCs/>
                <w:sz w:val="24"/>
                <w:szCs w:val="24"/>
              </w:rPr>
            </w:pPr>
            <w:r w:rsidRPr="000B5493">
              <w:rPr>
                <w:rFonts w:ascii="Times New Roman" w:eastAsia="Times New Roman" w:hAnsi="Times New Roman" w:cs="Times New Roman"/>
                <w:b/>
                <w:bCs/>
                <w:sz w:val="24"/>
                <w:szCs w:val="24"/>
              </w:rPr>
              <w:t>Justification</w:t>
            </w:r>
          </w:p>
        </w:tc>
      </w:tr>
      <w:tr w:rsidR="000B5493" w:rsidRPr="000B5493" w14:paraId="611EC197" w14:textId="77777777" w:rsidTr="000B5493">
        <w:trPr>
          <w:tblCellSpacing w:w="15" w:type="dxa"/>
        </w:trPr>
        <w:tc>
          <w:tcPr>
            <w:tcW w:w="0" w:type="auto"/>
            <w:vAlign w:val="center"/>
            <w:hideMark/>
          </w:tcPr>
          <w:p w14:paraId="2262A253" w14:textId="77777777" w:rsidR="000B5493" w:rsidRPr="000B5493" w:rsidRDefault="000B5493" w:rsidP="000B5493">
            <w:pPr>
              <w:spacing w:after="0" w:line="240" w:lineRule="auto"/>
              <w:rPr>
                <w:rFonts w:ascii="Times New Roman" w:eastAsia="Times New Roman" w:hAnsi="Times New Roman" w:cs="Times New Roman"/>
                <w:sz w:val="24"/>
                <w:szCs w:val="24"/>
              </w:rPr>
            </w:pPr>
            <w:r w:rsidRPr="000B5493">
              <w:rPr>
                <w:rFonts w:ascii="Times New Roman" w:eastAsia="Times New Roman" w:hAnsi="Times New Roman" w:cs="Times New Roman"/>
                <w:sz w:val="24"/>
                <w:szCs w:val="24"/>
              </w:rPr>
              <w:t>Income (39 missing)</w:t>
            </w:r>
          </w:p>
        </w:tc>
        <w:tc>
          <w:tcPr>
            <w:tcW w:w="0" w:type="auto"/>
            <w:vAlign w:val="center"/>
            <w:hideMark/>
          </w:tcPr>
          <w:p w14:paraId="3CFA0F3D" w14:textId="77777777" w:rsidR="000B5493" w:rsidRPr="000B5493" w:rsidRDefault="000B5493" w:rsidP="000B5493">
            <w:pPr>
              <w:spacing w:after="0" w:line="240" w:lineRule="auto"/>
              <w:rPr>
                <w:rFonts w:ascii="Times New Roman" w:eastAsia="Times New Roman" w:hAnsi="Times New Roman" w:cs="Times New Roman"/>
                <w:sz w:val="24"/>
                <w:szCs w:val="24"/>
              </w:rPr>
            </w:pPr>
            <w:r w:rsidRPr="000B5493">
              <w:rPr>
                <w:rFonts w:ascii="Times New Roman" w:eastAsia="Times New Roman" w:hAnsi="Times New Roman" w:cs="Times New Roman"/>
                <w:sz w:val="24"/>
                <w:szCs w:val="24"/>
              </w:rPr>
              <w:t xml:space="preserve">Median imputation / Synthetic values (Normal distribution, </w:t>
            </w:r>
            <w:r w:rsidRPr="000B5493">
              <w:rPr>
                <w:rFonts w:ascii="Times New Roman" w:eastAsia="Times New Roman" w:hAnsi="Times New Roman" w:cs="Times New Roman"/>
                <w:sz w:val="24"/>
                <w:szCs w:val="24"/>
              </w:rPr>
              <w:lastRenderedPageBreak/>
              <w:t>clipped)</w:t>
            </w:r>
          </w:p>
        </w:tc>
        <w:tc>
          <w:tcPr>
            <w:tcW w:w="0" w:type="auto"/>
            <w:vAlign w:val="center"/>
            <w:hideMark/>
          </w:tcPr>
          <w:p w14:paraId="60275CC4" w14:textId="77777777" w:rsidR="000B5493" w:rsidRPr="000B5493" w:rsidRDefault="000B5493" w:rsidP="000B5493">
            <w:pPr>
              <w:spacing w:after="0" w:line="240" w:lineRule="auto"/>
              <w:rPr>
                <w:rFonts w:ascii="Times New Roman" w:eastAsia="Times New Roman" w:hAnsi="Times New Roman" w:cs="Times New Roman"/>
                <w:sz w:val="24"/>
                <w:szCs w:val="24"/>
              </w:rPr>
            </w:pPr>
            <w:r w:rsidRPr="000B5493">
              <w:rPr>
                <w:rFonts w:ascii="Times New Roman" w:eastAsia="Times New Roman" w:hAnsi="Times New Roman" w:cs="Times New Roman"/>
                <w:sz w:val="24"/>
                <w:szCs w:val="24"/>
              </w:rPr>
              <w:lastRenderedPageBreak/>
              <w:t xml:space="preserve">Income is skewed; median and synthetic generation preserve realistic </w:t>
            </w:r>
            <w:r w:rsidRPr="000B5493">
              <w:rPr>
                <w:rFonts w:ascii="Times New Roman" w:eastAsia="Times New Roman" w:hAnsi="Times New Roman" w:cs="Times New Roman"/>
                <w:sz w:val="24"/>
                <w:szCs w:val="24"/>
              </w:rPr>
              <w:lastRenderedPageBreak/>
              <w:t>distribution.</w:t>
            </w:r>
          </w:p>
        </w:tc>
      </w:tr>
      <w:tr w:rsidR="000B5493" w:rsidRPr="000B5493" w14:paraId="4B06C102" w14:textId="77777777" w:rsidTr="000B5493">
        <w:trPr>
          <w:tblCellSpacing w:w="15" w:type="dxa"/>
        </w:trPr>
        <w:tc>
          <w:tcPr>
            <w:tcW w:w="0" w:type="auto"/>
            <w:vAlign w:val="center"/>
            <w:hideMark/>
          </w:tcPr>
          <w:p w14:paraId="73F59764" w14:textId="77777777" w:rsidR="000B5493" w:rsidRPr="000B5493" w:rsidRDefault="000B5493" w:rsidP="000B5493">
            <w:pPr>
              <w:spacing w:after="0" w:line="240" w:lineRule="auto"/>
              <w:rPr>
                <w:rFonts w:ascii="Times New Roman" w:eastAsia="Times New Roman" w:hAnsi="Times New Roman" w:cs="Times New Roman"/>
                <w:sz w:val="24"/>
                <w:szCs w:val="24"/>
              </w:rPr>
            </w:pPr>
            <w:r w:rsidRPr="000B5493">
              <w:rPr>
                <w:rFonts w:ascii="Times New Roman" w:eastAsia="Times New Roman" w:hAnsi="Times New Roman" w:cs="Times New Roman"/>
                <w:sz w:val="24"/>
                <w:szCs w:val="24"/>
              </w:rPr>
              <w:lastRenderedPageBreak/>
              <w:t>Credit Score (2 missing)</w:t>
            </w:r>
          </w:p>
        </w:tc>
        <w:tc>
          <w:tcPr>
            <w:tcW w:w="0" w:type="auto"/>
            <w:vAlign w:val="center"/>
            <w:hideMark/>
          </w:tcPr>
          <w:p w14:paraId="2FBDD9DB" w14:textId="77777777" w:rsidR="000B5493" w:rsidRPr="000B5493" w:rsidRDefault="000B5493" w:rsidP="000B5493">
            <w:pPr>
              <w:spacing w:after="0" w:line="240" w:lineRule="auto"/>
              <w:rPr>
                <w:rFonts w:ascii="Times New Roman" w:eastAsia="Times New Roman" w:hAnsi="Times New Roman" w:cs="Times New Roman"/>
                <w:sz w:val="24"/>
                <w:szCs w:val="24"/>
              </w:rPr>
            </w:pPr>
            <w:r w:rsidRPr="000B5493">
              <w:rPr>
                <w:rFonts w:ascii="Times New Roman" w:eastAsia="Times New Roman" w:hAnsi="Times New Roman" w:cs="Times New Roman"/>
                <w:sz w:val="24"/>
                <w:szCs w:val="24"/>
              </w:rPr>
              <w:t>Mean imputation</w:t>
            </w:r>
          </w:p>
        </w:tc>
        <w:tc>
          <w:tcPr>
            <w:tcW w:w="0" w:type="auto"/>
            <w:vAlign w:val="center"/>
            <w:hideMark/>
          </w:tcPr>
          <w:p w14:paraId="215B6A39" w14:textId="77777777" w:rsidR="000B5493" w:rsidRPr="000B5493" w:rsidRDefault="000B5493" w:rsidP="000B5493">
            <w:pPr>
              <w:spacing w:after="0" w:line="240" w:lineRule="auto"/>
              <w:rPr>
                <w:rFonts w:ascii="Times New Roman" w:eastAsia="Times New Roman" w:hAnsi="Times New Roman" w:cs="Times New Roman"/>
                <w:sz w:val="24"/>
                <w:szCs w:val="24"/>
              </w:rPr>
            </w:pPr>
            <w:r w:rsidRPr="000B5493">
              <w:rPr>
                <w:rFonts w:ascii="Times New Roman" w:eastAsia="Times New Roman" w:hAnsi="Times New Roman" w:cs="Times New Roman"/>
                <w:sz w:val="24"/>
                <w:szCs w:val="24"/>
              </w:rPr>
              <w:t>Very few values missing (&lt;1%), mean preserves dataset consistency.</w:t>
            </w:r>
          </w:p>
        </w:tc>
      </w:tr>
      <w:tr w:rsidR="000B5493" w:rsidRPr="000B5493" w14:paraId="66735F20" w14:textId="77777777" w:rsidTr="000B5493">
        <w:trPr>
          <w:tblCellSpacing w:w="15" w:type="dxa"/>
        </w:trPr>
        <w:tc>
          <w:tcPr>
            <w:tcW w:w="0" w:type="auto"/>
            <w:vAlign w:val="center"/>
            <w:hideMark/>
          </w:tcPr>
          <w:p w14:paraId="5D273B52" w14:textId="77777777" w:rsidR="000B5493" w:rsidRPr="000B5493" w:rsidRDefault="000B5493" w:rsidP="000B5493">
            <w:pPr>
              <w:spacing w:after="0" w:line="240" w:lineRule="auto"/>
              <w:rPr>
                <w:rFonts w:ascii="Times New Roman" w:eastAsia="Times New Roman" w:hAnsi="Times New Roman" w:cs="Times New Roman"/>
                <w:sz w:val="24"/>
                <w:szCs w:val="24"/>
              </w:rPr>
            </w:pPr>
            <w:r w:rsidRPr="000B5493">
              <w:rPr>
                <w:rFonts w:ascii="Times New Roman" w:eastAsia="Times New Roman" w:hAnsi="Times New Roman" w:cs="Times New Roman"/>
                <w:sz w:val="24"/>
                <w:szCs w:val="24"/>
              </w:rPr>
              <w:t>Loan Balance (29 missing)</w:t>
            </w:r>
          </w:p>
        </w:tc>
        <w:tc>
          <w:tcPr>
            <w:tcW w:w="0" w:type="auto"/>
            <w:vAlign w:val="center"/>
            <w:hideMark/>
          </w:tcPr>
          <w:p w14:paraId="451BB193" w14:textId="77777777" w:rsidR="000B5493" w:rsidRPr="000B5493" w:rsidRDefault="000B5493" w:rsidP="000B5493">
            <w:pPr>
              <w:spacing w:after="0" w:line="240" w:lineRule="auto"/>
              <w:rPr>
                <w:rFonts w:ascii="Times New Roman" w:eastAsia="Times New Roman" w:hAnsi="Times New Roman" w:cs="Times New Roman"/>
                <w:sz w:val="24"/>
                <w:szCs w:val="24"/>
              </w:rPr>
            </w:pPr>
            <w:r w:rsidRPr="000B5493">
              <w:rPr>
                <w:rFonts w:ascii="Times New Roman" w:eastAsia="Times New Roman" w:hAnsi="Times New Roman" w:cs="Times New Roman"/>
                <w:sz w:val="24"/>
                <w:szCs w:val="24"/>
              </w:rPr>
              <w:t>Synthetic data generation (Normal distribution with clipping)</w:t>
            </w:r>
          </w:p>
        </w:tc>
        <w:tc>
          <w:tcPr>
            <w:tcW w:w="0" w:type="auto"/>
            <w:vAlign w:val="center"/>
            <w:hideMark/>
          </w:tcPr>
          <w:p w14:paraId="527826BF" w14:textId="77777777" w:rsidR="000B5493" w:rsidRPr="000B5493" w:rsidRDefault="000B5493" w:rsidP="000B5493">
            <w:pPr>
              <w:spacing w:after="0" w:line="240" w:lineRule="auto"/>
              <w:rPr>
                <w:rFonts w:ascii="Times New Roman" w:eastAsia="Times New Roman" w:hAnsi="Times New Roman" w:cs="Times New Roman"/>
                <w:sz w:val="24"/>
                <w:szCs w:val="24"/>
              </w:rPr>
            </w:pPr>
            <w:r w:rsidRPr="000B5493">
              <w:rPr>
                <w:rFonts w:ascii="Times New Roman" w:eastAsia="Times New Roman" w:hAnsi="Times New Roman" w:cs="Times New Roman"/>
                <w:sz w:val="24"/>
                <w:szCs w:val="24"/>
              </w:rPr>
              <w:t>Maintains fairness and realistic distribution without bias.</w:t>
            </w:r>
          </w:p>
        </w:tc>
      </w:tr>
    </w:tbl>
    <w:p w14:paraId="42D602DA" w14:textId="77777777" w:rsidR="000E3606"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1CAEF71F" w14:textId="3B4CE028" w:rsidR="000E3606" w:rsidRDefault="3378EA2B" w:rsidP="3378EA2B">
      <w:pPr>
        <w:rPr>
          <w:rFonts w:ascii="Arial" w:eastAsia="Arial" w:hAnsi="Arial" w:cs="Arial"/>
        </w:rPr>
      </w:pPr>
      <w:r w:rsidRPr="3378EA2B">
        <w:rPr>
          <w:rFonts w:ascii="Arial" w:eastAsia="Arial" w:hAnsi="Arial" w:cs="Arial"/>
        </w:rPr>
        <w:t>This section identifies trends and patterns that may indicate risk factors for delinquency. Feature relationships and statistical correlations are explored to uncover insights relevant to predictive modeling.</w:t>
      </w:r>
      <w:r w:rsidR="005F035C" w:rsidRPr="005F035C">
        <w:rPr>
          <w:rFonts w:ascii="Arial" w:eastAsia="Arial" w:hAnsi="Arial" w:cs="Arial"/>
        </w:rPr>
        <w:t xml:space="preserve"> </w:t>
      </w:r>
      <w:r w:rsidR="005F035C" w:rsidRPr="3378EA2B">
        <w:rPr>
          <w:rFonts w:ascii="Arial" w:eastAsia="Arial" w:hAnsi="Arial" w:cs="Arial"/>
        </w:rPr>
        <w:t>Key Findings and Risk Indicators</w:t>
      </w:r>
    </w:p>
    <w:p w14:paraId="02F22804" w14:textId="77777777" w:rsidR="00B6752B" w:rsidRPr="00357B13" w:rsidRDefault="00B6752B" w:rsidP="00B6752B">
      <w:pPr>
        <w:spacing w:before="100" w:beforeAutospacing="1" w:after="100" w:afterAutospacing="1" w:line="240" w:lineRule="auto"/>
        <w:rPr>
          <w:rFonts w:asciiTheme="minorBidi" w:eastAsia="Times New Roman" w:hAnsiTheme="minorBidi"/>
          <w:bCs/>
        </w:rPr>
      </w:pPr>
      <w:r w:rsidRPr="00357B13">
        <w:rPr>
          <w:rFonts w:asciiTheme="minorBidi" w:eastAsia="Times New Roman" w:hAnsiTheme="minorBidi"/>
          <w:bCs/>
        </w:rPr>
        <w:t>  Credit Utilization &gt; 80% → Indicates over-leverage and low financial buffer, making delinquency highly likely.</w:t>
      </w:r>
    </w:p>
    <w:p w14:paraId="1EF5C040" w14:textId="77777777" w:rsidR="00B6752B" w:rsidRPr="00357B13" w:rsidRDefault="00B6752B" w:rsidP="00B6752B">
      <w:pPr>
        <w:spacing w:before="100" w:beforeAutospacing="1" w:after="100" w:afterAutospacing="1" w:line="240" w:lineRule="auto"/>
        <w:rPr>
          <w:rFonts w:asciiTheme="minorBidi" w:eastAsia="Times New Roman" w:hAnsiTheme="minorBidi"/>
          <w:bCs/>
        </w:rPr>
      </w:pPr>
      <w:r w:rsidRPr="00357B13">
        <w:rPr>
          <w:rFonts w:asciiTheme="minorBidi" w:eastAsia="Times New Roman" w:hAnsiTheme="minorBidi"/>
          <w:bCs/>
        </w:rPr>
        <w:t>  Credit Score &lt; 600 → Reflects poor repayment history and limited access to affordable credit; strong delinquency predictor.</w:t>
      </w:r>
    </w:p>
    <w:p w14:paraId="54DD23D4" w14:textId="77777777" w:rsidR="00B6752B" w:rsidRPr="00357B13" w:rsidRDefault="00B6752B" w:rsidP="00B6752B">
      <w:pPr>
        <w:spacing w:before="100" w:beforeAutospacing="1" w:after="100" w:afterAutospacing="1" w:line="240" w:lineRule="auto"/>
        <w:rPr>
          <w:rFonts w:asciiTheme="minorBidi" w:eastAsia="Times New Roman" w:hAnsiTheme="minorBidi"/>
          <w:bCs/>
        </w:rPr>
      </w:pPr>
      <w:r w:rsidRPr="00357B13">
        <w:rPr>
          <w:rFonts w:asciiTheme="minorBidi" w:eastAsia="Times New Roman" w:hAnsiTheme="minorBidi"/>
          <w:bCs/>
        </w:rPr>
        <w:t>  Loan-to-Income Ratio &gt; 40% → Shows heavy debt burden relative to income, directly affecting repayment capacity.</w:t>
      </w:r>
    </w:p>
    <w:p w14:paraId="42B45EEC" w14:textId="77777777" w:rsidR="00B6752B" w:rsidRPr="00357B13" w:rsidRDefault="00B6752B" w:rsidP="00B6752B">
      <w:pPr>
        <w:spacing w:before="100" w:beforeAutospacing="1" w:after="100" w:afterAutospacing="1" w:line="240" w:lineRule="auto"/>
        <w:rPr>
          <w:rFonts w:asciiTheme="minorBidi" w:eastAsia="Times New Roman" w:hAnsiTheme="minorBidi"/>
          <w:bCs/>
        </w:rPr>
      </w:pPr>
      <w:r w:rsidRPr="00357B13">
        <w:rPr>
          <w:rFonts w:asciiTheme="minorBidi" w:eastAsia="Times New Roman" w:hAnsiTheme="minorBidi"/>
          <w:bCs/>
        </w:rPr>
        <w:t>  Age 55–60 Group</w:t>
      </w:r>
      <w:r>
        <w:rPr>
          <w:rFonts w:asciiTheme="minorBidi" w:eastAsia="Times New Roman" w:hAnsiTheme="minorBidi"/>
          <w:bCs/>
        </w:rPr>
        <w:t xml:space="preserve"> (</w:t>
      </w:r>
      <w:r w:rsidRPr="3378EA2B">
        <w:rPr>
          <w:rFonts w:ascii="Arial" w:eastAsia="Arial" w:hAnsi="Arial" w:cs="Arial"/>
        </w:rPr>
        <w:t>Unexpected anomalies</w:t>
      </w:r>
      <w:r>
        <w:rPr>
          <w:rFonts w:asciiTheme="minorBidi" w:eastAsia="Times New Roman" w:hAnsiTheme="minorBidi"/>
          <w:bCs/>
        </w:rPr>
        <w:t>)</w:t>
      </w:r>
      <w:r w:rsidRPr="00357B13">
        <w:rPr>
          <w:rFonts w:asciiTheme="minorBidi" w:eastAsia="Times New Roman" w:hAnsiTheme="minorBidi"/>
          <w:bCs/>
        </w:rPr>
        <w:t xml:space="preserve"> → Delinquency rates are higher than expected, possibly linked to retirement stress—needs further investigation.</w:t>
      </w:r>
    </w:p>
    <w:p w14:paraId="1CAA5496" w14:textId="77777777" w:rsidR="00B6752B" w:rsidRPr="00357B13" w:rsidRDefault="00B6752B" w:rsidP="00B6752B">
      <w:pPr>
        <w:spacing w:before="100" w:beforeAutospacing="1" w:after="100" w:afterAutospacing="1" w:line="240" w:lineRule="auto"/>
        <w:rPr>
          <w:rFonts w:asciiTheme="minorBidi" w:eastAsia="Times New Roman" w:hAnsiTheme="minorBidi"/>
          <w:bCs/>
        </w:rPr>
      </w:pPr>
      <w:r w:rsidRPr="00357B13">
        <w:rPr>
          <w:rFonts w:asciiTheme="minorBidi" w:eastAsia="Times New Roman" w:hAnsiTheme="minorBidi"/>
          <w:bCs/>
        </w:rPr>
        <w:t>  Middle-Income Borrowers</w:t>
      </w:r>
      <w:r>
        <w:rPr>
          <w:rFonts w:asciiTheme="minorBidi" w:eastAsia="Times New Roman" w:hAnsiTheme="minorBidi"/>
          <w:bCs/>
        </w:rPr>
        <w:t xml:space="preserve"> (</w:t>
      </w:r>
      <w:r w:rsidRPr="3378EA2B">
        <w:rPr>
          <w:rFonts w:ascii="Arial" w:eastAsia="Arial" w:hAnsi="Arial" w:cs="Arial"/>
        </w:rPr>
        <w:t>Unexpected anomalies</w:t>
      </w:r>
      <w:r w:rsidRPr="00357B13">
        <w:rPr>
          <w:rFonts w:asciiTheme="minorBidi" w:eastAsia="Times New Roman" w:hAnsiTheme="minorBidi"/>
          <w:bCs/>
        </w:rPr>
        <w:t xml:space="preserve"> → Higher delinquency compared to some low-income groups, an unexpected trend suggesting over-borrowing relative to lifestyle.</w:t>
      </w:r>
    </w:p>
    <w:p w14:paraId="723692B8" w14:textId="77777777" w:rsidR="000E3606"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67451E16" w14:textId="77777777" w:rsidR="000E3606" w:rsidRDefault="3378EA2B" w:rsidP="3378EA2B">
      <w:pPr>
        <w:rPr>
          <w:rFonts w:ascii="Arial" w:eastAsia="Arial" w:hAnsi="Arial" w:cs="Arial"/>
        </w:rPr>
      </w:pPr>
      <w:r w:rsidRPr="3378EA2B">
        <w:rPr>
          <w:rFonts w:ascii="Arial" w:eastAsia="Arial" w:hAnsi="Arial" w:cs="Arial"/>
        </w:rPr>
        <w:t>Generative AI tools were used to summarize the dataset, impute missing data, and detect patterns. This section documents AI-generated insights and the prompts used to obtain results.</w:t>
      </w:r>
    </w:p>
    <w:p w14:paraId="080892BD" w14:textId="77777777" w:rsidR="000E3606" w:rsidRDefault="3378EA2B" w:rsidP="3378EA2B">
      <w:pPr>
        <w:rPr>
          <w:rFonts w:ascii="Arial" w:eastAsia="Arial" w:hAnsi="Arial" w:cs="Arial"/>
        </w:rPr>
      </w:pPr>
      <w:r w:rsidRPr="3378EA2B">
        <w:rPr>
          <w:rFonts w:ascii="Arial" w:eastAsia="Arial" w:hAnsi="Arial" w:cs="Arial"/>
        </w:rPr>
        <w:t>Example AI prompts used:</w:t>
      </w:r>
    </w:p>
    <w:p w14:paraId="4AF77594" w14:textId="77777777" w:rsidR="000E3606" w:rsidRDefault="3378EA2B" w:rsidP="3378EA2B">
      <w:pPr>
        <w:rPr>
          <w:rFonts w:ascii="Arial" w:eastAsia="Arial" w:hAnsi="Arial" w:cs="Arial"/>
        </w:rPr>
      </w:pPr>
      <w:r w:rsidRPr="3378EA2B">
        <w:rPr>
          <w:rFonts w:ascii="Arial" w:eastAsia="Arial" w:hAnsi="Arial" w:cs="Arial"/>
        </w:rPr>
        <w:t>- 'Summarize key patterns in the dataset and identify anomalies.'</w:t>
      </w:r>
    </w:p>
    <w:p w14:paraId="3A924E4C" w14:textId="77777777" w:rsidR="000E3606" w:rsidRDefault="3378EA2B" w:rsidP="3378EA2B">
      <w:pPr>
        <w:rPr>
          <w:rFonts w:ascii="Arial" w:eastAsia="Arial" w:hAnsi="Arial" w:cs="Arial"/>
        </w:rPr>
      </w:pPr>
      <w:r w:rsidRPr="3378EA2B">
        <w:rPr>
          <w:rFonts w:ascii="Arial" w:eastAsia="Arial" w:hAnsi="Arial" w:cs="Arial"/>
        </w:rPr>
        <w:t>- 'Suggest an imputation strategy for missing income values based on industry best practices.'</w:t>
      </w:r>
    </w:p>
    <w:p w14:paraId="1065B625" w14:textId="77777777" w:rsidR="000E3606" w:rsidRDefault="3378EA2B" w:rsidP="3378EA2B">
      <w:pPr>
        <w:pStyle w:val="Heading1"/>
        <w:rPr>
          <w:rFonts w:ascii="Arial" w:eastAsia="Arial" w:hAnsi="Arial" w:cs="Arial"/>
          <w:color w:val="auto"/>
        </w:rPr>
      </w:pPr>
      <w:r w:rsidRPr="3378EA2B">
        <w:rPr>
          <w:rFonts w:ascii="Arial" w:eastAsia="Arial" w:hAnsi="Arial" w:cs="Arial"/>
          <w:color w:val="auto"/>
        </w:rPr>
        <w:lastRenderedPageBreak/>
        <w:t>6. Conclusion &amp; Next Steps</w:t>
      </w:r>
    </w:p>
    <w:p w14:paraId="3EB2FE0A" w14:textId="77777777" w:rsidR="00B6752B" w:rsidRPr="00357B13" w:rsidRDefault="00B6752B" w:rsidP="00B6752B">
      <w:pPr>
        <w:pStyle w:val="NormalWeb"/>
        <w:rPr>
          <w:rFonts w:asciiTheme="minorBidi" w:hAnsiTheme="minorBidi" w:cstheme="minorBidi"/>
          <w:sz w:val="22"/>
          <w:szCs w:val="22"/>
        </w:rPr>
      </w:pPr>
      <w:r w:rsidRPr="00357B13">
        <w:rPr>
          <w:rStyle w:val="Strong"/>
          <w:rFonts w:asciiTheme="minorBidi" w:hAnsiTheme="minorBidi" w:cstheme="minorBidi"/>
          <w:b w:val="0"/>
          <w:bCs w:val="0"/>
          <w:sz w:val="22"/>
          <w:szCs w:val="22"/>
        </w:rPr>
        <w:t>Conclusion</w:t>
      </w:r>
      <w:r w:rsidRPr="00357B13">
        <w:rPr>
          <w:rStyle w:val="Strong"/>
          <w:rFonts w:asciiTheme="minorBidi" w:hAnsiTheme="minorBidi" w:cstheme="minorBidi"/>
          <w:sz w:val="22"/>
          <w:szCs w:val="22"/>
        </w:rPr>
        <w:t>:</w:t>
      </w:r>
      <w:r w:rsidRPr="00357B13">
        <w:rPr>
          <w:rFonts w:asciiTheme="minorBidi" w:hAnsiTheme="minorBidi" w:cstheme="minorBidi"/>
          <w:sz w:val="22"/>
          <w:szCs w:val="22"/>
        </w:rPr>
        <w:br/>
        <w:t>The analysis shows that high credit utilization, low credit scores, and high loan-to-income ratios are the strongest risk indicators of delinquency. Some unexpected patterns—such as higher delinquency among middle-income borrowers—need further study.</w:t>
      </w:r>
    </w:p>
    <w:p w14:paraId="73C8A9F5" w14:textId="77777777" w:rsidR="00B6752B" w:rsidRPr="00357B13" w:rsidRDefault="00B6752B" w:rsidP="00B6752B">
      <w:pPr>
        <w:pStyle w:val="NormalWeb"/>
        <w:rPr>
          <w:rFonts w:asciiTheme="minorBidi" w:hAnsiTheme="minorBidi" w:cstheme="minorBidi"/>
          <w:b/>
          <w:bCs/>
          <w:sz w:val="22"/>
          <w:szCs w:val="22"/>
        </w:rPr>
      </w:pPr>
      <w:r w:rsidRPr="00357B13">
        <w:rPr>
          <w:rStyle w:val="Strong"/>
          <w:rFonts w:asciiTheme="minorBidi" w:hAnsiTheme="minorBidi" w:cstheme="minorBidi"/>
          <w:b w:val="0"/>
          <w:bCs w:val="0"/>
          <w:sz w:val="22"/>
          <w:szCs w:val="22"/>
        </w:rPr>
        <w:t>Next Steps:</w:t>
      </w:r>
    </w:p>
    <w:p w14:paraId="742D2485" w14:textId="77777777" w:rsidR="00B6752B" w:rsidRPr="00357B13" w:rsidRDefault="00B6752B" w:rsidP="00B6752B">
      <w:pPr>
        <w:pStyle w:val="NormalWeb"/>
        <w:numPr>
          <w:ilvl w:val="0"/>
          <w:numId w:val="10"/>
        </w:numPr>
        <w:rPr>
          <w:rFonts w:asciiTheme="minorBidi" w:hAnsiTheme="minorBidi" w:cstheme="minorBidi"/>
          <w:sz w:val="22"/>
          <w:szCs w:val="22"/>
        </w:rPr>
      </w:pPr>
      <w:r w:rsidRPr="00357B13">
        <w:rPr>
          <w:rFonts w:asciiTheme="minorBidi" w:hAnsiTheme="minorBidi" w:cstheme="minorBidi"/>
          <w:sz w:val="22"/>
          <w:szCs w:val="22"/>
        </w:rPr>
        <w:t>Build a predictive model using key risk variables.</w:t>
      </w:r>
    </w:p>
    <w:p w14:paraId="02DF00B9" w14:textId="77777777" w:rsidR="00B6752B" w:rsidRPr="00357B13" w:rsidRDefault="00B6752B" w:rsidP="00B6752B">
      <w:pPr>
        <w:pStyle w:val="NormalWeb"/>
        <w:numPr>
          <w:ilvl w:val="0"/>
          <w:numId w:val="10"/>
        </w:numPr>
        <w:rPr>
          <w:rFonts w:asciiTheme="minorBidi" w:hAnsiTheme="minorBidi" w:cstheme="minorBidi"/>
          <w:sz w:val="22"/>
          <w:szCs w:val="22"/>
        </w:rPr>
      </w:pPr>
      <w:r w:rsidRPr="00357B13">
        <w:rPr>
          <w:rFonts w:asciiTheme="minorBidi" w:hAnsiTheme="minorBidi" w:cstheme="minorBidi"/>
          <w:sz w:val="22"/>
          <w:szCs w:val="22"/>
        </w:rPr>
        <w:t>Investigate unexpected patterns in more detail.</w:t>
      </w:r>
    </w:p>
    <w:p w14:paraId="402B7D2B" w14:textId="77777777" w:rsidR="00B6752B" w:rsidRPr="00357B13" w:rsidRDefault="00B6752B" w:rsidP="00B6752B">
      <w:pPr>
        <w:pStyle w:val="NormalWeb"/>
        <w:numPr>
          <w:ilvl w:val="0"/>
          <w:numId w:val="10"/>
        </w:numPr>
        <w:rPr>
          <w:rFonts w:asciiTheme="minorBidi" w:hAnsiTheme="minorBidi" w:cstheme="minorBidi"/>
          <w:sz w:val="22"/>
          <w:szCs w:val="22"/>
        </w:rPr>
      </w:pPr>
      <w:r w:rsidRPr="00357B13">
        <w:rPr>
          <w:rFonts w:asciiTheme="minorBidi" w:hAnsiTheme="minorBidi" w:cstheme="minorBidi"/>
          <w:sz w:val="22"/>
          <w:szCs w:val="22"/>
        </w:rPr>
        <w:t>Improve data quality by handling missing values consistently.</w:t>
      </w:r>
    </w:p>
    <w:p w14:paraId="5F6DAACC" w14:textId="77777777" w:rsidR="00B6752B" w:rsidRPr="00357B13" w:rsidRDefault="00B6752B" w:rsidP="00B6752B">
      <w:pPr>
        <w:pStyle w:val="NormalWeb"/>
        <w:numPr>
          <w:ilvl w:val="0"/>
          <w:numId w:val="10"/>
        </w:numPr>
        <w:rPr>
          <w:rFonts w:asciiTheme="minorBidi" w:hAnsiTheme="minorBidi" w:cstheme="minorBidi"/>
          <w:sz w:val="22"/>
          <w:szCs w:val="22"/>
        </w:rPr>
      </w:pPr>
      <w:r w:rsidRPr="00357B13">
        <w:rPr>
          <w:rFonts w:asciiTheme="minorBidi" w:hAnsiTheme="minorBidi" w:cstheme="minorBidi"/>
          <w:sz w:val="22"/>
          <w:szCs w:val="22"/>
        </w:rPr>
        <w:t>Monitor indicators regularly to update the model.</w:t>
      </w:r>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850C47"/>
    <w:multiLevelType w:val="multilevel"/>
    <w:tmpl w:val="6F3C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493"/>
    <w:rsid w:val="000E3606"/>
    <w:rsid w:val="0015074B"/>
    <w:rsid w:val="0029639D"/>
    <w:rsid w:val="00326F90"/>
    <w:rsid w:val="003C213D"/>
    <w:rsid w:val="005F035C"/>
    <w:rsid w:val="009D39E7"/>
    <w:rsid w:val="00AA1D8D"/>
    <w:rsid w:val="00B47730"/>
    <w:rsid w:val="00B6752B"/>
    <w:rsid w:val="00C15E36"/>
    <w:rsid w:val="00CB0664"/>
    <w:rsid w:val="00DE1107"/>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15E3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E11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13703">
      <w:bodyDiv w:val="1"/>
      <w:marLeft w:val="0"/>
      <w:marRight w:val="0"/>
      <w:marTop w:val="0"/>
      <w:marBottom w:val="0"/>
      <w:divBdr>
        <w:top w:val="none" w:sz="0" w:space="0" w:color="auto"/>
        <w:left w:val="none" w:sz="0" w:space="0" w:color="auto"/>
        <w:bottom w:val="none" w:sz="0" w:space="0" w:color="auto"/>
        <w:right w:val="none" w:sz="0" w:space="0" w:color="auto"/>
      </w:divBdr>
    </w:div>
    <w:div w:id="726611678">
      <w:bodyDiv w:val="1"/>
      <w:marLeft w:val="0"/>
      <w:marRight w:val="0"/>
      <w:marTop w:val="0"/>
      <w:marBottom w:val="0"/>
      <w:divBdr>
        <w:top w:val="none" w:sz="0" w:space="0" w:color="auto"/>
        <w:left w:val="none" w:sz="0" w:space="0" w:color="auto"/>
        <w:bottom w:val="none" w:sz="0" w:space="0" w:color="auto"/>
        <w:right w:val="none" w:sz="0" w:space="0" w:color="auto"/>
      </w:divBdr>
    </w:div>
    <w:div w:id="1897668392">
      <w:bodyDiv w:val="1"/>
      <w:marLeft w:val="0"/>
      <w:marRight w:val="0"/>
      <w:marTop w:val="0"/>
      <w:marBottom w:val="0"/>
      <w:divBdr>
        <w:top w:val="none" w:sz="0" w:space="0" w:color="auto"/>
        <w:left w:val="none" w:sz="0" w:space="0" w:color="auto"/>
        <w:bottom w:val="none" w:sz="0" w:space="0" w:color="auto"/>
        <w:right w:val="none" w:sz="0" w:space="0" w:color="auto"/>
      </w:divBdr>
      <w:divsChild>
        <w:div w:id="851143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ashraf alafandi</cp:lastModifiedBy>
  <cp:revision>5</cp:revision>
  <dcterms:created xsi:type="dcterms:W3CDTF">2013-12-23T23:15:00Z</dcterms:created>
  <dcterms:modified xsi:type="dcterms:W3CDTF">2025-08-16T22:48:00Z</dcterms:modified>
  <cp:category/>
</cp:coreProperties>
</file>