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2552E7CB" w14:textId="77777777" w:rsidR="004C2939" w:rsidRPr="00D149A3" w:rsidRDefault="004C2939" w:rsidP="004C293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D149A3">
        <w:rPr>
          <w:rFonts w:asciiTheme="minorBidi" w:hAnsiTheme="minorBidi" w:cstheme="minorBidi"/>
          <w:sz w:val="22"/>
          <w:szCs w:val="22"/>
        </w:rPr>
        <w:t xml:space="preserve"> 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High-Risk Segments</w:t>
      </w:r>
      <w:r w:rsidRPr="00D149A3">
        <w:rPr>
          <w:rFonts w:asciiTheme="minorBidi" w:hAnsiTheme="minorBidi" w:cstheme="minorBidi"/>
          <w:sz w:val="22"/>
          <w:szCs w:val="22"/>
        </w:rPr>
        <w:t xml:space="preserve">: Customers with repeated </w:t>
      </w:r>
      <w:r w:rsidRPr="00D149A3">
        <w:rPr>
          <w:rStyle w:val="Emphasis"/>
          <w:rFonts w:asciiTheme="minorBidi" w:hAnsiTheme="minorBidi" w:cstheme="minorBidi"/>
          <w:sz w:val="22"/>
          <w:szCs w:val="22"/>
        </w:rPr>
        <w:t>Late</w:t>
      </w:r>
      <w:r w:rsidRPr="00D149A3">
        <w:rPr>
          <w:rFonts w:asciiTheme="minorBidi" w:hAnsiTheme="minorBidi" w:cstheme="minorBidi"/>
          <w:sz w:val="22"/>
          <w:szCs w:val="22"/>
        </w:rPr>
        <w:t xml:space="preserve"> or </w:t>
      </w:r>
      <w:r w:rsidRPr="00D149A3">
        <w:rPr>
          <w:rStyle w:val="Emphasis"/>
          <w:rFonts w:asciiTheme="minorBidi" w:hAnsiTheme="minorBidi" w:cstheme="minorBidi"/>
          <w:sz w:val="22"/>
          <w:szCs w:val="22"/>
        </w:rPr>
        <w:t>Missed</w:t>
      </w:r>
      <w:r w:rsidRPr="00D149A3">
        <w:rPr>
          <w:rFonts w:asciiTheme="minorBidi" w:hAnsiTheme="minorBidi" w:cstheme="minorBidi"/>
          <w:sz w:val="22"/>
          <w:szCs w:val="22"/>
        </w:rPr>
        <w:t xml:space="preserve"> payments over the last 6 months — especially those with lower income and weaker credit scores — show the highest likelihood of delinquency.</w:t>
      </w:r>
    </w:p>
    <w:p w14:paraId="789322CC" w14:textId="77777777" w:rsidR="004C2939" w:rsidRPr="00D149A3" w:rsidRDefault="004C2939" w:rsidP="004C293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D149A3">
        <w:rPr>
          <w:rFonts w:asciiTheme="minorBidi" w:hAnsiTheme="minorBidi" w:cstheme="minorBidi"/>
          <w:sz w:val="22"/>
          <w:szCs w:val="22"/>
        </w:rPr>
        <w:t xml:space="preserve"> 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Key Predictors</w:t>
      </w:r>
      <w:r w:rsidRPr="00D149A3">
        <w:rPr>
          <w:rFonts w:asciiTheme="minorBidi" w:hAnsiTheme="minorBidi" w:cstheme="minorBidi"/>
          <w:sz w:val="22"/>
          <w:szCs w:val="22"/>
        </w:rPr>
        <w:t xml:space="preserve">: The strongest drivers of delinquency are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payment behavior (Late/Missed patterns)</w:t>
      </w:r>
      <w:r w:rsidRPr="00D149A3">
        <w:rPr>
          <w:rFonts w:asciiTheme="minorBidi" w:hAnsiTheme="minorBidi" w:cstheme="minorBidi"/>
          <w:sz w:val="22"/>
          <w:szCs w:val="22"/>
        </w:rPr>
        <w:t xml:space="preserve">,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high Debt-to-Income Ratio</w:t>
      </w:r>
      <w:r w:rsidRPr="00D149A3">
        <w:rPr>
          <w:rFonts w:asciiTheme="minorBidi" w:hAnsiTheme="minorBidi" w:cstheme="minorBidi"/>
          <w:sz w:val="22"/>
          <w:szCs w:val="22"/>
        </w:rPr>
        <w:t xml:space="preserve">, and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low Credit Score</w:t>
      </w:r>
      <w:r w:rsidRPr="00D149A3">
        <w:rPr>
          <w:rFonts w:asciiTheme="minorBidi" w:hAnsiTheme="minorBidi" w:cstheme="minorBidi"/>
          <w:sz w:val="22"/>
          <w:szCs w:val="22"/>
        </w:rPr>
        <w:t>.</w:t>
      </w:r>
    </w:p>
    <w:p w14:paraId="3FAAD3F6" w14:textId="77777777" w:rsidR="004C2939" w:rsidRPr="00D149A3" w:rsidRDefault="004C2939" w:rsidP="004C293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D149A3">
        <w:rPr>
          <w:rFonts w:asciiTheme="minorBidi" w:hAnsiTheme="minorBidi" w:cstheme="minorBidi"/>
          <w:sz w:val="22"/>
          <w:szCs w:val="22"/>
        </w:rPr>
        <w:t xml:space="preserve"> 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Meaningful Patterns</w:t>
      </w:r>
      <w:r w:rsidRPr="00D149A3">
        <w:rPr>
          <w:rFonts w:asciiTheme="minorBidi" w:hAnsiTheme="minorBidi" w:cstheme="minorBidi"/>
          <w:sz w:val="22"/>
          <w:szCs w:val="22"/>
        </w:rPr>
        <w:t xml:space="preserve">: Customers with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high credit utilization (&gt;0.6)</w:t>
      </w:r>
      <w:r w:rsidRPr="00D149A3">
        <w:rPr>
          <w:rFonts w:asciiTheme="minorBidi" w:hAnsiTheme="minorBidi" w:cstheme="minorBidi"/>
          <w:sz w:val="22"/>
          <w:szCs w:val="22"/>
        </w:rPr>
        <w:t xml:space="preserve"> combined with a </w:t>
      </w:r>
      <w:r w:rsidRPr="00D149A3">
        <w:rPr>
          <w:rStyle w:val="Strong"/>
          <w:rFonts w:asciiTheme="minorBidi" w:hAnsiTheme="minorBidi" w:cstheme="minorBidi"/>
          <w:sz w:val="22"/>
          <w:szCs w:val="22"/>
        </w:rPr>
        <w:t>high DTI</w:t>
      </w:r>
      <w:r w:rsidRPr="00D149A3">
        <w:rPr>
          <w:rFonts w:asciiTheme="minorBidi" w:hAnsiTheme="minorBidi" w:cstheme="minorBidi"/>
          <w:sz w:val="22"/>
          <w:szCs w:val="22"/>
        </w:rPr>
        <w:t xml:space="preserve"> are under significant financial stress, increasing delinquency risk considerably.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078"/>
        <w:gridCol w:w="2273"/>
        <w:gridCol w:w="1775"/>
      </w:tblGrid>
      <w:tr w:rsidR="004C2939" w:rsidRPr="004C2939" w14:paraId="300BC060" w14:textId="77777777" w:rsidTr="00D14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461D7" w14:textId="77777777" w:rsidR="004C2939" w:rsidRPr="004C2939" w:rsidRDefault="004C2939" w:rsidP="004C29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4C2939">
              <w:rPr>
                <w:rFonts w:asciiTheme="minorBidi" w:eastAsia="Times New Roman" w:hAnsiTheme="minorBidi"/>
                <w:b/>
                <w:bCs/>
              </w:rPr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10EA3519" w14:textId="77777777" w:rsidR="004C2939" w:rsidRPr="004C2939" w:rsidRDefault="004C2939" w:rsidP="004C29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4C2939">
              <w:rPr>
                <w:rFonts w:asciiTheme="minorBidi" w:eastAsia="Times New Roman" w:hAnsiTheme="minorBidi"/>
                <w:b/>
                <w:bCs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0403B835" w14:textId="77777777" w:rsidR="004C2939" w:rsidRPr="004C2939" w:rsidRDefault="004C2939" w:rsidP="004C29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4C2939">
              <w:rPr>
                <w:rFonts w:asciiTheme="minorBidi" w:eastAsia="Times New Roman" w:hAnsiTheme="minorBidi"/>
                <w:b/>
                <w:bCs/>
              </w:rPr>
              <w:t>Influencing Variables</w:t>
            </w:r>
          </w:p>
        </w:tc>
        <w:tc>
          <w:tcPr>
            <w:tcW w:w="0" w:type="auto"/>
            <w:vAlign w:val="center"/>
            <w:hideMark/>
          </w:tcPr>
          <w:p w14:paraId="1DBE7E9B" w14:textId="77777777" w:rsidR="004C2939" w:rsidRPr="004C2939" w:rsidRDefault="004C2939" w:rsidP="004C29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4C2939">
              <w:rPr>
                <w:rFonts w:asciiTheme="minorBidi" w:eastAsia="Times New Roman" w:hAnsiTheme="minorBidi"/>
                <w:b/>
                <w:bCs/>
              </w:rPr>
              <w:t>Potential Impact</w:t>
            </w:r>
          </w:p>
        </w:tc>
      </w:tr>
    </w:tbl>
    <w:p w14:paraId="4DDFE1F7" w14:textId="77777777" w:rsidR="004C2939" w:rsidRPr="004C2939" w:rsidRDefault="004C2939" w:rsidP="004C2939">
      <w:pPr>
        <w:spacing w:after="0" w:line="240" w:lineRule="auto"/>
        <w:rPr>
          <w:rFonts w:asciiTheme="minorBidi" w:eastAsia="Times New Roman" w:hAnsiTheme="minorBidi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012"/>
        <w:gridCol w:w="2321"/>
        <w:gridCol w:w="2215"/>
      </w:tblGrid>
      <w:tr w:rsidR="004C2939" w:rsidRPr="004C2939" w14:paraId="381600D3" w14:textId="77777777" w:rsidTr="004C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9853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Repeated missed payments strongly predict delinquency</w:t>
            </w:r>
          </w:p>
        </w:tc>
        <w:tc>
          <w:tcPr>
            <w:tcW w:w="0" w:type="auto"/>
            <w:vAlign w:val="center"/>
            <w:hideMark/>
          </w:tcPr>
          <w:p w14:paraId="2F9C6898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Customers with 2+ missed payments in last 6 months</w:t>
            </w:r>
          </w:p>
        </w:tc>
        <w:tc>
          <w:tcPr>
            <w:tcW w:w="0" w:type="auto"/>
            <w:vAlign w:val="center"/>
            <w:hideMark/>
          </w:tcPr>
          <w:p w14:paraId="1E654ACA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Missed_Payments, Month_1–6 history</w:t>
            </w:r>
          </w:p>
        </w:tc>
        <w:tc>
          <w:tcPr>
            <w:tcW w:w="0" w:type="auto"/>
            <w:vAlign w:val="center"/>
            <w:hideMark/>
          </w:tcPr>
          <w:p w14:paraId="2EF2EA5F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Early intervention via reminders or tailored repayment plans</w:t>
            </w:r>
          </w:p>
        </w:tc>
      </w:tr>
    </w:tbl>
    <w:p w14:paraId="3F2A6EFA" w14:textId="77777777" w:rsidR="004C2939" w:rsidRPr="004C2939" w:rsidRDefault="004C2939" w:rsidP="004C2939">
      <w:pPr>
        <w:spacing w:after="0" w:line="240" w:lineRule="auto"/>
        <w:rPr>
          <w:rFonts w:asciiTheme="minorBidi" w:eastAsia="Times New Roman" w:hAnsiTheme="minorBidi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492"/>
        <w:gridCol w:w="2970"/>
        <w:gridCol w:w="2124"/>
      </w:tblGrid>
      <w:tr w:rsidR="004C2939" w:rsidRPr="004C2939" w14:paraId="0115B869" w14:textId="77777777" w:rsidTr="004C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3BDE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High DTI Ratio linked to higher delinquency risk</w:t>
            </w:r>
          </w:p>
        </w:tc>
        <w:tc>
          <w:tcPr>
            <w:tcW w:w="0" w:type="auto"/>
            <w:vAlign w:val="center"/>
            <w:hideMark/>
          </w:tcPr>
          <w:p w14:paraId="7035A5B0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Customers with DTI &gt; 0.4</w:t>
            </w:r>
          </w:p>
        </w:tc>
        <w:tc>
          <w:tcPr>
            <w:tcW w:w="0" w:type="auto"/>
            <w:vAlign w:val="center"/>
            <w:hideMark/>
          </w:tcPr>
          <w:p w14:paraId="55223C4F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Debt_to_Income_Ratio, Loan_Balance, Income</w:t>
            </w:r>
          </w:p>
        </w:tc>
        <w:tc>
          <w:tcPr>
            <w:tcW w:w="0" w:type="auto"/>
            <w:vAlign w:val="center"/>
            <w:hideMark/>
          </w:tcPr>
          <w:p w14:paraId="1D7087C8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Review credit limits and offer support to reduce debt burden</w:t>
            </w:r>
          </w:p>
        </w:tc>
      </w:tr>
    </w:tbl>
    <w:p w14:paraId="395042D3" w14:textId="77777777" w:rsidR="004C2939" w:rsidRPr="004C2939" w:rsidRDefault="004C2939" w:rsidP="004C2939">
      <w:pPr>
        <w:spacing w:after="0" w:line="240" w:lineRule="auto"/>
        <w:rPr>
          <w:rFonts w:asciiTheme="minorBidi" w:eastAsia="Times New Roman" w:hAnsiTheme="minorBidi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173"/>
        <w:gridCol w:w="2062"/>
        <w:gridCol w:w="2517"/>
      </w:tblGrid>
      <w:tr w:rsidR="004C2939" w:rsidRPr="004C2939" w14:paraId="4D643C37" w14:textId="77777777" w:rsidTr="00D149A3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572078B6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Low Credit Score + High Utilization = elevated risk</w:t>
            </w:r>
          </w:p>
        </w:tc>
        <w:tc>
          <w:tcPr>
            <w:tcW w:w="0" w:type="auto"/>
            <w:vAlign w:val="center"/>
            <w:hideMark/>
          </w:tcPr>
          <w:p w14:paraId="13C3BE2E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Customers with Credit Score &lt; 500 and Utilization &gt; 0.6</w:t>
            </w:r>
          </w:p>
        </w:tc>
        <w:tc>
          <w:tcPr>
            <w:tcW w:w="0" w:type="auto"/>
            <w:vAlign w:val="center"/>
            <w:hideMark/>
          </w:tcPr>
          <w:p w14:paraId="576398F1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Credit_Score, Credit_Utilization</w:t>
            </w:r>
          </w:p>
        </w:tc>
        <w:tc>
          <w:tcPr>
            <w:tcW w:w="0" w:type="auto"/>
            <w:vAlign w:val="center"/>
            <w:hideMark/>
          </w:tcPr>
          <w:p w14:paraId="22EF322A" w14:textId="77777777" w:rsidR="004C2939" w:rsidRPr="004C2939" w:rsidRDefault="004C2939" w:rsidP="004C2939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4C2939">
              <w:rPr>
                <w:rFonts w:asciiTheme="minorBidi" w:eastAsia="Times New Roman" w:hAnsiTheme="minorBidi"/>
              </w:rPr>
              <w:t>Monitor closely, provide financial literacy or flexible installment options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1F94E202" w14:textId="77777777" w:rsidR="00953098" w:rsidRPr="00953098" w:rsidRDefault="00953098" w:rsidP="0095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Restated Insight: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Customers with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high credit utilization (above 70%)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show a significantly higher likelihood of delinquency compared to those with moderate utilization.</w:t>
      </w:r>
    </w:p>
    <w:p w14:paraId="2DAF22BF" w14:textId="77777777" w:rsidR="00953098" w:rsidRPr="00953098" w:rsidRDefault="00953098" w:rsidP="0095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Recommendation: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credit utilization monitoring and intervention program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to reduce delinquency among high-utilization customers.</w:t>
      </w:r>
    </w:p>
    <w:p w14:paraId="32D4BFD2" w14:textId="77777777" w:rsidR="00953098" w:rsidRPr="00953098" w:rsidRDefault="00953098" w:rsidP="0095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SMART Breakdown:</w:t>
      </w:r>
    </w:p>
    <w:p w14:paraId="26CFAB3D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Specific: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Identify and flag customers with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credit utilization &gt;70%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and proactively engage them with tailored communication and repayment support options.</w:t>
      </w:r>
    </w:p>
    <w:p w14:paraId="07E915BC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Target a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15% reduction in delinquency rates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among this high-utilization group within the pilot period.</w:t>
      </w:r>
    </w:p>
    <w:p w14:paraId="13F38738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Use existing CRM tools to send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alerts, repayment reminders, and financial planning resources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to flagged customers.</w:t>
      </w:r>
    </w:p>
    <w:p w14:paraId="0097327C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Relevant: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Directly addresses one of the strongest predictors of delinquency in the dataset, aligning with Geldium’s goals of reducing risk exposure and improving repayment behavior.</w:t>
      </w:r>
    </w:p>
    <w:p w14:paraId="437868EF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Time-bound: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Launch a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3-month pilot program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>, with delinquency rate impact reviewed at the end of the quarter.</w:t>
      </w:r>
    </w:p>
    <w:p w14:paraId="7D5E60E7" w14:textId="77777777" w:rsidR="00953098" w:rsidRPr="00953098" w:rsidRDefault="00953098" w:rsidP="0095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 and Business Rationale: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br/>
        <w:t xml:space="preserve">This recommendation leverages an actionable and data-driven insight (high credit utilization → higher delinquency). It is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(leveraging existing communication systems),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across customer segments, and promotes </w:t>
      </w:r>
      <w:r w:rsidRPr="00953098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financial management</w:t>
      </w:r>
      <w:r w:rsidRPr="00953098">
        <w:rPr>
          <w:rFonts w:ascii="Times New Roman" w:eastAsia="Times New Roman" w:hAnsi="Times New Roman" w:cs="Times New Roman"/>
          <w:sz w:val="24"/>
          <w:szCs w:val="24"/>
        </w:rPr>
        <w:t xml:space="preserve"> by encouraging healthier credit usage. By reducing delinquency risk in this segment, Geldium can improve portfolio stability while also supporting customer financial well-being.</w:t>
      </w:r>
    </w:p>
    <w:p w14:paraId="20527DB6" w14:textId="2D6E16D3" w:rsidR="009E7A53" w:rsidRPr="009E7A53" w:rsidRDefault="009E7A53" w:rsidP="009E7A53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9E7A53">
        <w:rPr>
          <w:rFonts w:asciiTheme="minorBidi" w:hAnsiTheme="minorBidi" w:cstheme="minorBidi"/>
          <w:sz w:val="22"/>
          <w:szCs w:val="22"/>
        </w:rPr>
        <w:t>.</w:t>
      </w: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26D60CE7" w14:textId="77777777" w:rsidR="009E7A53" w:rsidRPr="009E7A53" w:rsidRDefault="009E7A53" w:rsidP="009E7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Fairness Risk 1 – Income Bias</w:t>
      </w:r>
    </w:p>
    <w:p w14:paraId="7CB9B2A3" w14:textId="77777777" w:rsidR="009E7A53" w:rsidRPr="009E7A53" w:rsidRDefault="009E7A53" w:rsidP="009E7A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Risk:</w:t>
      </w:r>
      <w:r w:rsidRPr="009E7A53">
        <w:rPr>
          <w:rFonts w:asciiTheme="minorBidi" w:eastAsia="Times New Roman" w:hAnsiTheme="minorBidi"/>
        </w:rPr>
        <w:t xml:space="preserve"> Customers with </w:t>
      </w:r>
      <w:r w:rsidRPr="009E7A53">
        <w:rPr>
          <w:rFonts w:asciiTheme="minorBidi" w:eastAsia="Times New Roman" w:hAnsiTheme="minorBidi"/>
          <w:b/>
          <w:bCs/>
        </w:rPr>
        <w:t>low income</w:t>
      </w:r>
      <w:r w:rsidRPr="009E7A53">
        <w:rPr>
          <w:rFonts w:asciiTheme="minorBidi" w:eastAsia="Times New Roman" w:hAnsiTheme="minorBidi"/>
        </w:rPr>
        <w:t xml:space="preserve"> may be disproportionately flagged as high-risk, even if they have a consistent repayment history. This could lead to unfair treatment.</w:t>
      </w:r>
    </w:p>
    <w:p w14:paraId="7B07044F" w14:textId="77777777" w:rsidR="009E7A53" w:rsidRPr="009E7A53" w:rsidRDefault="009E7A53" w:rsidP="009E7A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Mitigation:</w:t>
      </w:r>
    </w:p>
    <w:p w14:paraId="573D3685" w14:textId="77777777" w:rsidR="009E7A53" w:rsidRPr="009E7A53" w:rsidRDefault="009E7A53" w:rsidP="009E7A5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</w:rPr>
        <w:t xml:space="preserve">Reduce over-reliance on income by combining it with </w:t>
      </w:r>
      <w:r w:rsidRPr="009E7A53">
        <w:rPr>
          <w:rFonts w:asciiTheme="minorBidi" w:eastAsia="Times New Roman" w:hAnsiTheme="minorBidi"/>
          <w:b/>
          <w:bCs/>
        </w:rPr>
        <w:t>behavioral indicators</w:t>
      </w:r>
      <w:r w:rsidRPr="009E7A53">
        <w:rPr>
          <w:rFonts w:asciiTheme="minorBidi" w:eastAsia="Times New Roman" w:hAnsiTheme="minorBidi"/>
        </w:rPr>
        <w:t xml:space="preserve"> such as missed payments and debt-to-income ratio (DTI).</w:t>
      </w:r>
    </w:p>
    <w:p w14:paraId="626174D7" w14:textId="77777777" w:rsidR="009E7A53" w:rsidRPr="009E7A53" w:rsidRDefault="009E7A53" w:rsidP="009E7A5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</w:rPr>
        <w:t xml:space="preserve">Conduct </w:t>
      </w:r>
      <w:r w:rsidRPr="009E7A53">
        <w:rPr>
          <w:rFonts w:asciiTheme="minorBidi" w:eastAsia="Times New Roman" w:hAnsiTheme="minorBidi"/>
          <w:b/>
          <w:bCs/>
        </w:rPr>
        <w:t>fairness audits</w:t>
      </w:r>
      <w:r w:rsidRPr="009E7A53">
        <w:rPr>
          <w:rFonts w:asciiTheme="minorBidi" w:eastAsia="Times New Roman" w:hAnsiTheme="minorBidi"/>
        </w:rPr>
        <w:t xml:space="preserve"> to ensure prediction accuracy is consistent across income groups.</w:t>
      </w:r>
    </w:p>
    <w:p w14:paraId="6A7A5CD9" w14:textId="77777777" w:rsidR="009E7A53" w:rsidRPr="009E7A53" w:rsidRDefault="009E7A53" w:rsidP="009E7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Fairness Risk 2 – Tenure Bias (Proxy for Age)</w:t>
      </w:r>
    </w:p>
    <w:p w14:paraId="7348E21F" w14:textId="77777777" w:rsidR="009E7A53" w:rsidRPr="009E7A53" w:rsidRDefault="009E7A53" w:rsidP="009E7A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Risk:</w:t>
      </w:r>
      <w:r w:rsidRPr="009E7A53">
        <w:rPr>
          <w:rFonts w:asciiTheme="minorBidi" w:eastAsia="Times New Roman" w:hAnsiTheme="minorBidi"/>
        </w:rPr>
        <w:t xml:space="preserve"> Customers with </w:t>
      </w:r>
      <w:r w:rsidRPr="009E7A53">
        <w:rPr>
          <w:rFonts w:asciiTheme="minorBidi" w:eastAsia="Times New Roman" w:hAnsiTheme="minorBidi"/>
          <w:b/>
          <w:bCs/>
        </w:rPr>
        <w:t>shorter account tenure</w:t>
      </w:r>
      <w:r w:rsidRPr="009E7A53">
        <w:rPr>
          <w:rFonts w:asciiTheme="minorBidi" w:eastAsia="Times New Roman" w:hAnsiTheme="minorBidi"/>
        </w:rPr>
        <w:t xml:space="preserve"> (often younger or new clients) are more likely to be labeled as high-risk due to limited historical data. This can introduce an unintended age-related bias.</w:t>
      </w:r>
    </w:p>
    <w:p w14:paraId="4E17B1AD" w14:textId="77777777" w:rsidR="009E7A53" w:rsidRPr="009E7A53" w:rsidRDefault="009E7A53" w:rsidP="009E7A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  <w:b/>
          <w:bCs/>
        </w:rPr>
        <w:t>Mitigation:</w:t>
      </w:r>
    </w:p>
    <w:p w14:paraId="7E0821C5" w14:textId="77777777" w:rsidR="009E7A53" w:rsidRPr="009E7A53" w:rsidRDefault="009E7A53" w:rsidP="009E7A5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</w:rPr>
        <w:t xml:space="preserve">Place greater weight on </w:t>
      </w:r>
      <w:r w:rsidRPr="009E7A53">
        <w:rPr>
          <w:rFonts w:asciiTheme="minorBidi" w:eastAsia="Times New Roman" w:hAnsiTheme="minorBidi"/>
          <w:b/>
          <w:bCs/>
        </w:rPr>
        <w:t>recent repayment behavior</w:t>
      </w:r>
      <w:r w:rsidRPr="009E7A53">
        <w:rPr>
          <w:rFonts w:asciiTheme="minorBidi" w:eastAsia="Times New Roman" w:hAnsiTheme="minorBidi"/>
        </w:rPr>
        <w:t xml:space="preserve"> rather than tenure alone.</w:t>
      </w:r>
    </w:p>
    <w:p w14:paraId="1904804C" w14:textId="77777777" w:rsidR="009E7A53" w:rsidRPr="009E7A53" w:rsidRDefault="009E7A53" w:rsidP="009E7A5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9E7A53">
        <w:rPr>
          <w:rFonts w:asciiTheme="minorBidi" w:eastAsia="Times New Roman" w:hAnsiTheme="minorBidi"/>
        </w:rPr>
        <w:t xml:space="preserve">Implement </w:t>
      </w:r>
      <w:r w:rsidRPr="009E7A53">
        <w:rPr>
          <w:rFonts w:asciiTheme="minorBidi" w:eastAsia="Times New Roman" w:hAnsiTheme="minorBidi"/>
          <w:b/>
          <w:bCs/>
        </w:rPr>
        <w:t>bias monitoring</w:t>
      </w:r>
      <w:r w:rsidRPr="009E7A53">
        <w:rPr>
          <w:rFonts w:asciiTheme="minorBidi" w:eastAsia="Times New Roman" w:hAnsiTheme="minorBidi"/>
        </w:rPr>
        <w:t xml:space="preserve"> to confirm that new or younger customers are not systematically disadvantaged.</w:t>
      </w:r>
    </w:p>
    <w:p w14:paraId="33EC1793" w14:textId="5CBAB5A8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br/>
      </w: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7E8B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68E2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87376A"/>
    <w:multiLevelType w:val="multilevel"/>
    <w:tmpl w:val="17F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0536"/>
    <w:multiLevelType w:val="multilevel"/>
    <w:tmpl w:val="3AA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4546A"/>
    <w:multiLevelType w:val="multilevel"/>
    <w:tmpl w:val="362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808E8"/>
    <w:multiLevelType w:val="multilevel"/>
    <w:tmpl w:val="C604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A572B7"/>
    <w:multiLevelType w:val="multilevel"/>
    <w:tmpl w:val="4CD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E7C15"/>
    <w:multiLevelType w:val="multilevel"/>
    <w:tmpl w:val="06265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11"/>
  </w:num>
  <w:num w:numId="13">
    <w:abstractNumId w:val="9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939"/>
    <w:rsid w:val="007D72C2"/>
    <w:rsid w:val="008237CA"/>
    <w:rsid w:val="00953098"/>
    <w:rsid w:val="009E7A53"/>
    <w:rsid w:val="00A537D1"/>
    <w:rsid w:val="00AA1D8D"/>
    <w:rsid w:val="00B47730"/>
    <w:rsid w:val="00CB0664"/>
    <w:rsid w:val="00D14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2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ashraf alafandi</cp:lastModifiedBy>
  <cp:revision>3</cp:revision>
  <dcterms:created xsi:type="dcterms:W3CDTF">2013-12-23T23:15:00Z</dcterms:created>
  <dcterms:modified xsi:type="dcterms:W3CDTF">2025-08-18T12:30:00Z</dcterms:modified>
  <cp:category/>
</cp:coreProperties>
</file>