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A7A4C"/>
          <w:sz w:val="17"/>
          <w:szCs w:val="17"/>
        </w:rPr>
        <w:t xml:space="preserve">GSMA MENA IGNITE HACKATHON</w:t>
      </w:r>
    </w:p>
    <w:p>
      <w:pPr>
        <w:pBdr>
          <w:bottom w:val="single" w:color="1A7A4C" w:sz="10" w:space="8"/>
        </w:pBdr>
        <w:spacing w:after="200"/>
      </w:pPr>
      <w:r>
        <w:rPr>
          <w:color w:val="5A6470"/>
          <w:sz w:val="17"/>
          <w:szCs w:val="17"/>
        </w:rPr>
        <w:t xml:space="preserve">Idea Capture Template</w:t>
      </w:r>
    </w:p>
    <w:p>
      <w:pPr>
        <w:spacing w:after="40"/>
      </w:pPr>
      <w:r>
        <w:rPr>
          <w:b/>
          <w:bCs/>
          <w:color w:val="0B3D2E"/>
          <w:sz w:val="52"/>
          <w:szCs w:val="52"/>
        </w:rPr>
        <w:t xml:space="preserve">SAKINA</w:t>
      </w:r>
    </w:p>
    <w:p>
      <w:pPr>
        <w:spacing w:after="60"/>
      </w:pPr>
      <w:r>
        <w:rPr>
          <w:color w:val="5A6470"/>
          <w:sz w:val="22"/>
          <w:szCs w:val="22"/>
        </w:rPr>
        <w:t xml:space="preserve">Situational Awareness for Kinetic crowd Intelligence &amp; Network Adaptation</w:t>
      </w:r>
    </w:p>
    <w:p>
      <w:pPr>
        <w:spacing w:after="260"/>
      </w:pPr>
      <w:r>
        <w:rPr>
          <w:i/>
          <w:iCs/>
          <w:color w:val="5A6470"/>
          <w:sz w:val="18"/>
          <w:szCs w:val="18"/>
        </w:rPr>
        <w:t xml:space="preserve">Arabic sakīna (سَكِينَة): tranquility, stillness — the state pilgrims seek.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shd w:fill="F0F3F5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Idea Name</w:t>
            </w:r>
          </w:p>
        </w:tc>
        <w:tc>
          <w:tcPr>
            <w:tcW w:type="dxa" w:w="67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sz w:val="18"/>
                <w:szCs w:val="18"/>
              </w:rPr>
              <w:t xml:space="preserve">SAKINA — Pilgrimage Crowd-Safety Agent</w:t>
            </w:r>
          </w:p>
        </w:tc>
      </w:tr>
      <w:tr>
        <w:tc>
          <w:tcPr>
            <w:tcW w:type="dxa" w:w="2600"/>
            <w:shd w:fill="F0F3F5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Submission Date</w:t>
            </w:r>
          </w:p>
        </w:tc>
        <w:tc>
          <w:tcPr>
            <w:tcW w:type="dxa" w:w="67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sz w:val="18"/>
                <w:szCs w:val="18"/>
              </w:rPr>
              <w:t xml:space="preserve">20 Aug 2026</w:t>
            </w:r>
          </w:p>
        </w:tc>
      </w:tr>
      <w:tr>
        <w:tc>
          <w:tcPr>
            <w:tcW w:type="dxa" w:w="2600"/>
            <w:shd w:fill="F0F3F5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Submitter</w:t>
            </w:r>
          </w:p>
        </w:tc>
        <w:tc>
          <w:tcPr>
            <w:tcW w:type="dxa" w:w="67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sz w:val="18"/>
                <w:szCs w:val="18"/>
              </w:rPr>
              <w:t xml:space="preserve">Mahmoud Samaha</w:t>
            </w:r>
          </w:p>
        </w:tc>
      </w:tr>
      <w:tr>
        <w:tc>
          <w:tcPr>
            <w:tcW w:type="dxa" w:w="2600"/>
            <w:shd w:fill="F0F3F5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Team Name</w:t>
            </w:r>
          </w:p>
        </w:tc>
        <w:tc>
          <w:tcPr>
            <w:tcW w:type="dxa" w:w="67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sz w:val="18"/>
                <w:szCs w:val="18"/>
              </w:rPr>
              <w:t xml:space="preserve">SAKINA</w:t>
            </w:r>
          </w:p>
        </w:tc>
      </w:tr>
      <w:tr>
        <w:tc>
          <w:tcPr>
            <w:tcW w:type="dxa" w:w="2600"/>
            <w:shd w:fill="F0F3F5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Contact</w:t>
            </w:r>
          </w:p>
        </w:tc>
        <w:tc>
          <w:tcPr>
            <w:tcW w:type="dxa" w:w="67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sz w:val="18"/>
                <w:szCs w:val="18"/>
              </w:rPr>
              <w:t xml:space="preserve">mhmud.smaha@gmail.com</w:t>
            </w:r>
          </w:p>
        </w:tc>
      </w:tr>
      <w:tr>
        <w:tc>
          <w:tcPr>
            <w:tcW w:type="dxa" w:w="2600"/>
            <w:shd w:fill="F0F3F5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Team Size</w:t>
            </w:r>
          </w:p>
        </w:tc>
        <w:tc>
          <w:tcPr>
            <w:tcW w:type="dxa" w:w="67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2600"/>
            <w:shd w:fill="F0F3F5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Country</w:t>
            </w:r>
          </w:p>
        </w:tc>
        <w:tc>
          <w:tcPr>
            <w:tcW w:type="dxa" w:w="67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sz w:val="18"/>
                <w:szCs w:val="18"/>
              </w:rPr>
              <w:t xml:space="preserve">Egypt</w:t>
            </w:r>
          </w:p>
        </w:tc>
      </w:tr>
      <w:tr>
        <w:tc>
          <w:tcPr>
            <w:tcW w:type="dxa" w:w="2600"/>
            <w:shd w:fill="F0F3F5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Theme</w:t>
            </w:r>
          </w:p>
        </w:tc>
        <w:tc>
          <w:tcPr>
            <w:tcW w:type="dxa" w:w="67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sz w:val="18"/>
                <w:szCs w:val="18"/>
              </w:rPr>
              <w:t xml:space="preserve">3 — Tourism, Pilgrimage &amp; Cultural Experience Innovation</w:t>
            </w:r>
          </w:p>
        </w:tc>
      </w:tr>
      <w:tr>
        <w:tc>
          <w:tcPr>
            <w:tcW w:type="dxa" w:w="2600"/>
            <w:shd w:fill="F0F3F5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Project Type</w:t>
            </w:r>
          </w:p>
        </w:tc>
        <w:tc>
          <w:tcPr>
            <w:tcW w:type="dxa" w:w="67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sz w:val="18"/>
                <w:szCs w:val="18"/>
              </w:rPr>
              <w:t xml:space="preserve">AI Agent / Autonomous Workflow — public safety infrastructure</w:t>
            </w:r>
          </w:p>
        </w:tc>
      </w:tr>
    </w:tbl>
    <w:p>
      <w:pPr>
        <w:pStyle w:val="Heading1"/>
        <w:spacing w:after="120" w:before="260"/>
      </w:pPr>
      <w:r>
        <w:t xml:space="preserve">1. Problem</w:t>
      </w:r>
    </w:p>
    <w:p>
      <w:pPr>
        <w:spacing w:after="100"/>
      </w:pPr>
      <w:r>
        <w:rPr>
          <w:sz w:val="20"/>
          <w:szCs w:val="20"/>
        </w:rPr>
        <w:t xml:space="preserve">Hajj concentrates roughly two million people into a few square kilometres of Mina. The 2015 Mina crush killed more than 2,000 pilgrims. Crowd density is invisible to operators until it is already lethal.</w:t>
      </w:r>
    </w:p>
    <w:p>
      <w:pPr>
        <w:spacing w:after="100"/>
      </w:pPr>
      <w:r>
        <w:rPr>
          <w:sz w:val="20"/>
          <w:szCs w:val="20"/>
        </w:rPr>
        <w:t xml:space="preserve">The compounding failure: when density spikes, the cellular network degrades — at exactly the moment responders most need connectivity. Congestion is simultaneously the symptom of the danger and the obstacle to responding to it.</w:t>
      </w:r>
    </w:p>
    <w:p>
      <w:pPr>
        <w:spacing w:after="100"/>
      </w:pPr>
      <w:r>
        <w:rPr>
          <w:sz w:val="20"/>
          <w:szCs w:val="20"/>
        </w:rPr>
        <w:t xml:space="preserve">There is no dense sensor grid over Mina, and installing one is a multi-year civil project. But every pilgrim already carries a handset, and the network already knows something about all of them.</w:t>
      </w:r>
    </w:p>
    <w:p>
      <w:pPr>
        <w:pStyle w:val="Heading1"/>
        <w:spacing w:after="120" w:before="260"/>
      </w:pPr>
      <w:r>
        <w:t xml:space="preserve">2. Proposed Solution</w:t>
      </w:r>
    </w:p>
    <w:p>
      <w:pPr>
        <w:spacing w:after="140"/>
      </w:pPr>
      <w:r>
        <w:rPr>
          <w:sz w:val="20"/>
          <w:szCs w:val="20"/>
        </w:rPr>
        <w:t xml:space="preserve">SAKINA is an AI agent that treats mobile network congestion as a real-time proxy for crowd density, reasons about how much to trust each reading, and autonomously elevates emergency responder bandwidth when risk is material — but only for responders whose identity the network itself can vouch for.</w:t>
      </w:r>
    </w:p>
    <w:p>
      <w:pPr>
        <w:pStyle w:val="Heading2"/>
        <w:spacing w:after="120" w:before="260"/>
      </w:pPr>
      <w:r>
        <w:t xml:space="preserve">2.1 The core insight</w:t>
      </w:r>
    </w:p>
    <w:p>
      <w:pPr>
        <w:spacing w:after="110"/>
      </w:pPr>
      <w:r>
        <w:rPr>
          <w:sz w:val="20"/>
          <w:szCs w:val="20"/>
        </w:rPr>
        <w:t xml:space="preserve">CAMARA Congestion Insights returns a confidenceLevel alongside every reading. That single field is what makes this an AI problem rather than a threshold problem. A reading is evidence of varying weight, not a fact.</w:t>
      </w:r>
    </w:p>
    <w:p>
      <w:pPr>
        <w:spacing w:after="90"/>
      </w:pPr>
      <w:r>
        <w:rPr>
          <w:sz w:val="20"/>
          <w:szCs w:val="20"/>
        </w:rPr>
        <w:t xml:space="preserve">A real window recorded from the Nokia Network-as-Code simulator on 15 July 2026: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0B3D2E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Time</w:t>
            </w:r>
          </w:p>
        </w:tc>
        <w:tc>
          <w:tcPr>
            <w:tcW w:type="dxa" w:w="2340"/>
            <w:shd w:fill="0B3D2E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Congestion</w:t>
            </w:r>
          </w:p>
        </w:tc>
        <w:tc>
          <w:tcPr>
            <w:tcW w:type="dxa" w:w="2340"/>
            <w:shd w:fill="0B3D2E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Confidence</w:t>
            </w:r>
          </w:p>
        </w:tc>
        <w:tc>
          <w:tcPr>
            <w:tcW w:type="dxa" w:w="2340"/>
            <w:shd w:fill="0B3D2E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Weight</w:t>
            </w:r>
          </w:p>
        </w:tc>
      </w:tr>
      <w:tr>
        <w:tc>
          <w:tcPr>
            <w:tcW w:type="dxa" w:w="234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sz w:val="18"/>
                <w:szCs w:val="18"/>
              </w:rPr>
              <w:t xml:space="preserve">13:33</w:t>
            </w:r>
          </w:p>
        </w:tc>
        <w:tc>
          <w:tcPr>
            <w:tcW w:type="dxa" w:w="234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sz w:val="18"/>
                <w:szCs w:val="18"/>
              </w:rPr>
              <w:t xml:space="preserve">High</w:t>
            </w:r>
          </w:p>
        </w:tc>
        <w:tc>
          <w:tcPr>
            <w:tcW w:type="dxa" w:w="234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sz w:val="18"/>
                <w:szCs w:val="18"/>
              </w:rPr>
              <w:t xml:space="preserve">71%</w:t>
            </w:r>
          </w:p>
        </w:tc>
        <w:tc>
          <w:tcPr>
            <w:tcW w:type="dxa" w:w="234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sz w:val="18"/>
                <w:szCs w:val="18"/>
              </w:rPr>
              <w:t xml:space="preserve">substantial</w:t>
            </w:r>
          </w:p>
        </w:tc>
      </w:tr>
      <w:tr>
        <w:tc>
          <w:tcPr>
            <w:tcW w:type="dxa" w:w="2340"/>
            <w:shd w:fill="FDF2F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sz w:val="18"/>
                <w:szCs w:val="18"/>
              </w:rPr>
              <w:t xml:space="preserve">13:38</w:t>
            </w:r>
          </w:p>
        </w:tc>
        <w:tc>
          <w:tcPr>
            <w:tcW w:type="dxa" w:w="2340"/>
            <w:shd w:fill="FDF2F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sz w:val="18"/>
                <w:szCs w:val="18"/>
              </w:rPr>
              <w:t xml:space="preserve">Medium</w:t>
            </w:r>
          </w:p>
        </w:tc>
        <w:tc>
          <w:tcPr>
            <w:tcW w:type="dxa" w:w="2340"/>
            <w:shd w:fill="FDF2F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sz w:val="18"/>
                <w:szCs w:val="18"/>
              </w:rPr>
              <w:t xml:space="preserve">16%</w:t>
            </w:r>
          </w:p>
        </w:tc>
        <w:tc>
          <w:tcPr>
            <w:tcW w:type="dxa" w:w="2340"/>
            <w:shd w:fill="FDF2F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sz w:val="18"/>
                <w:szCs w:val="18"/>
              </w:rPr>
              <w:t xml:space="preserve">near-worthless</w:t>
            </w:r>
          </w:p>
        </w:tc>
      </w:tr>
      <w:tr>
        <w:tc>
          <w:tcPr>
            <w:tcW w:type="dxa" w:w="234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sz w:val="18"/>
                <w:szCs w:val="18"/>
              </w:rPr>
              <w:t xml:space="preserve">13:43</w:t>
            </w:r>
          </w:p>
        </w:tc>
        <w:tc>
          <w:tcPr>
            <w:tcW w:type="dxa" w:w="234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sz w:val="18"/>
                <w:szCs w:val="18"/>
              </w:rPr>
              <w:t xml:space="preserve">High</w:t>
            </w:r>
          </w:p>
        </w:tc>
        <w:tc>
          <w:tcPr>
            <w:tcW w:type="dxa" w:w="234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sz w:val="18"/>
                <w:szCs w:val="18"/>
              </w:rPr>
              <w:t xml:space="preserve">51%</w:t>
            </w:r>
          </w:p>
        </w:tc>
        <w:tc>
          <w:tcPr>
            <w:tcW w:type="dxa" w:w="234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sz w:val="18"/>
                <w:szCs w:val="18"/>
              </w:rPr>
              <w:t xml:space="preserve">weak</w:t>
            </w:r>
          </w:p>
        </w:tc>
      </w:tr>
      <w:tr>
        <w:tc>
          <w:tcPr>
            <w:tcW w:type="dxa" w:w="2340"/>
            <w:shd w:fill="F0F8F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sz w:val="18"/>
                <w:szCs w:val="18"/>
              </w:rPr>
              <w:t xml:space="preserve">13:48</w:t>
            </w:r>
          </w:p>
        </w:tc>
        <w:tc>
          <w:tcPr>
            <w:tcW w:type="dxa" w:w="2340"/>
            <w:shd w:fill="F0F8F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sz w:val="18"/>
                <w:szCs w:val="18"/>
              </w:rPr>
              <w:t xml:space="preserve">Low</w:t>
            </w:r>
          </w:p>
        </w:tc>
        <w:tc>
          <w:tcPr>
            <w:tcW w:type="dxa" w:w="2340"/>
            <w:shd w:fill="F0F8F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sz w:val="18"/>
                <w:szCs w:val="18"/>
              </w:rPr>
              <w:t xml:space="preserve">97%</w:t>
            </w:r>
          </w:p>
        </w:tc>
        <w:tc>
          <w:tcPr>
            <w:tcW w:type="dxa" w:w="2340"/>
            <w:shd w:fill="F0F8F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sz w:val="18"/>
                <w:szCs w:val="18"/>
              </w:rPr>
              <w:t xml:space="preserve">decisive</w:t>
            </w:r>
          </w:p>
        </w:tc>
      </w:tr>
    </w:tbl>
    <w:p>
      <w:pPr>
        <w:spacing w:after="140"/>
      </w:pPr>
    </w:p>
    <w:p>
      <w:pPr>
        <w:spacing w:after="110"/>
      </w:pPr>
      <w:r>
        <w:rPr>
          <w:sz w:val="20"/>
          <w:szCs w:val="20"/>
        </w:rPr>
        <w:t xml:space="preserve">A threshold engine reads the latest bucket — Low — and stands down. But the real question is unanswerable by any rule: is that dispersal, or did the telemetry merely improve while the crowd stayed?</w:t>
      </w:r>
    </w:p>
    <w:p>
      <w:pPr>
        <w:spacing w:after="80"/>
      </w:pPr>
      <w:r>
        <w:rPr>
          <w:sz w:val="20"/>
          <w:szCs w:val="20"/>
        </w:rPr>
        <w:t xml:space="preserve">SAKINA distinguishes the two: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0"/>
          <w:szCs w:val="20"/>
        </w:rPr>
        <w:t xml:space="preserve">Congestion falling while confidence improves → supports genuine dispersal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0"/>
          <w:szCs w:val="20"/>
        </w:rPr>
        <w:t xml:space="preserve">Congestion falling while confidence degrades → the agent is going blind; risk is UNKNOWN, not low</w:t>
      </w:r>
    </w:p>
    <w:p>
      <w:pPr>
        <w:spacing w:after="100"/>
      </w:pPr>
    </w:p>
    <w:p>
      <w:pPr>
        <w:spacing w:after="110"/>
      </w:pPr>
      <w:r>
        <w:rPr>
          <w:sz w:val="20"/>
          <w:szCs w:val="20"/>
        </w:rPr>
        <w:t xml:space="preserve">On the window above the agent computes a confidence-weighted mean of 1.11 against a naive mean of 1.25 — correctly discounting the 16% reading — volatility of 1.33/2.0, and an improving confidence trend. Yet 100% of devices in the zone are on SMS-only fallback, an independent signal that the data plane is still saturated. That contradicts the Low reading. The agent surfaces the contradiction rather than resolving it away.</w:t>
      </w:r>
    </w:p>
    <w:p>
      <w:pPr>
        <w:spacing w:after="110"/>
      </w:pPr>
      <w:r>
        <w:rPr>
          <w:b/>
          <w:bCs/>
          <w:sz w:val="20"/>
          <w:szCs w:val="20"/>
        </w:rPr>
        <w:t xml:space="preserve">This is judgement under uncertainty across disagreeing signals. It is not expressible as an if-statement. That is why it needs an agent.</w:t>
      </w:r>
    </w:p>
    <w:p>
      <w:pPr>
        <w:pStyle w:val="Heading2"/>
        <w:spacing w:after="120" w:before="260"/>
      </w:pPr>
      <w:r>
        <w:t xml:space="preserve">2.2 The security layer</w:t>
      </w:r>
    </w:p>
    <w:p>
      <w:pPr>
        <w:spacing w:after="110"/>
      </w:pPr>
      <w:r>
        <w:rPr>
          <w:sz w:val="20"/>
          <w:szCs w:val="20"/>
        </w:rPr>
        <w:t xml:space="preserve">Whoever can trigger a Quality-on-Demand elevation controls emergency bandwidth allocation at a mass gathering. That capability is worth attacking.</w:t>
      </w:r>
    </w:p>
    <w:p>
      <w:pPr>
        <w:spacing w:after="110"/>
      </w:pPr>
      <w:r>
        <w:rPr>
          <w:sz w:val="20"/>
          <w:szCs w:val="20"/>
        </w:rPr>
        <w:t xml:space="preserve">Before elevating any responder, SAKINA checks the network's own view of that handset — SIM Swap, roaming status, Location Verification. A responder whose SIM changed hours before the event, roaming on a foreign network, whose position the network cannot confirm, is a plausible impersonation and is refused.</w:t>
      </w:r>
    </w:p>
    <w:p>
      <w:pPr>
        <w:spacing w:after="110"/>
      </w:pPr>
      <w:r>
        <w:rPr>
          <w:sz w:val="20"/>
          <w:szCs w:val="20"/>
        </w:rPr>
        <w:t xml:space="preserve">But refusing a real medic during a real crush also kills people, so this is a judgement, not a rule. Roaming alone means nothing — Hajj is the largest roaming event on earth. Three coherent signals mean something. The agent weighs; it does not pattern-match.</w:t>
      </w:r>
    </w:p>
    <w:p>
      <w:pPr>
        <w:pStyle w:val="Heading1"/>
        <w:spacing w:after="120" w:before="260"/>
      </w:pPr>
      <w:r>
        <w:t xml:space="preserve">3. Expected Benefits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0"/>
          <w:szCs w:val="20"/>
        </w:rPr>
        <w:t xml:space="preserve">Earlier crush detection than human observation, using infrastructure that already exists — no sensor deployment required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0"/>
          <w:szCs w:val="20"/>
        </w:rPr>
        <w:t xml:space="preserve">Responder connectivity preserved precisely when the network is saturated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0"/>
          <w:szCs w:val="20"/>
        </w:rPr>
        <w:t xml:space="preserve">Emergency bandwidth allocation protected against impersonation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0"/>
          <w:szCs w:val="20"/>
        </w:rPr>
        <w:t xml:space="preserve">Honest uncertainty: the agent says "I cannot see" instead of reporting a confident wrong answer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0"/>
          <w:szCs w:val="20"/>
        </w:rPr>
        <w:t xml:space="preserve">Transferable beyond Hajj — Umrah, stadiums, Expo sites, Ramadan markets, any MENA mass gathering</w:t>
      </w:r>
    </w:p>
    <w:p>
      <w:pPr>
        <w:pStyle w:val="Heading1"/>
        <w:spacing w:after="120" w:before="260"/>
      </w:pPr>
      <w:r>
        <w:t xml:space="preserve">4. GSMA Pillar Alignment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shd w:fill="F0F3F5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Open Gateway</w:t>
            </w:r>
          </w:p>
        </w:tc>
        <w:tc>
          <w:tcPr>
            <w:tcW w:type="dxa" w:w="67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sz w:val="18"/>
                <w:szCs w:val="18"/>
              </w:rPr>
              <w:t xml:space="preserve">Seven CAMARA APIs orchestrated as trusted real-time data sources, not user-triggered actions</w:t>
            </w:r>
          </w:p>
        </w:tc>
      </w:tr>
      <w:tr>
        <w:tc>
          <w:tcPr>
            <w:tcW w:type="dxa" w:w="2600"/>
            <w:shd w:fill="F0F3F5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Digital Identity</w:t>
            </w:r>
          </w:p>
        </w:tc>
        <w:tc>
          <w:tcPr>
            <w:tcW w:type="dxa" w:w="67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sz w:val="18"/>
                <w:szCs w:val="18"/>
              </w:rPr>
              <w:t xml:space="preserve">SIM Swap + Location Verification as an anti-impersonation gate on a safety-critical capability</w:t>
            </w:r>
          </w:p>
        </w:tc>
      </w:tr>
      <w:tr>
        <w:tc>
          <w:tcPr>
            <w:tcW w:type="dxa" w:w="2600"/>
            <w:shd w:fill="F0F3F5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Network Intelligence</w:t>
            </w:r>
          </w:p>
        </w:tc>
        <w:tc>
          <w:tcPr>
            <w:tcW w:type="dxa" w:w="67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sz w:val="18"/>
                <w:szCs w:val="18"/>
              </w:rPr>
              <w:t xml:space="preserve">Congestion Insights as a crowd-density proxy — a use the API was not designed for</w:t>
            </w:r>
          </w:p>
        </w:tc>
      </w:tr>
      <w:tr>
        <w:tc>
          <w:tcPr>
            <w:tcW w:type="dxa" w:w="2600"/>
            <w:shd w:fill="F0F3F5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Societal Impact</w:t>
            </w:r>
          </w:p>
        </w:tc>
        <w:tc>
          <w:tcPr>
            <w:tcW w:type="dxa" w:w="67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sz w:val="18"/>
                <w:szCs w:val="18"/>
              </w:rPr>
              <w:t xml:space="preserve">Directly addresses a recurring MENA mass-casualty failure mode</w:t>
            </w:r>
          </w:p>
        </w:tc>
      </w:tr>
    </w:tbl>
    <w:p>
      <w:pPr>
        <w:pStyle w:val="Heading1"/>
        <w:spacing w:after="120" w:before="260"/>
      </w:pPr>
      <w:r>
        <w:t xml:space="preserve">5. API Usage</w:t>
      </w:r>
    </w:p>
    <w:p>
      <w:pPr>
        <w:spacing w:after="120"/>
      </w:pPr>
      <w:r>
        <w:rPr>
          <w:i/>
          <w:iCs/>
          <w:color w:val="5A6470"/>
          <w:sz w:val="18"/>
          <w:szCs w:val="18"/>
        </w:rPr>
        <w:t xml:space="preserve">All seven verified live against the Nokia Network-as-Code portal playground on 15 July 2026.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2700"/>
            <w:shd w:fill="0B3D2E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CAMARA API</w:t>
            </w:r>
          </w:p>
        </w:tc>
        <w:tc>
          <w:tcPr>
            <w:tcW w:type="dxa" w:w="6660"/>
            <w:shd w:fill="0B3D2E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Role in the agent</w:t>
            </w:r>
          </w:p>
        </w:tc>
      </w:tr>
      <w:tr>
        <w:tc>
          <w:tcPr>
            <w:tcW w:type="dxa" w:w="27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Congestion Insights</w:t>
            </w:r>
          </w:p>
        </w:tc>
        <w:tc>
          <w:tcPr>
            <w:tcW w:type="dxa" w:w="66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sz w:val="18"/>
                <w:szCs w:val="18"/>
              </w:rPr>
              <w:t xml:space="preserve">Primary density proxy. Confidence-weighted trend analysis over a rolling window.</w:t>
            </w:r>
          </w:p>
        </w:tc>
      </w:tr>
      <w:tr>
        <w:tc>
          <w:tcPr>
            <w:tcW w:type="dxa" w:w="27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Location Retrieval</w:t>
            </w:r>
          </w:p>
        </w:tc>
        <w:tc>
          <w:tcPr>
            <w:tcW w:type="dxa" w:w="66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sz w:val="18"/>
                <w:szCs w:val="18"/>
              </w:rPr>
              <w:t xml:space="preserve">Grounds congestion in geography. Fix radius is itself a signal — 1000m is not a position.</w:t>
            </w:r>
          </w:p>
        </w:tc>
      </w:tr>
      <w:tr>
        <w:tc>
          <w:tcPr>
            <w:tcW w:type="dxa" w:w="27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Location Verification</w:t>
            </w:r>
          </w:p>
        </w:tc>
        <w:tc>
          <w:tcPr>
            <w:tcW w:type="dxa" w:w="66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sz w:val="18"/>
                <w:szCs w:val="18"/>
              </w:rPr>
              <w:t xml:space="preserve">Is this responder actually where they claim to be?</w:t>
            </w:r>
          </w:p>
        </w:tc>
      </w:tr>
      <w:tr>
        <w:tc>
          <w:tcPr>
            <w:tcW w:type="dxa" w:w="27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Device Status</w:t>
            </w:r>
          </w:p>
        </w:tc>
        <w:tc>
          <w:tcPr>
            <w:tcW w:type="dxa" w:w="66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sz w:val="18"/>
                <w:szCs w:val="18"/>
              </w:rPr>
              <w:t xml:space="preserve">SMS-only fallback corroborates density independently; roaming feeds the identity gate.</w:t>
            </w:r>
          </w:p>
        </w:tc>
      </w:tr>
      <w:tr>
        <w:tc>
          <w:tcPr>
            <w:tcW w:type="dxa" w:w="27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SIM Swap</w:t>
            </w:r>
          </w:p>
        </w:tc>
        <w:tc>
          <w:tcPr>
            <w:tcW w:type="dxa" w:w="66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sz w:val="18"/>
                <w:szCs w:val="18"/>
              </w:rPr>
              <w:t xml:space="preserve">Identity gate. A swap hours before a mass gathering blocks elevation.</w:t>
            </w:r>
          </w:p>
        </w:tc>
      </w:tr>
      <w:tr>
        <w:tc>
          <w:tcPr>
            <w:tcW w:type="dxa" w:w="27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Quality on Demand</w:t>
            </w:r>
          </w:p>
        </w:tc>
        <w:tc>
          <w:tcPr>
            <w:tcW w:type="dxa" w:w="66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sz w:val="18"/>
                <w:szCs w:val="18"/>
              </w:rPr>
              <w:t xml:space="preserve">The action. Elevates verified responders only. Profile DOWNLINK_M_UPLINK_L.</w:t>
            </w:r>
          </w:p>
        </w:tc>
      </w:tr>
      <w:tr>
        <w:tc>
          <w:tcPr>
            <w:tcW w:type="dxa" w:w="27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Geofencing</w:t>
            </w:r>
          </w:p>
        </w:tc>
        <w:tc>
          <w:tcPr>
            <w:tcW w:type="dxa" w:w="66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sz w:val="18"/>
                <w:szCs w:val="18"/>
              </w:rPr>
              <w:t xml:space="preserve">Zone-entry event model (area-entered / area-left).</w:t>
            </w:r>
          </w:p>
        </w:tc>
      </w:tr>
    </w:tbl>
    <w:p>
      <w:pPr>
        <w:spacing w:after="140"/>
      </w:pPr>
    </w:p>
    <w:p>
      <w:pPr>
        <w:spacing w:after="110"/>
      </w:pPr>
      <w:r>
        <w:rPr>
          <w:sz w:val="20"/>
          <w:szCs w:val="20"/>
        </w:rPr>
        <w:t xml:space="preserve">A single agent cycle issues 14 CAMARA calls across 5 API families. Every call is made because the agent chose to make it.</w:t>
      </w:r>
    </w:p>
    <w:p>
      <w:pPr>
        <w:pStyle w:val="Heading1"/>
        <w:spacing w:after="120" w:before="260"/>
      </w:pPr>
      <w:r>
        <w:t xml:space="preserve">6. AI Agent Design</w:t>
      </w:r>
    </w:p>
    <w:p>
      <w:pPr>
        <w:spacing w:after="90"/>
      </w:pPr>
      <w:r>
        <w:rPr>
          <w:sz w:val="20"/>
          <w:szCs w:val="20"/>
        </w:rPr>
        <w:t xml:space="preserve">LangGraph StateGraph. The conditional edges are the design:</w:t>
      </w:r>
    </w:p>
    <w:p>
      <w:pPr>
        <w:spacing w:after="30"/>
      </w:pPr>
      <w:r>
        <w:rPr>
          <w:rFonts w:ascii="Consolas" w:cs="Consolas" w:eastAsia="Consolas" w:hAnsi="Consolas"/>
          <w:sz w:val="18"/>
          <w:szCs w:val="18"/>
        </w:rPr>
        <w:t xml:space="preserve">PERCEIVE → ASSESS → (risk low) → REPORT</w:t>
      </w:r>
    </w:p>
    <w:p>
      <w:pPr>
        <w:spacing w:after="130"/>
      </w:pPr>
      <w:r>
        <w:rPr>
          <w:rFonts w:ascii="Consolas" w:cs="Consolas" w:eastAsia="Consolas" w:hAnsi="Consolas"/>
          <w:sz w:val="18"/>
          <w:szCs w:val="18"/>
        </w:rPr>
        <w:t xml:space="preserve">                 → VERIFY → DECIDE → ACT → REPORT</w:t>
      </w:r>
    </w:p>
    <w:p>
      <w:pPr>
        <w:spacing w:after="110"/>
      </w:pPr>
      <w:r>
        <w:rPr>
          <w:sz w:val="20"/>
          <w:szCs w:val="20"/>
        </w:rPr>
        <w:t xml:space="preserve">The agent decides autonomously whether the evidence justifies spending five extra API calls on identity checks; which responders to verify; and whether to spend a QoD session on each. No operator input triggers a network change.</w:t>
      </w:r>
    </w:p>
    <w:p>
      <w:pPr>
        <w:spacing w:after="110"/>
      </w:pPr>
      <w:r>
        <w:rPr>
          <w:sz w:val="20"/>
          <w:szCs w:val="20"/>
        </w:rPr>
        <w:t xml:space="preserve">Architectural discipline: signals.py performs deterministic, unit-tested arithmetic. brain.py performs judgement. A system where a threshold function decides and the LLM writes the press release is not an agent.</w:t>
      </w:r>
    </w:p>
    <w:p>
      <w:pPr>
        <w:pStyle w:val="Heading1"/>
        <w:spacing w:after="120" w:before="260"/>
      </w:pPr>
      <w:r>
        <w:t xml:space="preserve">7. Tooling</w:t>
      </w:r>
    </w:p>
    <w:p>
      <w:pPr>
        <w:spacing w:after="110"/>
      </w:pPr>
      <w:r>
        <w:rPr>
          <w:i/>
          <w:iCs/>
          <w:color w:val="5A6470"/>
          <w:sz w:val="18"/>
          <w:szCs w:val="18"/>
        </w:rPr>
        <w:t xml:space="preserve">Every component drawn from the AI Resource &amp; Tooling Guide.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shd w:fill="F0F3F5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Orchestration</w:t>
            </w:r>
          </w:p>
        </w:tc>
        <w:tc>
          <w:tcPr>
            <w:tcW w:type="dxa" w:w="67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sz w:val="18"/>
                <w:szCs w:val="18"/>
              </w:rPr>
              <w:t xml:space="preserve">LangGraph — Guide §2, code-first agent frameworks</w:t>
            </w:r>
          </w:p>
        </w:tc>
      </w:tr>
      <w:tr>
        <w:tc>
          <w:tcPr>
            <w:tcW w:type="dxa" w:w="2600"/>
            <w:shd w:fill="F0F3F5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Reasoning</w:t>
            </w:r>
          </w:p>
        </w:tc>
        <w:tc>
          <w:tcPr>
            <w:tcW w:type="dxa" w:w="67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sz w:val="18"/>
                <w:szCs w:val="18"/>
              </w:rPr>
              <w:t xml:space="preserve">Gemini 2.5 Flash via Google AI Studio — Guide §3, free tier</w:t>
            </w:r>
          </w:p>
        </w:tc>
      </w:tr>
      <w:tr>
        <w:tc>
          <w:tcPr>
            <w:tcW w:type="dxa" w:w="2600"/>
            <w:shd w:fill="F0F3F5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Fallback</w:t>
            </w:r>
          </w:p>
        </w:tc>
        <w:tc>
          <w:tcPr>
            <w:tcW w:type="dxa" w:w="67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sz w:val="18"/>
                <w:szCs w:val="18"/>
              </w:rPr>
              <w:t xml:space="preserve">Groq Llama 3.3 70B — Guide §3, rate-limit resilience</w:t>
            </w:r>
          </w:p>
        </w:tc>
      </w:tr>
      <w:tr>
        <w:tc>
          <w:tcPr>
            <w:tcW w:type="dxa" w:w="2600"/>
            <w:shd w:fill="F0F3F5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UI</w:t>
            </w:r>
          </w:p>
        </w:tc>
        <w:tc>
          <w:tcPr>
            <w:tcW w:type="dxa" w:w="67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sz w:val="18"/>
                <w:szCs w:val="18"/>
              </w:rPr>
              <w:t xml:space="preserve">Streamlit Community Cloud — Guide §6</w:t>
            </w:r>
          </w:p>
        </w:tc>
      </w:tr>
      <w:tr>
        <w:tc>
          <w:tcPr>
            <w:tcW w:type="dxa" w:w="2600"/>
            <w:shd w:fill="F0F3F5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Data layer</w:t>
            </w:r>
          </w:p>
        </w:tc>
        <w:tc>
          <w:tcPr>
            <w:tcW w:type="dxa" w:w="67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sz w:val="18"/>
                <w:szCs w:val="18"/>
              </w:rPr>
              <w:t xml:space="preserve">Nokia Network-as-Code — Guide §5</w:t>
            </w:r>
          </w:p>
        </w:tc>
      </w:tr>
    </w:tbl>
    <w:p>
      <w:pPr>
        <w:pStyle w:val="Heading1"/>
        <w:spacing w:after="120" w:before="260"/>
      </w:pPr>
      <w:r>
        <w:t xml:space="preserve">8. Reliability</w:t>
      </w:r>
    </w:p>
    <w:p>
      <w:pPr>
        <w:spacing w:after="90"/>
      </w:pPr>
      <w:r>
        <w:rPr>
          <w:sz w:val="20"/>
          <w:szCs w:val="20"/>
        </w:rPr>
        <w:t xml:space="preserve">The Guide asks for graceful degradation and cached demo data. Both are load-bearing here, not decoration: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0"/>
          <w:szCs w:val="20"/>
        </w:rPr>
        <w:t xml:space="preserve">Model fallback — Gemini rate-limits to Groq; both unreachable falls to a deterministic heuristic, explicitly labelled inferior in the trace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0"/>
          <w:szCs w:val="20"/>
        </w:rPr>
        <w:t xml:space="preserve">API fallback — hybrid mode serves recorded responses on live failure and declares it in the trace. Cached data is never disguised as live.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0"/>
          <w:szCs w:val="20"/>
        </w:rPr>
        <w:t xml:space="preserve">Fail closed — no model means no elevation. Refusing a medic is recoverable; handing an impersonator priority spectrum is not.</w:t>
      </w:r>
    </w:p>
    <w:p>
      <w:pPr>
        <w:pStyle w:val="Heading1"/>
        <w:spacing w:after="120" w:before="260"/>
      </w:pPr>
      <w:r>
        <w:t xml:space="preserve">9. Status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0"/>
          <w:szCs w:val="20"/>
        </w:rPr>
        <w:t xml:space="preserve">All seven CAMARA APIs verified against the Nokia portal playground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0"/>
          <w:szCs w:val="20"/>
        </w:rPr>
        <w:t xml:space="preserve">LangGraph agent executing end-to-end: 14 calls, 5 API families, conditional routing confirmed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0"/>
          <w:szCs w:val="20"/>
        </w:rPr>
        <w:t xml:space="preserve">21 unit tests passing on the confidence-weighting core, against real playground payloads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0"/>
          <w:szCs w:val="20"/>
        </w:rPr>
        <w:t xml:space="preserve">Streamlit console rendering the live reasoning trace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0"/>
          <w:szCs w:val="20"/>
        </w:rPr>
        <w:t xml:space="preserve">Runs with zero credentials in replay mode</w:t>
      </w:r>
    </w:p>
    <w:p>
      <w:pPr>
        <w:pBdr>
          <w:top w:val="single" w:color="D8DEE4" w:sz="6" w:space="10"/>
        </w:pBdr>
        <w:spacing w:before="320"/>
      </w:pPr>
    </w:p>
    <w:p>
      <w:pPr>
        <w:spacing w:after="110"/>
        <w:jc w:val="center"/>
      </w:pPr>
      <w:r>
        <w:rPr>
          <w:i/>
          <w:iCs/>
          <w:color w:val="5A6470"/>
          <w:sz w:val="17"/>
          <w:szCs w:val="17"/>
        </w:rPr>
        <w:t xml:space="preserve">All submitted code is original and developed entirely within the hackathon window. Intellectual property remains with the team.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40" w:before="300"/>
    </w:pPr>
    <w:rPr>
      <w:b/>
      <w:bCs/>
      <w:color w:val="0B3D2E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</w:pPr>
    <w:rPr>
      <w:b/>
      <w:bCs/>
      <w:color w:val="1A7A4C"/>
      <w:sz w:val="23"/>
      <w:szCs w:val="23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2026-07-15T17:31:29.479Z</dcterms:created>
  <dcterms:modified xsi:type="dcterms:W3CDTF">2026-07-15T17:31:29.498Z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